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Additional file 2 — Table S1. Vital signs by reference triage category, where recorded.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Vital sign</w:t>
            </w:r>
          </w:p>
        </w:tc>
        <w:tc>
          <w:tcPr/>
          <w:p>
            <w:pPr>
              <w:pStyle w:val="Compact"/>
            </w:pPr>
            <w:r>
              <w:t xml:space="preserve">Available, n (%)</w:t>
            </w:r>
          </w:p>
        </w:tc>
        <w:tc>
          <w:tcPr/>
          <w:p>
            <w:pPr>
              <w:pStyle w:val="Compact"/>
            </w:pPr>
            <w:r>
              <w:t xml:space="preserve">Green, mean ± SD (n)</w:t>
            </w:r>
          </w:p>
        </w:tc>
        <w:tc>
          <w:tcPr/>
          <w:p>
            <w:pPr>
              <w:pStyle w:val="Compact"/>
            </w:pPr>
            <w:r>
              <w:t xml:space="preserve">Yellow, mean ± SD (n)</w:t>
            </w:r>
          </w:p>
        </w:tc>
        <w:tc>
          <w:tcPr/>
          <w:p>
            <w:pPr>
              <w:pStyle w:val="Compact"/>
            </w:pPr>
            <w:r>
              <w:t xml:space="preserve">Red, mean ± SD (n)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Systolic BP, mmHg</w:t>
            </w:r>
          </w:p>
        </w:tc>
        <w:tc>
          <w:tcPr/>
          <w:p>
            <w:pPr>
              <w:pStyle w:val="Compact"/>
            </w:pPr>
            <w:r>
              <w:t xml:space="preserve">517 (65.6)</w:t>
            </w:r>
          </w:p>
        </w:tc>
        <w:tc>
          <w:tcPr/>
          <w:p>
            <w:pPr>
              <w:pStyle w:val="Compact"/>
            </w:pPr>
            <w:r>
              <w:t xml:space="preserve">126.3 ± 11.3 (156)</w:t>
            </w:r>
          </w:p>
        </w:tc>
        <w:tc>
          <w:tcPr/>
          <w:p>
            <w:pPr>
              <w:pStyle w:val="Compact"/>
            </w:pPr>
            <w:r>
              <w:t xml:space="preserve">137.6 ± 21.0 (285)</w:t>
            </w:r>
          </w:p>
        </w:tc>
        <w:tc>
          <w:tcPr/>
          <w:p>
            <w:pPr>
              <w:pStyle w:val="Compact"/>
            </w:pPr>
            <w:r>
              <w:t xml:space="preserve">142.7 ± 38.2 (76)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Diastolic BP, mmHg</w:t>
            </w:r>
          </w:p>
        </w:tc>
        <w:tc>
          <w:tcPr/>
          <w:p>
            <w:pPr>
              <w:pStyle w:val="Compact"/>
            </w:pPr>
            <w:r>
              <w:t xml:space="preserve">517 (65.6)</w:t>
            </w:r>
          </w:p>
        </w:tc>
        <w:tc>
          <w:tcPr/>
          <w:p>
            <w:pPr>
              <w:pStyle w:val="Compact"/>
            </w:pPr>
            <w:r>
              <w:t xml:space="preserve">77.1 ± 9.1 (156)</w:t>
            </w:r>
          </w:p>
        </w:tc>
        <w:tc>
          <w:tcPr/>
          <w:p>
            <w:pPr>
              <w:pStyle w:val="Compact"/>
            </w:pPr>
            <w:r>
              <w:t xml:space="preserve">80.6 ± 14.2 (285)</w:t>
            </w:r>
          </w:p>
        </w:tc>
        <w:tc>
          <w:tcPr/>
          <w:p>
            <w:pPr>
              <w:pStyle w:val="Compact"/>
            </w:pPr>
            <w:r>
              <w:t xml:space="preserve">80.8 ± 19.9 (76)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Respiratory rate, /min</w:t>
            </w:r>
          </w:p>
        </w:tc>
        <w:tc>
          <w:tcPr/>
          <w:p>
            <w:pPr>
              <w:pStyle w:val="Compact"/>
            </w:pPr>
            <w:r>
              <w:t xml:space="preserve">464 (58.9)</w:t>
            </w:r>
          </w:p>
        </w:tc>
        <w:tc>
          <w:tcPr/>
          <w:p>
            <w:pPr>
              <w:pStyle w:val="Compact"/>
            </w:pPr>
            <w:r>
              <w:t xml:space="preserve">15.5 ± 2.6 (203)</w:t>
            </w:r>
          </w:p>
        </w:tc>
        <w:tc>
          <w:tcPr/>
          <w:p>
            <w:pPr>
              <w:pStyle w:val="Compact"/>
            </w:pPr>
            <w:r>
              <w:t xml:space="preserve">16.7 ± 3.1 (201)</w:t>
            </w:r>
          </w:p>
        </w:tc>
        <w:tc>
          <w:tcPr/>
          <w:p>
            <w:pPr>
              <w:pStyle w:val="Compact"/>
            </w:pPr>
            <w:r>
              <w:t xml:space="preserve">21.0 ± 6.6 (60)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Temperature, °C</w:t>
            </w:r>
          </w:p>
        </w:tc>
        <w:tc>
          <w:tcPr/>
          <w:p>
            <w:pPr>
              <w:pStyle w:val="Compact"/>
            </w:pPr>
            <w:r>
              <w:t xml:space="preserve">634 (80.5)</w:t>
            </w:r>
          </w:p>
        </w:tc>
        <w:tc>
          <w:tcPr/>
          <w:p>
            <w:pPr>
              <w:pStyle w:val="Compact"/>
            </w:pPr>
            <w:r>
              <w:t xml:space="preserve">36.5 ± 0.4 (295)</w:t>
            </w:r>
          </w:p>
        </w:tc>
        <w:tc>
          <w:tcPr/>
          <w:p>
            <w:pPr>
              <w:pStyle w:val="Compact"/>
            </w:pPr>
            <w:r>
              <w:t xml:space="preserve">36.6 ± 0.5 (267)</w:t>
            </w:r>
          </w:p>
        </w:tc>
        <w:tc>
          <w:tcPr/>
          <w:p>
            <w:pPr>
              <w:pStyle w:val="Compact"/>
            </w:pPr>
            <w:r>
              <w:t xml:space="preserve">36.4 ± 0.3 (72)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Oxygen saturation, %</w:t>
            </w:r>
          </w:p>
        </w:tc>
        <w:tc>
          <w:tcPr/>
          <w:p>
            <w:pPr>
              <w:pStyle w:val="Compact"/>
            </w:pPr>
            <w:r>
              <w:t xml:space="preserve">676 (85.8)</w:t>
            </w:r>
          </w:p>
        </w:tc>
        <w:tc>
          <w:tcPr/>
          <w:p>
            <w:pPr>
              <w:pStyle w:val="Compact"/>
            </w:pPr>
            <w:r>
              <w:t xml:space="preserve">97.9 ± 1.4 (303)</w:t>
            </w:r>
          </w:p>
        </w:tc>
        <w:tc>
          <w:tcPr/>
          <w:p>
            <w:pPr>
              <w:pStyle w:val="Compact"/>
            </w:pPr>
            <w:r>
              <w:t xml:space="preserve">97.0 ± 1.8 (297)</w:t>
            </w:r>
          </w:p>
        </w:tc>
        <w:tc>
          <w:tcPr/>
          <w:p>
            <w:pPr>
              <w:pStyle w:val="Compact"/>
            </w:pPr>
            <w:r>
              <w:t xml:space="preserve">94.9 ± 4.5 (76)</w:t>
            </w:r>
          </w:p>
        </w:tc>
      </w:tr>
    </w:tbl>
    <w:p>
      <w:pPr>
        <w:pStyle w:val="BodyText"/>
      </w:pPr>
      <w:r>
        <w:rPr>
          <w:i/>
          <w:iCs/>
        </w:rPr>
        <w:t xml:space="preserve">Vital signs were recorded incompletely; values are descriptive only and were not used for inferential comparison. The</w:t>
      </w:r>
      <w:r>
        <w:rPr>
          <w:i/>
          <w:iCs/>
        </w:rPr>
        <w:t xml:space="preserve"> </w:t>
      </w:r>
      <w:r>
        <w:rPr>
          <w:i/>
          <w:iCs/>
        </w:rPr>
        <w:t xml:space="preserve">“Available”</w:t>
      </w:r>
      <w:r>
        <w:rPr>
          <w:i/>
          <w:iCs/>
        </w:rPr>
        <w:t xml:space="preserve"> </w:t>
      </w:r>
      <w:r>
        <w:rPr>
          <w:i/>
          <w:iCs/>
        </w:rPr>
        <w:t xml:space="preserve">percentage is out of 788; category columns show the mean ± SD among patients with a recorded value (n). Source: reproduced from the study analysis (analysis/phase4_descriptives.json).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2026-06-20T11:59:37Z</dcterms:created>
  <dcterms:modified xsi:type="dcterms:W3CDTF">2026-06-20T11:59:37Z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