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sz w:val="26"/>
        </w:rPr>
        <w:t>Additional file 3 — STROBE checklist for observational studies</w:t>
      </w:r>
    </w:p>
    <w:p>
      <w:r>
        <w:rPr>
          <w:i/>
        </w:rPr>
        <w:t>Completed STROBE checklist for the manuscript “Concordance of a ChatGPT-4o–based triage model with emergency physician categorization in the emergency department.”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</w:tcPr>
          <w:p>
            <w:r>
              <w:rPr>
                <w:b/>
                <w:sz w:val="17"/>
              </w:rPr>
              <w:t>Item</w:t>
            </w:r>
          </w:p>
        </w:tc>
        <w:tc>
          <w:tcPr>
            <w:tcW w:type="dxa" w:w="2880"/>
          </w:tcPr>
          <w:p>
            <w:r>
              <w:rPr>
                <w:b/>
                <w:sz w:val="17"/>
              </w:rPr>
              <w:t>STROBE recommendation</w:t>
            </w:r>
          </w:p>
        </w:tc>
        <w:tc>
          <w:tcPr>
            <w:tcW w:type="dxa" w:w="2880"/>
          </w:tcPr>
          <w:p>
            <w:r>
              <w:rPr>
                <w:b/>
                <w:sz w:val="17"/>
              </w:rPr>
              <w:t>Reported in (section / location)</w:t>
            </w:r>
          </w:p>
        </w:tc>
      </w:tr>
      <w:tr>
        <w:tc>
          <w:tcPr>
            <w:tcW w:type="dxa" w:w="2880"/>
          </w:tcPr>
          <w:p>
            <w:r>
              <w:rPr>
                <w:sz w:val="17"/>
              </w:rPr>
              <w:t>1 (a)</w:t>
            </w:r>
          </w:p>
        </w:tc>
        <w:tc>
          <w:tcPr>
            <w:tcW w:type="dxa" w:w="2880"/>
          </w:tcPr>
          <w:p>
            <w:r>
              <w:rPr>
                <w:sz w:val="17"/>
              </w:rPr>
              <w:t>Indicate the study design in the title or abstract</w:t>
            </w:r>
          </w:p>
        </w:tc>
        <w:tc>
          <w:tcPr>
            <w:tcW w:type="dxa" w:w="2880"/>
          </w:tcPr>
          <w:p>
            <w:r>
              <w:rPr>
                <w:sz w:val="17"/>
              </w:rPr>
              <w:t>Title; Abstract (Methods) — “prospective observational study”</w:t>
            </w:r>
          </w:p>
        </w:tc>
      </w:tr>
      <w:tr>
        <w:tc>
          <w:tcPr>
            <w:tcW w:type="dxa" w:w="2880"/>
          </w:tcPr>
          <w:p>
            <w:r>
              <w:rPr>
                <w:sz w:val="17"/>
              </w:rPr>
              <w:t>1 (b)</w:t>
            </w:r>
          </w:p>
        </w:tc>
        <w:tc>
          <w:tcPr>
            <w:tcW w:type="dxa" w:w="2880"/>
          </w:tcPr>
          <w:p>
            <w:r>
              <w:rPr>
                <w:sz w:val="17"/>
              </w:rPr>
              <w:t>Provide an informative and balanced summary in the abstract</w:t>
            </w:r>
          </w:p>
        </w:tc>
        <w:tc>
          <w:tcPr>
            <w:tcW w:type="dxa" w:w="2880"/>
          </w:tcPr>
          <w:p>
            <w:r>
              <w:rPr>
                <w:sz w:val="17"/>
              </w:rPr>
              <w:t>Abstract (structured: Background/Methods/Results/Conclusions)</w:t>
            </w:r>
          </w:p>
        </w:tc>
      </w:tr>
      <w:tr>
        <w:tc>
          <w:tcPr>
            <w:tcW w:type="dxa" w:w="2880"/>
          </w:tcPr>
          <w:p>
            <w:r>
              <w:rPr>
                <w:sz w:val="17"/>
              </w:rPr>
              <w:t>2</w:t>
            </w:r>
          </w:p>
        </w:tc>
        <w:tc>
          <w:tcPr>
            <w:tcW w:type="dxa" w:w="2880"/>
          </w:tcPr>
          <w:p>
            <w:r>
              <w:rPr>
                <w:sz w:val="17"/>
              </w:rPr>
              <w:t>Background/rationale</w:t>
            </w:r>
          </w:p>
        </w:tc>
        <w:tc>
          <w:tcPr>
            <w:tcW w:type="dxa" w:w="2880"/>
          </w:tcPr>
          <w:p>
            <w:r>
              <w:rPr>
                <w:sz w:val="17"/>
              </w:rPr>
              <w:t>Background, paras 1–4</w:t>
            </w:r>
          </w:p>
        </w:tc>
      </w:tr>
      <w:tr>
        <w:tc>
          <w:tcPr>
            <w:tcW w:type="dxa" w:w="2880"/>
          </w:tcPr>
          <w:p>
            <w:r>
              <w:rPr>
                <w:sz w:val="17"/>
              </w:rPr>
              <w:t>3</w:t>
            </w:r>
          </w:p>
        </w:tc>
        <w:tc>
          <w:tcPr>
            <w:tcW w:type="dxa" w:w="2880"/>
          </w:tcPr>
          <w:p>
            <w:r>
              <w:rPr>
                <w:sz w:val="17"/>
              </w:rPr>
              <w:t>Objectives, including any prespecified hypotheses</w:t>
            </w:r>
          </w:p>
        </w:tc>
        <w:tc>
          <w:tcPr>
            <w:tcW w:type="dxa" w:w="2880"/>
          </w:tcPr>
          <w:p>
            <w:r>
              <w:rPr>
                <w:sz w:val="17"/>
              </w:rPr>
              <w:t>Background, final paragraph (concordance aim; secondary EMT comparison)</w:t>
            </w:r>
          </w:p>
        </w:tc>
      </w:tr>
      <w:tr>
        <w:tc>
          <w:tcPr>
            <w:tcW w:type="dxa" w:w="2880"/>
          </w:tcPr>
          <w:p>
            <w:r>
              <w:rPr>
                <w:sz w:val="17"/>
              </w:rPr>
              <w:t>4</w:t>
            </w:r>
          </w:p>
        </w:tc>
        <w:tc>
          <w:tcPr>
            <w:tcW w:type="dxa" w:w="2880"/>
          </w:tcPr>
          <w:p>
            <w:r>
              <w:rPr>
                <w:sz w:val="17"/>
              </w:rPr>
              <w:t>Present key elements of study design early</w:t>
            </w:r>
          </w:p>
        </w:tc>
        <w:tc>
          <w:tcPr>
            <w:tcW w:type="dxa" w:w="2880"/>
          </w:tcPr>
          <w:p>
            <w:r>
              <w:rPr>
                <w:sz w:val="17"/>
              </w:rPr>
              <w:t>Methods — Study design, setting and reporting</w:t>
            </w:r>
          </w:p>
        </w:tc>
      </w:tr>
      <w:tr>
        <w:tc>
          <w:tcPr>
            <w:tcW w:type="dxa" w:w="2880"/>
          </w:tcPr>
          <w:p>
            <w:r>
              <w:rPr>
                <w:sz w:val="17"/>
              </w:rPr>
              <w:t>5</w:t>
            </w:r>
          </w:p>
        </w:tc>
        <w:tc>
          <w:tcPr>
            <w:tcW w:type="dxa" w:w="2880"/>
          </w:tcPr>
          <w:p>
            <w:r>
              <w:rPr>
                <w:sz w:val="17"/>
              </w:rPr>
              <w:t>Setting, locations, relevant dates</w:t>
            </w:r>
          </w:p>
        </w:tc>
        <w:tc>
          <w:tcPr>
            <w:tcW w:type="dxa" w:w="2880"/>
          </w:tcPr>
          <w:p>
            <w:r>
              <w:rPr>
                <w:sz w:val="17"/>
              </w:rPr>
              <w:t>Methods — Study design (Pamukkale University ED; June–November 2024)</w:t>
            </w:r>
          </w:p>
        </w:tc>
      </w:tr>
      <w:tr>
        <w:tc>
          <w:tcPr>
            <w:tcW w:type="dxa" w:w="2880"/>
          </w:tcPr>
          <w:p>
            <w:r>
              <w:rPr>
                <w:sz w:val="17"/>
              </w:rPr>
              <w:t>6</w:t>
            </w:r>
          </w:p>
        </w:tc>
        <w:tc>
          <w:tcPr>
            <w:tcW w:type="dxa" w:w="2880"/>
          </w:tcPr>
          <w:p>
            <w:r>
              <w:rPr>
                <w:sz w:val="17"/>
              </w:rPr>
              <w:t>Eligibility criteria, sources and selection of participants</w:t>
            </w:r>
          </w:p>
        </w:tc>
        <w:tc>
          <w:tcPr>
            <w:tcW w:type="dxa" w:w="2880"/>
          </w:tcPr>
          <w:p>
            <w:r>
              <w:rPr>
                <w:sz w:val="17"/>
              </w:rPr>
              <w:t>Methods — Participants (consecutive adults; exclusion criteria)</w:t>
            </w:r>
          </w:p>
        </w:tc>
      </w:tr>
      <w:tr>
        <w:tc>
          <w:tcPr>
            <w:tcW w:type="dxa" w:w="2880"/>
          </w:tcPr>
          <w:p>
            <w:r>
              <w:rPr>
                <w:sz w:val="17"/>
              </w:rPr>
              <w:t>7</w:t>
            </w:r>
          </w:p>
        </w:tc>
        <w:tc>
          <w:tcPr>
            <w:tcW w:type="dxa" w:w="2880"/>
          </w:tcPr>
          <w:p>
            <w:r>
              <w:rPr>
                <w:sz w:val="17"/>
              </w:rPr>
              <w:t>Clearly define outcomes, exposures, predictors</w:t>
            </w:r>
          </w:p>
        </w:tc>
        <w:tc>
          <w:tcPr>
            <w:tcW w:type="dxa" w:w="2880"/>
          </w:tcPr>
          <w:p>
            <w:r>
              <w:rPr>
                <w:sz w:val="17"/>
              </w:rPr>
              <w:t>Methods — Triage classification system; Triage assessments and the three raters</w:t>
            </w:r>
          </w:p>
        </w:tc>
      </w:tr>
      <w:tr>
        <w:tc>
          <w:tcPr>
            <w:tcW w:type="dxa" w:w="2880"/>
          </w:tcPr>
          <w:p>
            <w:r>
              <w:rPr>
                <w:sz w:val="17"/>
              </w:rPr>
              <w:t>8</w:t>
            </w:r>
          </w:p>
        </w:tc>
        <w:tc>
          <w:tcPr>
            <w:tcW w:type="dxa" w:w="2880"/>
          </w:tcPr>
          <w:p>
            <w:r>
              <w:rPr>
                <w:sz w:val="17"/>
              </w:rPr>
              <w:t>Data sources / measurement methods for each variable</w:t>
            </w:r>
          </w:p>
        </w:tc>
        <w:tc>
          <w:tcPr>
            <w:tcW w:type="dxa" w:w="2880"/>
          </w:tcPr>
          <w:p>
            <w:r>
              <w:rPr>
                <w:sz w:val="17"/>
              </w:rPr>
              <w:t>Methods — Triage assessments; AI triage model (index test); standardized structured form</w:t>
            </w:r>
          </w:p>
        </w:tc>
      </w:tr>
      <w:tr>
        <w:tc>
          <w:tcPr>
            <w:tcW w:type="dxa" w:w="2880"/>
          </w:tcPr>
          <w:p>
            <w:r>
              <w:rPr>
                <w:sz w:val="17"/>
              </w:rPr>
              <w:t>9</w:t>
            </w:r>
          </w:p>
        </w:tc>
        <w:tc>
          <w:tcPr>
            <w:tcW w:type="dxa" w:w="2880"/>
          </w:tcPr>
          <w:p>
            <w:r>
              <w:rPr>
                <w:sz w:val="17"/>
              </w:rPr>
              <w:t>Describe any efforts to address potential sources of bias</w:t>
            </w:r>
          </w:p>
        </w:tc>
        <w:tc>
          <w:tcPr>
            <w:tcW w:type="dxa" w:w="2880"/>
          </w:tcPr>
          <w:p>
            <w:r>
              <w:rPr>
                <w:sz w:val="17"/>
              </w:rPr>
              <w:t>Methods — Triage assessments (mutual blinding, fixed sequence, identical input; temperature 0/seed); Discussion — Limitations</w:t>
            </w:r>
          </w:p>
        </w:tc>
      </w:tr>
      <w:tr>
        <w:tc>
          <w:tcPr>
            <w:tcW w:type="dxa" w:w="2880"/>
          </w:tcPr>
          <w:p>
            <w:r>
              <w:rPr>
                <w:sz w:val="17"/>
              </w:rPr>
              <w:t>10</w:t>
            </w:r>
          </w:p>
        </w:tc>
        <w:tc>
          <w:tcPr>
            <w:tcW w:type="dxa" w:w="2880"/>
          </w:tcPr>
          <w:p>
            <w:r>
              <w:rPr>
                <w:sz w:val="17"/>
              </w:rPr>
              <w:t>Explain how the study size was arrived at</w:t>
            </w:r>
          </w:p>
        </w:tc>
        <w:tc>
          <w:tcPr>
            <w:tcW w:type="dxa" w:w="2880"/>
          </w:tcPr>
          <w:p>
            <w:r>
              <w:rPr>
                <w:sz w:val="17"/>
              </w:rPr>
              <w:t>Methods — Sample size (precision-based justification)</w:t>
            </w:r>
          </w:p>
        </w:tc>
      </w:tr>
      <w:tr>
        <w:tc>
          <w:tcPr>
            <w:tcW w:type="dxa" w:w="2880"/>
          </w:tcPr>
          <w:p>
            <w:r>
              <w:rPr>
                <w:sz w:val="17"/>
              </w:rPr>
              <w:t>11</w:t>
            </w:r>
          </w:p>
        </w:tc>
        <w:tc>
          <w:tcPr>
            <w:tcW w:type="dxa" w:w="2880"/>
          </w:tcPr>
          <w:p>
            <w:r>
              <w:rPr>
                <w:sz w:val="17"/>
              </w:rPr>
              <w:t>Explain how quantitative variables were handled</w:t>
            </w:r>
          </w:p>
        </w:tc>
        <w:tc>
          <w:tcPr>
            <w:tcW w:type="dxa" w:w="2880"/>
          </w:tcPr>
          <w:p>
            <w:r>
              <w:rPr>
                <w:sz w:val="17"/>
              </w:rPr>
              <w:t>Methods — Statistical analysis (ordinal triage scale; prespecified age strata)</w:t>
            </w:r>
          </w:p>
        </w:tc>
      </w:tr>
      <w:tr>
        <w:tc>
          <w:tcPr>
            <w:tcW w:type="dxa" w:w="2880"/>
          </w:tcPr>
          <w:p>
            <w:r>
              <w:rPr>
                <w:sz w:val="17"/>
              </w:rPr>
              <w:t>12</w:t>
            </w:r>
          </w:p>
        </w:tc>
        <w:tc>
          <w:tcPr>
            <w:tcW w:type="dxa" w:w="2880"/>
          </w:tcPr>
          <w:p>
            <w:r>
              <w:rPr>
                <w:sz w:val="17"/>
              </w:rPr>
              <w:t>Statistical methods (incl. subgroups, missing data, sensitivity)</w:t>
            </w:r>
          </w:p>
        </w:tc>
        <w:tc>
          <w:tcPr>
            <w:tcW w:type="dxa" w:w="2880"/>
          </w:tcPr>
          <w:p>
            <w:r>
              <w:rPr>
                <w:sz w:val="17"/>
              </w:rPr>
              <w:t>Methods — Statistical analysis (Cohen/linear/quadratic-weighted κ + PABAK; percentile/paired bootstrap CIs; Holm; complete labels/no imputation; ROC not applicable)</w:t>
            </w:r>
          </w:p>
        </w:tc>
      </w:tr>
      <w:tr>
        <w:tc>
          <w:tcPr>
            <w:tcW w:type="dxa" w:w="2880"/>
          </w:tcPr>
          <w:p>
            <w:r>
              <w:rPr>
                <w:sz w:val="17"/>
              </w:rPr>
              <w:t>13</w:t>
            </w:r>
          </w:p>
        </w:tc>
        <w:tc>
          <w:tcPr>
            <w:tcW w:type="dxa" w:w="2880"/>
          </w:tcPr>
          <w:p>
            <w:r>
              <w:rPr>
                <w:sz w:val="17"/>
              </w:rPr>
              <w:t>Participants: numbers at each stage; non-participation; flow diagram</w:t>
            </w:r>
          </w:p>
        </w:tc>
        <w:tc>
          <w:tcPr>
            <w:tcW w:type="dxa" w:w="2880"/>
          </w:tcPr>
          <w:p>
            <w:r>
              <w:rPr>
                <w:sz w:val="17"/>
              </w:rPr>
              <w:t>Results — Cohort characteristics; Figure 1. Screened/excluded counts were not recorded (disclosed in Methods–Participants, Figure 1, and Limitations)</w:t>
            </w:r>
          </w:p>
        </w:tc>
      </w:tr>
      <w:tr>
        <w:tc>
          <w:tcPr>
            <w:tcW w:type="dxa" w:w="2880"/>
          </w:tcPr>
          <w:p>
            <w:r>
              <w:rPr>
                <w:sz w:val="17"/>
              </w:rPr>
              <w:t>14</w:t>
            </w:r>
          </w:p>
        </w:tc>
        <w:tc>
          <w:tcPr>
            <w:tcW w:type="dxa" w:w="2880"/>
          </w:tcPr>
          <w:p>
            <w:r>
              <w:rPr>
                <w:sz w:val="17"/>
              </w:rPr>
              <w:t>Descriptive data (characteristics, missing data)</w:t>
            </w:r>
          </w:p>
        </w:tc>
        <w:tc>
          <w:tcPr>
            <w:tcW w:type="dxa" w:w="2880"/>
          </w:tcPr>
          <w:p>
            <w:r>
              <w:rPr>
                <w:sz w:val="17"/>
              </w:rPr>
              <w:t>Results — Cohort characteristics; Table 1; vital-sign availability and Additional file 2 (Table S1)</w:t>
            </w:r>
          </w:p>
        </w:tc>
      </w:tr>
      <w:tr>
        <w:tc>
          <w:tcPr>
            <w:tcW w:type="dxa" w:w="2880"/>
          </w:tcPr>
          <w:p>
            <w:r>
              <w:rPr>
                <w:sz w:val="17"/>
              </w:rPr>
              <w:t>15</w:t>
            </w:r>
          </w:p>
        </w:tc>
        <w:tc>
          <w:tcPr>
            <w:tcW w:type="dxa" w:w="2880"/>
          </w:tcPr>
          <w:p>
            <w:r>
              <w:rPr>
                <w:sz w:val="17"/>
              </w:rPr>
              <w:t>Outcome data</w:t>
            </w:r>
          </w:p>
        </w:tc>
        <w:tc>
          <w:tcPr>
            <w:tcW w:type="dxa" w:w="2880"/>
          </w:tcPr>
          <w:p>
            <w:r>
              <w:rPr>
                <w:sz w:val="17"/>
              </w:rPr>
              <w:t>Results — Overall and category-level agreement; Tables 2–3 (agreement endpoints; no clinical outcomes collected — stated in Limitations)</w:t>
            </w:r>
          </w:p>
        </w:tc>
      </w:tr>
      <w:tr>
        <w:tc>
          <w:tcPr>
            <w:tcW w:type="dxa" w:w="2880"/>
          </w:tcPr>
          <w:p>
            <w:r>
              <w:rPr>
                <w:sz w:val="17"/>
              </w:rPr>
              <w:t>16</w:t>
            </w:r>
          </w:p>
        </w:tc>
        <w:tc>
          <w:tcPr>
            <w:tcW w:type="dxa" w:w="2880"/>
          </w:tcPr>
          <w:p>
            <w:r>
              <w:rPr>
                <w:sz w:val="17"/>
              </w:rPr>
              <w:t>Main results with precision (e.g., 95% CI)</w:t>
            </w:r>
          </w:p>
        </w:tc>
        <w:tc>
          <w:tcPr>
            <w:tcW w:type="dxa" w:w="2880"/>
          </w:tcPr>
          <w:p>
            <w:r>
              <w:rPr>
                <w:sz w:val="17"/>
              </w:rPr>
              <w:t>Results; Table 2 (κ variants, PABAK, Δκ with 95% CI); Table 3; Figures 2–3</w:t>
            </w:r>
          </w:p>
        </w:tc>
      </w:tr>
      <w:tr>
        <w:tc>
          <w:tcPr>
            <w:tcW w:type="dxa" w:w="2880"/>
          </w:tcPr>
          <w:p>
            <w:r>
              <w:rPr>
                <w:sz w:val="17"/>
              </w:rPr>
              <w:t>17</w:t>
            </w:r>
          </w:p>
        </w:tc>
        <w:tc>
          <w:tcPr>
            <w:tcW w:type="dxa" w:w="2880"/>
          </w:tcPr>
          <w:p>
            <w:r>
              <w:rPr>
                <w:sz w:val="17"/>
              </w:rPr>
              <w:t>Other analyses (subgroups, interactions, sensitivity)</w:t>
            </w:r>
          </w:p>
        </w:tc>
        <w:tc>
          <w:tcPr>
            <w:tcW w:type="dxa" w:w="2880"/>
          </w:tcPr>
          <w:p>
            <w:r>
              <w:rPr>
                <w:sz w:val="17"/>
              </w:rPr>
              <w:t>Results — Subgroup agreement; Figure 3; sensitivity analyses (PABAK; vitals-restricted κ in Limitations)</w:t>
            </w:r>
          </w:p>
        </w:tc>
      </w:tr>
      <w:tr>
        <w:tc>
          <w:tcPr>
            <w:tcW w:type="dxa" w:w="2880"/>
          </w:tcPr>
          <w:p>
            <w:r>
              <w:rPr>
                <w:sz w:val="17"/>
              </w:rPr>
              <w:t>18</w:t>
            </w:r>
          </w:p>
        </w:tc>
        <w:tc>
          <w:tcPr>
            <w:tcW w:type="dxa" w:w="2880"/>
          </w:tcPr>
          <w:p>
            <w:r>
              <w:rPr>
                <w:sz w:val="17"/>
              </w:rPr>
              <w:t>Key results with reference to objectives</w:t>
            </w:r>
          </w:p>
        </w:tc>
        <w:tc>
          <w:tcPr>
            <w:tcW w:type="dxa" w:w="2880"/>
          </w:tcPr>
          <w:p>
            <w:r>
              <w:rPr>
                <w:sz w:val="17"/>
              </w:rPr>
              <w:t>Discussion, opening paragraph</w:t>
            </w:r>
          </w:p>
        </w:tc>
      </w:tr>
      <w:tr>
        <w:tc>
          <w:tcPr>
            <w:tcW w:type="dxa" w:w="2880"/>
          </w:tcPr>
          <w:p>
            <w:r>
              <w:rPr>
                <w:sz w:val="17"/>
              </w:rPr>
              <w:t>19</w:t>
            </w:r>
          </w:p>
        </w:tc>
        <w:tc>
          <w:tcPr>
            <w:tcW w:type="dxa" w:w="2880"/>
          </w:tcPr>
          <w:p>
            <w:r>
              <w:rPr>
                <w:sz w:val="17"/>
              </w:rPr>
              <w:t>Limitations (bias, imprecision)</w:t>
            </w:r>
          </w:p>
        </w:tc>
        <w:tc>
          <w:tcPr>
            <w:tcW w:type="dxa" w:w="2880"/>
          </w:tcPr>
          <w:p>
            <w:r>
              <w:rPr>
                <w:sz w:val="17"/>
              </w:rPr>
              <w:t>Discussion — Limitations</w:t>
            </w:r>
          </w:p>
        </w:tc>
      </w:tr>
      <w:tr>
        <w:tc>
          <w:tcPr>
            <w:tcW w:type="dxa" w:w="2880"/>
          </w:tcPr>
          <w:p>
            <w:r>
              <w:rPr>
                <w:sz w:val="17"/>
              </w:rPr>
              <w:t>20</w:t>
            </w:r>
          </w:p>
        </w:tc>
        <w:tc>
          <w:tcPr>
            <w:tcW w:type="dxa" w:w="2880"/>
          </w:tcPr>
          <w:p>
            <w:r>
              <w:rPr>
                <w:sz w:val="17"/>
              </w:rPr>
              <w:t>Interpretation considering objectives, limitations, evidence</w:t>
            </w:r>
          </w:p>
        </w:tc>
        <w:tc>
          <w:tcPr>
            <w:tcW w:type="dxa" w:w="2880"/>
          </w:tcPr>
          <w:p>
            <w:r>
              <w:rPr>
                <w:sz w:val="17"/>
              </w:rPr>
              <w:t>Discussion; Implications and future directions</w:t>
            </w:r>
          </w:p>
        </w:tc>
      </w:tr>
      <w:tr>
        <w:tc>
          <w:tcPr>
            <w:tcW w:type="dxa" w:w="2880"/>
          </w:tcPr>
          <w:p>
            <w:r>
              <w:rPr>
                <w:sz w:val="17"/>
              </w:rPr>
              <w:t>21</w:t>
            </w:r>
          </w:p>
        </w:tc>
        <w:tc>
          <w:tcPr>
            <w:tcW w:type="dxa" w:w="2880"/>
          </w:tcPr>
          <w:p>
            <w:r>
              <w:rPr>
                <w:sz w:val="17"/>
              </w:rPr>
              <w:t>Generalizability</w:t>
            </w:r>
          </w:p>
        </w:tc>
        <w:tc>
          <w:tcPr>
            <w:tcW w:type="dxa" w:w="2880"/>
          </w:tcPr>
          <w:p>
            <w:r>
              <w:rPr>
                <w:sz w:val="17"/>
              </w:rPr>
              <w:t>Discussion — Limitations (single-centre, three-zone, Turkish-language input)</w:t>
            </w:r>
          </w:p>
        </w:tc>
      </w:tr>
      <w:tr>
        <w:tc>
          <w:tcPr>
            <w:tcW w:type="dxa" w:w="2880"/>
          </w:tcPr>
          <w:p>
            <w:r>
              <w:rPr>
                <w:sz w:val="17"/>
              </w:rPr>
              <w:t>22</w:t>
            </w:r>
          </w:p>
        </w:tc>
        <w:tc>
          <w:tcPr>
            <w:tcW w:type="dxa" w:w="2880"/>
          </w:tcPr>
          <w:p>
            <w:r>
              <w:rPr>
                <w:sz w:val="17"/>
              </w:rPr>
              <w:t>Funding and role of funders</w:t>
            </w:r>
          </w:p>
        </w:tc>
        <w:tc>
          <w:tcPr>
            <w:tcW w:type="dxa" w:w="2880"/>
          </w:tcPr>
          <w:p>
            <w:r>
              <w:rPr>
                <w:sz w:val="17"/>
              </w:rPr>
              <w:t>Declarations — Funding</w:t>
            </w:r>
          </w:p>
        </w:tc>
      </w:tr>
    </w:tbl>
    <w:p/>
    <w:p>
      <w:r>
        <w:rPr>
          <w:i/>
        </w:rPr>
        <w:t>Locations indicate the relevant sections of the submission manuscript, which is continuously line-numbered for ease of reference.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