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920F3"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Additional file 2. Predictive performance of vPCI-derived ΔQFR in the QFR-guid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eastAsia="zh-CN"/>
        </w:rPr>
        <w:t>ed group</w:t>
      </w:r>
    </w:p>
    <w:tbl>
      <w:tblPr>
        <w:tblStyle w:val="2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5"/>
        <w:gridCol w:w="1938"/>
        <w:gridCol w:w="1653"/>
        <w:gridCol w:w="1033"/>
      </w:tblGrid>
      <w:tr w14:paraId="706B94D2">
        <w:trPr>
          <w:trHeight w:val="0" w:hRule="atLeast"/>
          <w:tblHeader/>
          <w:jc w:val="center"/>
        </w:trPr>
        <w:tc>
          <w:tcPr>
            <w:tcW w:w="2286" w:type="pct"/>
            <w:vAlign w:val="center"/>
          </w:tcPr>
          <w:p w14:paraId="008BA9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val="en-US" w:eastAsia="zh-CN" w:bidi="ar"/>
              </w:rPr>
              <w:t>Parameter</w:t>
            </w:r>
          </w:p>
        </w:tc>
        <w:tc>
          <w:tcPr>
            <w:tcW w:w="1137" w:type="pct"/>
            <w:vAlign w:val="center"/>
          </w:tcPr>
          <w:p w14:paraId="5FAAA0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val="en-US" w:eastAsia="zh-CN" w:bidi="ar"/>
              </w:rPr>
              <w:t>Mean (SD)</w:t>
            </w:r>
          </w:p>
        </w:tc>
        <w:tc>
          <w:tcPr>
            <w:tcW w:w="970" w:type="pct"/>
            <w:vAlign w:val="center"/>
          </w:tcPr>
          <w:p w14:paraId="146D4A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val="en-US" w:eastAsia="zh-CN" w:bidi="ar"/>
              </w:rPr>
              <w:t>95% CI</w:t>
            </w:r>
          </w:p>
        </w:tc>
        <w:tc>
          <w:tcPr>
            <w:tcW w:w="606" w:type="pct"/>
            <w:vAlign w:val="center"/>
          </w:tcPr>
          <w:p w14:paraId="4CE068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sz w:val="21"/>
                <w:szCs w:val="21"/>
                <w:lang w:val="en-US" w:eastAsia="zh-CN" w:bidi="ar"/>
              </w:rPr>
              <w:t>P-value</w:t>
            </w:r>
          </w:p>
        </w:tc>
      </w:tr>
      <w:tr w14:paraId="5813601B">
        <w:trPr>
          <w:trHeight w:val="0" w:hRule="atLeast"/>
          <w:jc w:val="center"/>
        </w:trPr>
        <w:tc>
          <w:tcPr>
            <w:tcW w:w="2286" w:type="pct"/>
            <w:vAlign w:val="center"/>
          </w:tcPr>
          <w:p w14:paraId="67CAE8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Predicted ΔQFR (vPCI)</w:t>
            </w:r>
          </w:p>
        </w:tc>
        <w:tc>
          <w:tcPr>
            <w:tcW w:w="1137" w:type="pct"/>
            <w:vAlign w:val="center"/>
          </w:tcPr>
          <w:p w14:paraId="68159DD3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0.225 (SD 0.091)</w:t>
            </w:r>
          </w:p>
        </w:tc>
        <w:tc>
          <w:tcPr>
            <w:tcW w:w="970" w:type="pct"/>
            <w:vAlign w:val="center"/>
          </w:tcPr>
          <w:p w14:paraId="6307A855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606" w:type="pct"/>
            <w:vAlign w:val="center"/>
          </w:tcPr>
          <w:p w14:paraId="5A917231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—</w:t>
            </w:r>
          </w:p>
        </w:tc>
      </w:tr>
      <w:tr w14:paraId="02B9D76C">
        <w:trPr>
          <w:trHeight w:val="0" w:hRule="atLeast"/>
          <w:jc w:val="center"/>
        </w:trPr>
        <w:tc>
          <w:tcPr>
            <w:tcW w:w="2286" w:type="pct"/>
            <w:vAlign w:val="center"/>
          </w:tcPr>
          <w:p w14:paraId="6A09E9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Actual ΔQFR</w:t>
            </w:r>
          </w:p>
        </w:tc>
        <w:tc>
          <w:tcPr>
            <w:tcW w:w="1137" w:type="pct"/>
            <w:vAlign w:val="center"/>
          </w:tcPr>
          <w:p w14:paraId="2AFE431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0.190 (SD 0.097)</w:t>
            </w:r>
          </w:p>
        </w:tc>
        <w:tc>
          <w:tcPr>
            <w:tcW w:w="970" w:type="pct"/>
            <w:vAlign w:val="center"/>
          </w:tcPr>
          <w:p w14:paraId="1E36D29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606" w:type="pct"/>
            <w:vAlign w:val="center"/>
          </w:tcPr>
          <w:p w14:paraId="6FDBC9A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—</w:t>
            </w:r>
          </w:p>
        </w:tc>
      </w:tr>
      <w:tr w14:paraId="795E22B0">
        <w:trPr>
          <w:trHeight w:val="0" w:hRule="atLeast"/>
          <w:jc w:val="center"/>
        </w:trPr>
        <w:tc>
          <w:tcPr>
            <w:tcW w:w="2286" w:type="pct"/>
            <w:vAlign w:val="center"/>
          </w:tcPr>
          <w:p w14:paraId="21AD9F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Mean difference (Predicted − Actual)</w:t>
            </w:r>
          </w:p>
        </w:tc>
        <w:tc>
          <w:tcPr>
            <w:tcW w:w="1137" w:type="pct"/>
            <w:vAlign w:val="center"/>
          </w:tcPr>
          <w:p w14:paraId="03FCFFF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+0.035</w:t>
            </w:r>
          </w:p>
        </w:tc>
        <w:tc>
          <w:tcPr>
            <w:tcW w:w="970" w:type="pct"/>
            <w:vAlign w:val="center"/>
          </w:tcPr>
          <w:p w14:paraId="56487EB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0.022 to 0.049</w:t>
            </w:r>
          </w:p>
        </w:tc>
        <w:tc>
          <w:tcPr>
            <w:tcW w:w="606" w:type="pct"/>
            <w:vAlign w:val="center"/>
          </w:tcPr>
          <w:p w14:paraId="616B43E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&lt;0.001</w:t>
            </w:r>
          </w:p>
        </w:tc>
      </w:tr>
    </w:tbl>
    <w:p w14:paraId="7FF742CE"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334984A4">
      <w:pP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eastAsia="zh-CN"/>
        </w:rPr>
        <w:t>he analysis was restricted to the QFR-guided group (n = 43 vessels). A paired Student's t-test (Shapiro-Wilk normality test p=0.617, meeting parametric assumptions) was used to compare the vPCI-predicted ΔQFR with the actual measured ΔQFR, reporting the mean difference and 95% CI. This exploratory analysis aimed to evaluate the predictive performance of the vPCI tool in the DCB setting, which is conceptually independent of the primary endpoint comparison between the two strategies.</w:t>
      </w:r>
    </w:p>
    <w:p w14:paraId="6E14F638">
      <w:pP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inion Pro">
    <w:altName w:val="苹方-简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BCEBC"/>
    <w:rsid w:val="00163F32"/>
    <w:rsid w:val="00265312"/>
    <w:rsid w:val="0048691D"/>
    <w:rsid w:val="00831F5E"/>
    <w:rsid w:val="00AE62BF"/>
    <w:rsid w:val="00BB6731"/>
    <w:rsid w:val="00F65651"/>
    <w:rsid w:val="1479C0F1"/>
    <w:rsid w:val="1AE750F9"/>
    <w:rsid w:val="1F5D22D6"/>
    <w:rsid w:val="1F9FE734"/>
    <w:rsid w:val="27D9A8EC"/>
    <w:rsid w:val="2FDE4A93"/>
    <w:rsid w:val="2FDFA205"/>
    <w:rsid w:val="377B23B0"/>
    <w:rsid w:val="377F07A2"/>
    <w:rsid w:val="38DFDEB4"/>
    <w:rsid w:val="396F7861"/>
    <w:rsid w:val="3F3FE254"/>
    <w:rsid w:val="3F872A2E"/>
    <w:rsid w:val="3FBD77E4"/>
    <w:rsid w:val="3FF7FDB4"/>
    <w:rsid w:val="469F7871"/>
    <w:rsid w:val="49BF93A9"/>
    <w:rsid w:val="4D7F69B6"/>
    <w:rsid w:val="55F6BA17"/>
    <w:rsid w:val="5BEDF1BA"/>
    <w:rsid w:val="5C777773"/>
    <w:rsid w:val="5CBFA600"/>
    <w:rsid w:val="5DDF35D9"/>
    <w:rsid w:val="63731039"/>
    <w:rsid w:val="67BF2AB7"/>
    <w:rsid w:val="6BBF5D76"/>
    <w:rsid w:val="6BFD247B"/>
    <w:rsid w:val="6DFE4A49"/>
    <w:rsid w:val="6F2DCED2"/>
    <w:rsid w:val="6F6E9CC4"/>
    <w:rsid w:val="6FFFC7DB"/>
    <w:rsid w:val="75FF1521"/>
    <w:rsid w:val="771B562E"/>
    <w:rsid w:val="773B634C"/>
    <w:rsid w:val="779BBB30"/>
    <w:rsid w:val="77D7690E"/>
    <w:rsid w:val="77EED58E"/>
    <w:rsid w:val="77F50A5F"/>
    <w:rsid w:val="78D5D38E"/>
    <w:rsid w:val="7A3F687A"/>
    <w:rsid w:val="7A57D659"/>
    <w:rsid w:val="7AF5CB16"/>
    <w:rsid w:val="7B3FEA09"/>
    <w:rsid w:val="7BCF6762"/>
    <w:rsid w:val="7BD77D8E"/>
    <w:rsid w:val="7BDE834E"/>
    <w:rsid w:val="7BE6C701"/>
    <w:rsid w:val="7BF54F40"/>
    <w:rsid w:val="7BFAAEC2"/>
    <w:rsid w:val="7BFF55E9"/>
    <w:rsid w:val="7BFFA18A"/>
    <w:rsid w:val="7CFFB629"/>
    <w:rsid w:val="7F2F090D"/>
    <w:rsid w:val="7F372D73"/>
    <w:rsid w:val="7F37561C"/>
    <w:rsid w:val="7FBF5167"/>
    <w:rsid w:val="7FDF0E8D"/>
    <w:rsid w:val="7FF5B99E"/>
    <w:rsid w:val="7FF70A5F"/>
    <w:rsid w:val="7FFA6074"/>
    <w:rsid w:val="7FFF6F94"/>
    <w:rsid w:val="9CEE013E"/>
    <w:rsid w:val="AF036E13"/>
    <w:rsid w:val="AFFF1628"/>
    <w:rsid w:val="BD179039"/>
    <w:rsid w:val="BDEB46A7"/>
    <w:rsid w:val="BE7E2D28"/>
    <w:rsid w:val="BFBBCEBC"/>
    <w:rsid w:val="BFF14A6A"/>
    <w:rsid w:val="CFDBFF2C"/>
    <w:rsid w:val="D7767B6A"/>
    <w:rsid w:val="D7C9E40F"/>
    <w:rsid w:val="DBF6FBD1"/>
    <w:rsid w:val="DD3E05B5"/>
    <w:rsid w:val="DD5E5960"/>
    <w:rsid w:val="DE955D07"/>
    <w:rsid w:val="DEEB0E1E"/>
    <w:rsid w:val="DFB77019"/>
    <w:rsid w:val="DFD36D60"/>
    <w:rsid w:val="DFF65136"/>
    <w:rsid w:val="E55F4A4C"/>
    <w:rsid w:val="E7FD9F36"/>
    <w:rsid w:val="E87B3B5D"/>
    <w:rsid w:val="E9FE1B85"/>
    <w:rsid w:val="EBDFA770"/>
    <w:rsid w:val="EBEFF94B"/>
    <w:rsid w:val="EE1F79E6"/>
    <w:rsid w:val="EF6EADF5"/>
    <w:rsid w:val="EFFCB0D9"/>
    <w:rsid w:val="F0167F90"/>
    <w:rsid w:val="F3C9D30C"/>
    <w:rsid w:val="F3DF7285"/>
    <w:rsid w:val="F5F7ED7C"/>
    <w:rsid w:val="F5FB94C8"/>
    <w:rsid w:val="F7F7F86C"/>
    <w:rsid w:val="F7FF9B2A"/>
    <w:rsid w:val="F8FFC91D"/>
    <w:rsid w:val="FB3C6A82"/>
    <w:rsid w:val="FD7769C8"/>
    <w:rsid w:val="FDEF6E1C"/>
    <w:rsid w:val="FE5F4371"/>
    <w:rsid w:val="FE7EA4B5"/>
    <w:rsid w:val="FEFCB9AC"/>
    <w:rsid w:val="FF5FADC3"/>
    <w:rsid w:val="FF7F3784"/>
    <w:rsid w:val="FFADF101"/>
    <w:rsid w:val="FFB7AA0F"/>
    <w:rsid w:val="FFEE4F94"/>
    <w:rsid w:val="FF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Minion Pro" w:hAnsi="Minion Pro" w:eastAsia="宋体" w:cs="Times New Roman"/>
      <w:color w:val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line="260" w:lineRule="atLeast"/>
      <w:jc w:val="both"/>
    </w:pPr>
    <w:rPr>
      <w:rFonts w:ascii="Minion Pro" w:hAnsi="Minion Pro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660</Words>
  <Characters>3768</Characters>
  <Lines>31</Lines>
  <Paragraphs>8</Paragraphs>
  <TotalTime>2</TotalTime>
  <ScaleCrop>false</ScaleCrop>
  <LinksUpToDate>false</LinksUpToDate>
  <CharactersWithSpaces>4420</CharactersWithSpaces>
  <Application>WPS Office_12.1.26030.26030_F1E327BC-269C-435d-A152-05C5408002CA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2026-01-27T14:02:00Z</dcterms:created>
  <dc:creator>ღ养乐多.</dc:creator>
  <cp:lastModifiedBy>ღ养乐多.</cp:lastModifiedBy>
  <dcterms:modified xsi:type="dcterms:W3CDTF">2026-07-02T00:17:54Z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2052-12.1.26030.26030</vt:lpwstr>
  </property>
  <property fmtid="{D5CDD505-2E9C-101B-9397-08002B2CF9AE}" pid="3" name="ICV">
    <vt:lpwstr>EE7513022B23A701082E7269FAB98EA5_41</vt:lpwstr>
  </property>
</Properties>
</file>