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DDD4A">
      <w:pPr>
        <w:jc w:val="center"/>
        <w:rPr>
          <w:rFonts w:hint="default" w:ascii="Times New Roman Bold" w:hAnsi="Times New Roman Bold" w:cs="Times New Roman Bold"/>
          <w:b/>
          <w:bCs/>
          <w:sz w:val="21"/>
          <w:szCs w:val="21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</w:rPr>
        <w:t>Table 1.Baseline Patient Characteristics (Patient-Level, N = 78)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3"/>
        <w:gridCol w:w="1866"/>
        <w:gridCol w:w="1750"/>
        <w:gridCol w:w="2073"/>
        <w:gridCol w:w="957"/>
      </w:tblGrid>
      <w:tr w14:paraId="5D4F93F2">
        <w:trPr>
          <w:trHeight w:val="0" w:hRule="atLeast"/>
          <w:tblHeader/>
          <w:jc w:val="center"/>
        </w:trPr>
        <w:tc>
          <w:tcPr>
            <w:tcW w:w="1099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C6F37E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Variable</w:t>
            </w:r>
          </w:p>
        </w:tc>
        <w:tc>
          <w:tcPr>
            <w:tcW w:w="1095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C142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Total (N=78)</w:t>
            </w:r>
          </w:p>
        </w:tc>
        <w:tc>
          <w:tcPr>
            <w:tcW w:w="102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E3386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QFR (n=39)</w:t>
            </w:r>
          </w:p>
        </w:tc>
        <w:tc>
          <w:tcPr>
            <w:tcW w:w="1216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9C55F5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IVUS+QFR (n=39)</w:t>
            </w:r>
          </w:p>
        </w:tc>
        <w:tc>
          <w:tcPr>
            <w:tcW w:w="561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3E7C3C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P-value</w:t>
            </w:r>
          </w:p>
        </w:tc>
      </w:tr>
      <w:tr w14:paraId="441AD2D6">
        <w:trPr>
          <w:trHeight w:val="0" w:hRule="atLeast"/>
          <w:jc w:val="center"/>
        </w:trPr>
        <w:tc>
          <w:tcPr>
            <w:tcW w:w="109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0EB8A2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Age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1FA87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65.71 (SD 10.22)</w:t>
            </w:r>
          </w:p>
        </w:tc>
        <w:tc>
          <w:tcPr>
            <w:tcW w:w="10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48F0D8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63.51 (SD 9.74)</w:t>
            </w:r>
          </w:p>
        </w:tc>
        <w:tc>
          <w:tcPr>
            <w:tcW w:w="1216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4F072A0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67.90 (SD 10.33)</w:t>
            </w:r>
          </w:p>
        </w:tc>
        <w:tc>
          <w:tcPr>
            <w:tcW w:w="56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0E4C9B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0.058</w:t>
            </w:r>
          </w:p>
        </w:tc>
      </w:tr>
      <w:tr w14:paraId="5EF30AE3">
        <w:trPr>
          <w:trHeight w:val="0" w:hRule="atLeast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72A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Male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31A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IN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50 (64.1%)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BFE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24 (61.5%)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201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26 (66.7%)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8A65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0.814</w:t>
            </w:r>
          </w:p>
        </w:tc>
      </w:tr>
      <w:tr w14:paraId="7F1ABC9C">
        <w:trPr>
          <w:trHeight w:val="0" w:hRule="atLeast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57C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Hypertension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0E8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55 (70.5%)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946F4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26 (66.7%)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7CF39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29 (74.4%)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99E6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0.620</w:t>
            </w:r>
          </w:p>
        </w:tc>
      </w:tr>
      <w:tr w14:paraId="1D087AA9">
        <w:trPr>
          <w:trHeight w:val="0" w:hRule="atLeast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C2A89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Diabetes mellitus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B066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22 (28.2%)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214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8 (20.5%)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C0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14 (35.9%)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019D9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0.208</w:t>
            </w:r>
          </w:p>
        </w:tc>
      </w:tr>
      <w:tr w14:paraId="0B3381B9">
        <w:trPr>
          <w:trHeight w:val="0" w:hRule="atLeast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66B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Dyslipidemia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6B5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24 (30.8%)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47A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13 (33.3%)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51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11 (28.2%)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1046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0.807</w:t>
            </w:r>
          </w:p>
        </w:tc>
      </w:tr>
      <w:tr w14:paraId="075F38AE">
        <w:trPr>
          <w:trHeight w:val="0" w:hRule="atLeast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44B8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Prior stroke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36D0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15 (19.2%)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9F18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8 (20.5%)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39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7 (17.9%)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8EE7C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1.000</w:t>
            </w:r>
          </w:p>
        </w:tc>
      </w:tr>
      <w:tr w14:paraId="719407C7">
        <w:trPr>
          <w:trHeight w:val="0" w:hRule="atLeast"/>
          <w:jc w:val="center"/>
        </w:trPr>
        <w:tc>
          <w:tcPr>
            <w:tcW w:w="10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E2E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Current smoking</w:t>
            </w:r>
          </w:p>
        </w:tc>
        <w:tc>
          <w:tcPr>
            <w:tcW w:w="109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F1C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33 (42.3%)</w:t>
            </w:r>
          </w:p>
        </w:tc>
        <w:tc>
          <w:tcPr>
            <w:tcW w:w="10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D234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14 (35.9%)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350E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19 (48.7%)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8BB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0.359</w:t>
            </w:r>
          </w:p>
        </w:tc>
      </w:tr>
    </w:tbl>
    <w:p w14:paraId="56FB3EC6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*Continuous variables are presented as mean (SD), and categorical variables as n (%). Continuous variables were compared using Welch's t-test, and categorical variables using Fisher's exact test.</w:t>
      </w:r>
    </w:p>
    <w:p w14:paraId="7FA417E7">
      <w:pPr>
        <w:jc w:val="center"/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62E88201">
      <w:pPr>
        <w:jc w:val="center"/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55360149">
      <w:pPr>
        <w:jc w:val="center"/>
        <w:rPr>
          <w:rFonts w:hint="default" w:ascii="Times New Roman Bold" w:hAnsi="Times New Roman Bold" w:cs="Times New Roman Bold"/>
          <w:b/>
          <w:bCs/>
          <w:sz w:val="21"/>
          <w:szCs w:val="21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</w:rPr>
        <w:t>Table 2. Angiographic and Lesion Characteristics (Vessel-Level, N = 82)</w:t>
      </w:r>
    </w:p>
    <w:tbl>
      <w:tblPr>
        <w:tblStyle w:val="3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34"/>
        <w:gridCol w:w="1563"/>
        <w:gridCol w:w="1563"/>
        <w:gridCol w:w="1563"/>
        <w:gridCol w:w="894"/>
      </w:tblGrid>
      <w:tr w14:paraId="64E4D567">
        <w:trPr>
          <w:trHeight w:val="0" w:hRule="atLeast"/>
          <w:tblHeader/>
          <w:jc w:val="center"/>
        </w:trPr>
        <w:tc>
          <w:tcPr>
            <w:tcW w:w="17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3DC3D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Variable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33D1F4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Total (N=82)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AE6774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QFR (n=43)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67BDD3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IVUS+QFR (n=39)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8E2EE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P-value</w:t>
            </w:r>
          </w:p>
        </w:tc>
      </w:tr>
      <w:tr w14:paraId="50302217">
        <w:trPr>
          <w:trHeight w:val="0" w:hRule="atLeast"/>
          <w:jc w:val="center"/>
        </w:trPr>
        <w:tc>
          <w:tcPr>
            <w:tcW w:w="17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39DBCB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Target vessel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40079F2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F70B6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226078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7FA80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0.078</w:t>
            </w:r>
          </w:p>
        </w:tc>
      </w:tr>
      <w:tr w14:paraId="6E65F175">
        <w:trPr>
          <w:trHeight w:val="0" w:hRule="atLeast"/>
          <w:jc w:val="center"/>
        </w:trPr>
        <w:tc>
          <w:tcPr>
            <w:tcW w:w="172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198B6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LAD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8E026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51 (62.2%)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4FFA4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22 (51.2%)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E67F59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29 (74.4%)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4475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4D5E9D35">
        <w:trPr>
          <w:trHeight w:val="0" w:hRule="atLeast"/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ED03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LCX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ABA714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16 (19.5%)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D98A6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12 (27.9%)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446E9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4 (10.3%)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F82F0D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03105503">
        <w:trPr>
          <w:trHeight w:val="0" w:hRule="atLeast"/>
          <w:jc w:val="center"/>
        </w:trPr>
        <w:tc>
          <w:tcPr>
            <w:tcW w:w="172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41C1D5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RCA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4417CCB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15 (18.3%)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60152C4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9 (20.9%)</w:t>
            </w:r>
          </w:p>
        </w:tc>
        <w:tc>
          <w:tcPr>
            <w:tcW w:w="92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75132B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6 (15.4%)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1130E1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42D5951A">
        <w:trPr>
          <w:trHeight w:val="0" w:hRule="atLeast"/>
          <w:jc w:val="center"/>
        </w:trPr>
        <w:tc>
          <w:tcPr>
            <w:tcW w:w="17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49A00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Baseline Physiology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18A34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3B93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FA14F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A6369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419F7B04">
        <w:trPr>
          <w:trHeight w:val="0" w:hRule="atLeast"/>
          <w:jc w:val="center"/>
        </w:trPr>
        <w:tc>
          <w:tcPr>
            <w:tcW w:w="172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6C5CD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Pre-QFR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D68A2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0.77 [0.70–0.82]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234B8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0.75 [0.70–0.81]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6B9C022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0.78 [0.73–0.82]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B0A9FC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0.311</w:t>
            </w:r>
          </w:p>
        </w:tc>
      </w:tr>
      <w:tr w14:paraId="5D5E0B58">
        <w:trPr>
          <w:trHeight w:val="0" w:hRule="atLeast"/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F225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Ischemic Zone (≤0.80)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648C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56 (68.3%)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F342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31 (72.1%)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0CF4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25 (64.1%)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C52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0.483</w:t>
            </w:r>
          </w:p>
        </w:tc>
      </w:tr>
      <w:tr w14:paraId="36518AC9">
        <w:trPr>
          <w:trHeight w:val="0" w:hRule="atLeast"/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611B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Gray Zone (QFR 0.81–0.85)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42CF7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26 (31.7%)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1E837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12 (27.9%)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647A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14 (35.9%)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74F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00FDEFDC">
        <w:trPr>
          <w:trHeight w:val="0" w:hRule="atLeast"/>
          <w:jc w:val="center"/>
        </w:trPr>
        <w:tc>
          <w:tcPr>
            <w:tcW w:w="17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1461E1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Baseline Anatomy (QFR-derived 3D-QCA geometry)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9FCD60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63ABD8F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2AFFA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4429571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345DCA56">
        <w:trPr>
          <w:trHeight w:val="0" w:hRule="atLeast"/>
          <w:jc w:val="center"/>
        </w:trPr>
        <w:tc>
          <w:tcPr>
            <w:tcW w:w="172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8E785B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Pre-PCI MLD, mm (median [IQR])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50294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1.23 [1.01–1.42]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EF6ADB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1.11 [1.02–1.33]</w:t>
            </w:r>
          </w:p>
        </w:tc>
        <w:tc>
          <w:tcPr>
            <w:tcW w:w="92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387453A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1.37 [1.00–1.50]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61B9EA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0.032</w:t>
            </w:r>
          </w:p>
        </w:tc>
      </w:tr>
      <w:tr w14:paraId="7FA2790E">
        <w:trPr>
          <w:trHeight w:val="0" w:hRule="atLeast"/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D281A9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Reference vessel diameter (RVD), mm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90C2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2.71 (SD 0.48)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71A3E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2.72 (SD 0.52)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AA72D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2.71 (SD 0.45)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A04A7B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0.955</w:t>
            </w:r>
          </w:p>
        </w:tc>
      </w:tr>
      <w:tr w14:paraId="1BF158B9">
        <w:trPr>
          <w:trHeight w:val="0" w:hRule="atLeast"/>
          <w:jc w:val="center"/>
        </w:trPr>
        <w:tc>
          <w:tcPr>
            <w:tcW w:w="172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70B180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Lesion Length (QFR-derived), mm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FA5ADD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16.00 [11.80–23.82]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20A0CA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17.20 [11.80–24.45]</w:t>
            </w:r>
          </w:p>
        </w:tc>
        <w:tc>
          <w:tcPr>
            <w:tcW w:w="922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9377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15.10 [12.05–22.40]</w:t>
            </w:r>
          </w:p>
        </w:tc>
        <w:tc>
          <w:tcPr>
            <w:tcW w:w="504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2546D4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0.441</w:t>
            </w:r>
          </w:p>
        </w:tc>
      </w:tr>
    </w:tbl>
    <w:p w14:paraId="14E56476">
      <w:pPr>
        <w:jc w:val="left"/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</w:rPr>
        <w:t>*</w:t>
      </w: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Continuous variables are presented as mean ± SD or median [IQR], and categorical variables as n (%). P values were derived from Welch's t-test, Mann-Whitney U test, or Fisher's exact test.</w:t>
      </w:r>
    </w:p>
    <w:p w14:paraId="3F4BBFA2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RVD and lesion length were derived from the 3D-QCA geometric output of the core laboratory's offline QFR analysis.</w:t>
      </w:r>
    </w:p>
    <w:p w14:paraId="1D2DF29A">
      <w:pPr>
        <w:jc w:val="center"/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58038F9A">
      <w:pPr>
        <w:jc w:val="center"/>
        <w:rPr>
          <w:rFonts w:hint="default" w:ascii="Times New Roman Bold" w:hAnsi="Times New Roman Bold" w:cs="Times New Roman Bold"/>
          <w:b/>
          <w:bCs/>
          <w:sz w:val="21"/>
          <w:szCs w:val="21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</w:rPr>
        <w:t>Table 3. Procedural Characteristics (Vessel-Level, N = 82)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5"/>
        <w:gridCol w:w="1856"/>
        <w:gridCol w:w="1856"/>
        <w:gridCol w:w="1858"/>
        <w:gridCol w:w="894"/>
      </w:tblGrid>
      <w:tr w14:paraId="08030D18">
        <w:trPr>
          <w:trHeight w:val="0" w:hRule="atLeast"/>
          <w:tblHeader/>
          <w:jc w:val="center"/>
        </w:trPr>
        <w:tc>
          <w:tcPr>
            <w:tcW w:w="1211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BA8FA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Characteristic</w:t>
            </w:r>
          </w:p>
        </w:tc>
        <w:tc>
          <w:tcPr>
            <w:tcW w:w="1094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C9B64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Total (N=82)</w:t>
            </w:r>
          </w:p>
        </w:tc>
        <w:tc>
          <w:tcPr>
            <w:tcW w:w="1094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069E64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QFR (n=43)</w:t>
            </w:r>
          </w:p>
        </w:tc>
        <w:tc>
          <w:tcPr>
            <w:tcW w:w="1095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B4CCD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IVUS+QFR (n=39)</w:t>
            </w:r>
          </w:p>
        </w:tc>
        <w:tc>
          <w:tcPr>
            <w:tcW w:w="504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82469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P-value</w:t>
            </w:r>
          </w:p>
        </w:tc>
      </w:tr>
      <w:tr w14:paraId="6B47CDE8">
        <w:trPr>
          <w:trHeight w:val="0" w:hRule="atLeast"/>
          <w:jc w:val="center"/>
        </w:trPr>
        <w:tc>
          <w:tcPr>
            <w:tcW w:w="12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81A00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DCB Treatment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899A89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9E5B9B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D11996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737306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74C3F1E8">
        <w:trPr>
          <w:trHeight w:val="0" w:hRule="atLeast"/>
          <w:jc w:val="center"/>
        </w:trPr>
        <w:tc>
          <w:tcPr>
            <w:tcW w:w="121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CB320D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DCB Diameter, mm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F00813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2.75 [2.50–3.00]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1693C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2.50 [2.50–3.00]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D510B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2.75 [2.50–3.00]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93156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0.123</w:t>
            </w:r>
          </w:p>
        </w:tc>
      </w:tr>
      <w:tr w14:paraId="6AEEC65B">
        <w:trPr>
          <w:trHeight w:val="0" w:hRule="atLeast"/>
          <w:jc w:val="center"/>
        </w:trPr>
        <w:tc>
          <w:tcPr>
            <w:tcW w:w="121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C24515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Balloon-to-RVD Ratio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851140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1.02 (SD 0.15)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97B1F5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1.00 (SD 0.15)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36D7C8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1.05 (SD 0.15)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A4E5A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0.155</w:t>
            </w:r>
          </w:p>
        </w:tc>
      </w:tr>
      <w:tr w14:paraId="7B5F44A4">
        <w:trPr>
          <w:trHeight w:val="0" w:hRule="atLeast"/>
          <w:jc w:val="center"/>
        </w:trPr>
        <w:tc>
          <w:tcPr>
            <w:tcW w:w="1211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3C7FF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DCB Length, mm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5D0586E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20.00 [16.00–25.00]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81484B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20.00 [18.00–24.00]</w:t>
            </w:r>
          </w:p>
        </w:tc>
        <w:tc>
          <w:tcPr>
            <w:tcW w:w="1095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06350B1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20.00 [16.00–25.00]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BF6852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0.710</w:t>
            </w:r>
          </w:p>
        </w:tc>
      </w:tr>
      <w:tr w14:paraId="3D977ABF">
        <w:trPr>
          <w:trHeight w:val="0" w:hRule="atLeast"/>
          <w:jc w:val="center"/>
        </w:trPr>
        <w:tc>
          <w:tcPr>
            <w:tcW w:w="12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10D944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DCB Brand, n (%)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A16BBA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52A4C4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2BC889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5D027E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0.482</w:t>
            </w:r>
          </w:p>
        </w:tc>
      </w:tr>
      <w:tr w14:paraId="50AD0AEA">
        <w:trPr>
          <w:trHeight w:val="0" w:hRule="atLeast"/>
          <w:jc w:val="center"/>
        </w:trPr>
        <w:tc>
          <w:tcPr>
            <w:tcW w:w="12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74CC3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Vesselin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6E9AF9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55 (67.1%)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E01AD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31 (72.1%)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015DDD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24 (61.5%)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0916F47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4E2B7A15">
        <w:trPr>
          <w:trHeight w:val="0" w:hRule="atLeast"/>
          <w:jc w:val="center"/>
        </w:trPr>
        <w:tc>
          <w:tcPr>
            <w:tcW w:w="12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1988934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Swide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785F77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14 (17.1%)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97425D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7 (16.3%)</w:t>
            </w:r>
          </w:p>
        </w:tc>
        <w:tc>
          <w:tcPr>
            <w:tcW w:w="109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7DC821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7 (17.9%)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4178B10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06596ED9">
        <w:trPr>
          <w:trHeight w:val="0" w:hRule="atLeast"/>
          <w:jc w:val="center"/>
        </w:trPr>
        <w:tc>
          <w:tcPr>
            <w:tcW w:w="12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4F7681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SeQuent Please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261533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8 (9.8%)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AC2071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4 (9.3%)</w:t>
            </w:r>
          </w:p>
        </w:tc>
        <w:tc>
          <w:tcPr>
            <w:tcW w:w="109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0096302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4 (10.3%)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1CC32B1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7073C2AA">
        <w:trPr>
          <w:trHeight w:val="0" w:hRule="atLeast"/>
          <w:jc w:val="center"/>
        </w:trPr>
        <w:tc>
          <w:tcPr>
            <w:tcW w:w="121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FFE371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*Others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46951F2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5 (6.1%)</w:t>
            </w:r>
          </w:p>
        </w:tc>
        <w:tc>
          <w:tcPr>
            <w:tcW w:w="109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61D9D60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 (2.3%)</w:t>
            </w:r>
          </w:p>
        </w:tc>
        <w:tc>
          <w:tcPr>
            <w:tcW w:w="109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CF5AB0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4 (10.3%)</w:t>
            </w:r>
          </w:p>
        </w:tc>
        <w:tc>
          <w:tcPr>
            <w:tcW w:w="5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7AE2FFC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4CAD08E1">
        <w:trPr>
          <w:trHeight w:val="0" w:hRule="atLeast"/>
          <w:jc w:val="center"/>
        </w:trPr>
        <w:tc>
          <w:tcPr>
            <w:tcW w:w="121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3FFF82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cs="Times New Roman Regular"/>
                <w:bCs/>
                <w:sz w:val="21"/>
                <w:szCs w:val="21"/>
                <w:lang w:val="en-US" w:eastAsia="zh-CN" w:bidi="ar"/>
              </w:rPr>
              <w:t>Stent implantation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2DDFEE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2DBC0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437F24A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FADE16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69EE8A18">
        <w:trPr>
          <w:trHeight w:val="0" w:hRule="atLeast"/>
          <w:jc w:val="center"/>
        </w:trPr>
        <w:tc>
          <w:tcPr>
            <w:tcW w:w="1211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53A7F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Total stenting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02BAAD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 (3.7%)</w:t>
            </w:r>
          </w:p>
        </w:tc>
        <w:tc>
          <w:tcPr>
            <w:tcW w:w="109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646E1F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 (0.0%)</w:t>
            </w:r>
          </w:p>
        </w:tc>
        <w:tc>
          <w:tcPr>
            <w:tcW w:w="1095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8586A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 (7.7%)</w:t>
            </w:r>
          </w:p>
        </w:tc>
        <w:tc>
          <w:tcPr>
            <w:tcW w:w="504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2FA5DD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0.103</w:t>
            </w:r>
          </w:p>
        </w:tc>
      </w:tr>
    </w:tbl>
    <w:p w14:paraId="7F34B320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*Others include Cardionovum, Atheris, Restore, and Qingzhou (Sino Medical).</w:t>
      </w:r>
    </w:p>
    <w:p w14:paraId="23C8CEDC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Continuous variables are presented as mean ± SD or median [IQR], and categorical variables as n (%). P values were derived from Welch's t-test, Mann-Whitney U test, or Fisher's exact test.</w:t>
      </w:r>
    </w:p>
    <w:p w14:paraId="29354FFA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The balloon-to-RVD ratio is defined as the nominal diameter of the DCB divided by the RVD measured by QFR (3D-QCA).</w:t>
      </w:r>
    </w:p>
    <w:p w14:paraId="69B4878A">
      <w:pPr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610630BC">
      <w:pPr>
        <w:rPr>
          <w:rFonts w:hint="default" w:ascii="Times New Roman Regular" w:hAnsi="Times New Roman Regular" w:cs="Times New Roman Regular"/>
          <w:sz w:val="21"/>
          <w:szCs w:val="21"/>
        </w:rPr>
      </w:pPr>
    </w:p>
    <w:p w14:paraId="61D06B84">
      <w:pPr>
        <w:rPr>
          <w:rFonts w:hint="default" w:ascii="Times New Roman Regular" w:hAnsi="Times New Roman Regular" w:cs="Times New Roman Regular"/>
          <w:sz w:val="21"/>
          <w:szCs w:val="21"/>
        </w:rPr>
      </w:pPr>
      <w:bookmarkStart w:id="0" w:name="_GoBack"/>
      <w:bookmarkEnd w:id="0"/>
    </w:p>
    <w:p w14:paraId="4DC0AD1F">
      <w:pPr>
        <w:jc w:val="center"/>
        <w:rPr>
          <w:rFonts w:hint="default" w:ascii="Times New Roman Bold" w:hAnsi="Times New Roman Bold" w:cs="Times New Roman Bold"/>
          <w:b/>
          <w:bCs/>
          <w:sz w:val="21"/>
          <w:szCs w:val="21"/>
        </w:rPr>
      </w:pPr>
      <w:r>
        <w:rPr>
          <w:rFonts w:hint="default" w:ascii="Times New Roman Bold" w:hAnsi="Times New Roman Bold" w:cs="Times New Roman Bold"/>
          <w:b/>
          <w:bCs/>
          <w:sz w:val="21"/>
          <w:szCs w:val="21"/>
        </w:rPr>
        <w:t>Table 4. Functional Endpoints (Vessel-Level, N = 82)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27"/>
        <w:gridCol w:w="1735"/>
        <w:gridCol w:w="1363"/>
        <w:gridCol w:w="1481"/>
        <w:gridCol w:w="1216"/>
      </w:tblGrid>
      <w:tr w14:paraId="4DB2A878">
        <w:trPr>
          <w:trHeight w:val="0" w:hRule="atLeast"/>
          <w:tblHeader/>
          <w:jc w:val="center"/>
        </w:trPr>
        <w:tc>
          <w:tcPr>
            <w:tcW w:w="1599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3BE5E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Outcomes</w:t>
            </w:r>
          </w:p>
        </w:tc>
        <w:tc>
          <w:tcPr>
            <w:tcW w:w="1017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694F233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Total (N=82)</w:t>
            </w:r>
          </w:p>
        </w:tc>
        <w:tc>
          <w:tcPr>
            <w:tcW w:w="799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C06F93B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QFR (n=43)</w:t>
            </w:r>
          </w:p>
        </w:tc>
        <w:tc>
          <w:tcPr>
            <w:tcW w:w="868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29416C3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IVUS+QFR (n=39)</w:t>
            </w:r>
          </w:p>
        </w:tc>
        <w:tc>
          <w:tcPr>
            <w:tcW w:w="713" w:type="pct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63A17E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/>
                <w:bCs/>
                <w:sz w:val="21"/>
                <w:szCs w:val="21"/>
                <w:lang w:val="en-US" w:eastAsia="zh-CN" w:bidi="ar"/>
              </w:rPr>
              <w:t>P-value</w:t>
            </w:r>
          </w:p>
        </w:tc>
      </w:tr>
      <w:tr w14:paraId="72BA164B">
        <w:trPr>
          <w:trHeight w:val="0" w:hRule="atLeast"/>
          <w:jc w:val="center"/>
        </w:trPr>
        <w:tc>
          <w:tcPr>
            <w:tcW w:w="15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9F5D0FE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Primary Endpoint (Post-PCI QFR ≥ 0.90)</w:t>
            </w:r>
          </w:p>
        </w:tc>
        <w:tc>
          <w:tcPr>
            <w:tcW w:w="101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65F9277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B82B22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FFA451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3A1810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61BEBE18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7F63E7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Success Rate, n (%)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CC67759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67 (81.7%)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4DD8CA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IN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34 (79.1%)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26A2ED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33 (84.6%)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E94138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0.577</w:t>
            </w:r>
          </w:p>
        </w:tc>
      </w:tr>
      <w:tr w14:paraId="3DD821DF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D8F8F8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Risk difference (QFR − IVUS+QFR), % (95% CI)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7834FE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−5.5% (−21.3% to +11.7%)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39DC4A9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8E5C8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E7FF49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</w:tr>
      <w:tr w14:paraId="529FFDE5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2798450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Adjusted Odds Ratio (95% CI)*</w:t>
            </w:r>
          </w:p>
        </w:tc>
        <w:tc>
          <w:tcPr>
            <w:tcW w:w="10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179BD470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50319272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0.58 (0.18–1.85)</w:t>
            </w:r>
          </w:p>
        </w:tc>
        <w:tc>
          <w:tcPr>
            <w:tcW w:w="8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18CBFD60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64C41D2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0.357</w:t>
            </w:r>
          </w:p>
        </w:tc>
      </w:tr>
      <w:tr w14:paraId="632FBD2F">
        <w:trPr>
          <w:trHeight w:val="0" w:hRule="atLeast"/>
          <w:jc w:val="center"/>
        </w:trPr>
        <w:tc>
          <w:tcPr>
            <w:tcW w:w="15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EDC1D0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Functional Outcomes</w:t>
            </w:r>
          </w:p>
        </w:tc>
        <w:tc>
          <w:tcPr>
            <w:tcW w:w="10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D52390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663D20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E7D7817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E74D581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6EF1EE94">
        <w:trPr>
          <w:trHeight w:val="0" w:hRule="atLeast"/>
          <w:jc w:val="center"/>
        </w:trPr>
        <w:tc>
          <w:tcPr>
            <w:tcW w:w="159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39798F9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Post-PCI QFR (Continuous)</w:t>
            </w:r>
          </w:p>
        </w:tc>
        <w:tc>
          <w:tcPr>
            <w:tcW w:w="101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078558D7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0.93 [0.90–0.96]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1ADD532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0.93 [0.91–0.95]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4D8B5A2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0.93 [0.90–0.97]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8BCD2D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0.963</w:t>
            </w:r>
          </w:p>
        </w:tc>
      </w:tr>
      <w:tr w14:paraId="25156886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5A877F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Actual ΔQFR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CE3FB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0.15 [0.12–0.24]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31402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0.16 [0.12–0.24]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738C49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0.15 [0.12–0.22]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D99427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0.393</w:t>
            </w:r>
          </w:p>
        </w:tc>
      </w:tr>
      <w:tr w14:paraId="174012A4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15793AD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Subgroup Analysis (Success Rate)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7C93A2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DC7B524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17D05E9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458A1B2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P-int=0.252</w:t>
            </w:r>
          </w:p>
        </w:tc>
      </w:tr>
      <w:tr w14:paraId="3050CF0B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017E36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Ischemic Zone (≤0.80)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F7C1812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44/56 (78.6%)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B45E14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24/31 (77.4%)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08A028D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20/25 (80.0%)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990BA8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1.000</w:t>
            </w:r>
          </w:p>
        </w:tc>
      </w:tr>
      <w:tr w14:paraId="6A27471A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723B875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Grey Zone (0.81–0.85)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06823B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23/26 (88.5%)</w:t>
            </w:r>
          </w:p>
        </w:tc>
        <w:tc>
          <w:tcPr>
            <w:tcW w:w="79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62EFAB2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10/12 (83.3%)</w:t>
            </w:r>
          </w:p>
        </w:tc>
        <w:tc>
          <w:tcPr>
            <w:tcW w:w="8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35468F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13/14 (92.9%)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84C821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0.580</w:t>
            </w:r>
          </w:p>
        </w:tc>
      </w:tr>
      <w:tr w14:paraId="67BE115A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FDFAABA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Sensitivity Analysis (N = 81)‡</w:t>
            </w:r>
          </w:p>
        </w:tc>
        <w:tc>
          <w:tcPr>
            <w:tcW w:w="101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42A58C32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64001FE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86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73D57EB1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E7E6E6" w:themeFill="background2"/>
            <w:vAlign w:val="center"/>
          </w:tcPr>
          <w:p w14:paraId="606A43F6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</w:p>
        </w:tc>
      </w:tr>
      <w:tr w14:paraId="464EFE58">
        <w:trPr>
          <w:trHeight w:val="0" w:hRule="atLeast"/>
          <w:jc w:val="center"/>
        </w:trPr>
        <w:tc>
          <w:tcPr>
            <w:tcW w:w="15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01AC9380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Success Rate, n (%)</w:t>
            </w:r>
          </w:p>
        </w:tc>
        <w:tc>
          <w:tcPr>
            <w:tcW w:w="1017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54A334E5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67 (82.7%)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1431132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34 (79.1%)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39B8A77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33 (86.8%)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 w14:paraId="7BFD7A6F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0.394</w:t>
            </w:r>
          </w:p>
        </w:tc>
      </w:tr>
      <w:tr w14:paraId="49F7EDAA">
        <w:trPr>
          <w:trHeight w:val="0" w:hRule="atLeast"/>
          <w:jc w:val="center"/>
        </w:trPr>
        <w:tc>
          <w:tcPr>
            <w:tcW w:w="159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F803FC6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Risk difference (QFR − IVUS+QFR), % (95% CI)</w:t>
            </w:r>
          </w:p>
        </w:tc>
        <w:tc>
          <w:tcPr>
            <w:tcW w:w="1017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561B658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−7.8% (−22.8% to +8.7%)</w:t>
            </w:r>
          </w:p>
        </w:tc>
        <w:tc>
          <w:tcPr>
            <w:tcW w:w="799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41384C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868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BDA7741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713" w:type="pct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71DB6BA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</w:tr>
      <w:tr w14:paraId="24AC4F60">
        <w:trPr>
          <w:trHeight w:val="0" w:hRule="atLeast"/>
          <w:jc w:val="center"/>
        </w:trPr>
        <w:tc>
          <w:tcPr>
            <w:tcW w:w="159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47656268">
            <w:pPr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Adjusted Odds Ratio (95% CI)*</w:t>
            </w:r>
          </w:p>
        </w:tc>
        <w:tc>
          <w:tcPr>
            <w:tcW w:w="1017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77D0CD8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—</w:t>
            </w:r>
          </w:p>
        </w:tc>
        <w:tc>
          <w:tcPr>
            <w:tcW w:w="799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336284E0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0.45 (0.13–1.51)</w:t>
            </w:r>
          </w:p>
        </w:tc>
        <w:tc>
          <w:tcPr>
            <w:tcW w:w="868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5904703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Reference</w:t>
            </w:r>
          </w:p>
        </w:tc>
        <w:tc>
          <w:tcPr>
            <w:tcW w:w="713" w:type="pct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6B011C6C">
            <w:pPr>
              <w:snapToGrid w:val="0"/>
              <w:spacing w:line="240" w:lineRule="auto"/>
              <w:ind w:left="0" w:leftChars="0" w:right="0" w:rightChars="0" w:firstLine="0" w:firstLineChars="0"/>
              <w:jc w:val="right"/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 Regular" w:hAnsi="Times New Roman Regular" w:eastAsia="宋体" w:cs="Times New Roman Regular"/>
                <w:bCs/>
                <w:sz w:val="21"/>
                <w:szCs w:val="21"/>
                <w:lang w:val="en-US" w:eastAsia="zh-CN" w:bidi="ar"/>
              </w:rPr>
              <w:t>0.196</w:t>
            </w:r>
          </w:p>
        </w:tc>
      </w:tr>
    </w:tbl>
    <w:p w14:paraId="016DDE2F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 xml:space="preserve">Statistical methods: Values are presented as mean ± SD, median [IQR], or n (%). P values were derived from Fisher's exact test or patient-level cluster bootstrap (for RD). vPCI prediction accuracy data are shown in </w:t>
      </w:r>
      <w:r>
        <w:rPr>
          <w:rFonts w:hint="eastAsia" w:ascii="Times New Roman Regular" w:hAnsi="Times New Roman Regular" w:cs="Times New Roman Regular"/>
          <w:sz w:val="21"/>
          <w:szCs w:val="21"/>
          <w:lang w:eastAsia="zh-CN"/>
        </w:rPr>
        <w:t>Additional file</w:t>
      </w: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 xml:space="preserve"> 2.</w:t>
      </w:r>
    </w:p>
    <w:p w14:paraId="6EF16F69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* Supportive analysis adjusting for covariates using a GEE logistic model (adjusted for pre-PCI MLD and pre-PCI QFR, with patient ID as the clustering unit), reporting the adjusted odds ratio (aOR) and Wald robust P value.</w:t>
      </w:r>
    </w:p>
    <w:p w14:paraId="5E184AAD">
      <w:pPr>
        <w:rPr>
          <w:rFonts w:hint="default" w:ascii="Times New Roman Regular" w:hAnsi="Times New Roman Regular" w:eastAsia="宋体" w:cs="Times New Roman Regular"/>
          <w:sz w:val="21"/>
          <w:szCs w:val="21"/>
          <w:lang w:eastAsia="zh-CN"/>
        </w:rPr>
      </w:pPr>
      <w:r>
        <w:rPr>
          <w:rFonts w:hint="default" w:ascii="Times New Roman Regular" w:hAnsi="Times New Roman Regular" w:cs="Times New Roman Regular"/>
          <w:sz w:val="21"/>
          <w:szCs w:val="21"/>
          <w:lang w:eastAsia="zh-CN"/>
        </w:rPr>
        <w:t>‡ Sensitivity analysis excluded 1 vessel in the IVUS+QFR group with an anomalous post-PCI QFR drop due to postoperative coronary vasospasm: Case 3 (pre-PCI QFR 0.78 → post-PCI QFR 0.23, ΔQFR −0.55). The primary RD and GEE analyses were repeated after exclusion.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Minion Pro">
    <w:altName w:val="苹方-简"/>
    <w:panose1 w:val="020B0604020202020204"/>
    <w:charset w:val="00"/>
    <w:family w:val="roman"/>
    <w:pitch w:val="default"/>
    <w:sig w:usb0="00000000" w:usb1="00000000" w:usb2="00000000" w:usb3="00000000" w:csb0="0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imes New Roman Regular">
    <w:panose1 w:val="02020503050405090304"/>
    <w:charset w:val="00"/>
    <w:family w:val="auto"/>
    <w:pitch w:val="default"/>
    <w:sig w:usb0="E0000AFF" w:usb1="00007843" w:usb2="00000001" w:usb3="00000000" w:csb0="400001BF" w:csb1="DFF7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Times New Roman Bold">
    <w:panose1 w:val="02020503050405090304"/>
    <w:charset w:val="00"/>
    <w:family w:val="auto"/>
    <w:pitch w:val="default"/>
    <w:sig w:usb0="E0000AFF" w:usb1="00007843" w:usb2="00000001" w:usb3="00000000" w:csb0="400001BF" w:csb1="DFF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BCEBC"/>
    <w:rsid w:val="00163F32"/>
    <w:rsid w:val="00265312"/>
    <w:rsid w:val="0048691D"/>
    <w:rsid w:val="00831F5E"/>
    <w:rsid w:val="00AE62BF"/>
    <w:rsid w:val="00BB6731"/>
    <w:rsid w:val="00F65651"/>
    <w:rsid w:val="1479C0F1"/>
    <w:rsid w:val="1F5D22D6"/>
    <w:rsid w:val="1F9FE734"/>
    <w:rsid w:val="27D9A8EC"/>
    <w:rsid w:val="2FDE4A93"/>
    <w:rsid w:val="2FDFA205"/>
    <w:rsid w:val="377B23B0"/>
    <w:rsid w:val="377F07A2"/>
    <w:rsid w:val="396F7861"/>
    <w:rsid w:val="3BFF22EE"/>
    <w:rsid w:val="3F3FE254"/>
    <w:rsid w:val="3F872A2E"/>
    <w:rsid w:val="3FBD77E4"/>
    <w:rsid w:val="3FF7FDB4"/>
    <w:rsid w:val="469F7871"/>
    <w:rsid w:val="49BF93A9"/>
    <w:rsid w:val="4D7F69B6"/>
    <w:rsid w:val="55F6BA17"/>
    <w:rsid w:val="5BEDF1BA"/>
    <w:rsid w:val="5C777773"/>
    <w:rsid w:val="5CBFA600"/>
    <w:rsid w:val="63731039"/>
    <w:rsid w:val="67BF2AB7"/>
    <w:rsid w:val="6A3F2B74"/>
    <w:rsid w:val="6BBF5D76"/>
    <w:rsid w:val="6BFD247B"/>
    <w:rsid w:val="6DFE4A49"/>
    <w:rsid w:val="6F2DCED2"/>
    <w:rsid w:val="6F6E9CC4"/>
    <w:rsid w:val="6FBEC937"/>
    <w:rsid w:val="6FFFC7DB"/>
    <w:rsid w:val="6FFFFA82"/>
    <w:rsid w:val="75FF1521"/>
    <w:rsid w:val="773B634C"/>
    <w:rsid w:val="779BBB30"/>
    <w:rsid w:val="77EED58E"/>
    <w:rsid w:val="77F50A5F"/>
    <w:rsid w:val="78D5D38E"/>
    <w:rsid w:val="7A3F687A"/>
    <w:rsid w:val="7A57D659"/>
    <w:rsid w:val="7AF5CB16"/>
    <w:rsid w:val="7B3FEA09"/>
    <w:rsid w:val="7BCF6762"/>
    <w:rsid w:val="7BD77D8E"/>
    <w:rsid w:val="7BDE834E"/>
    <w:rsid w:val="7BF54F40"/>
    <w:rsid w:val="7BFAAEC2"/>
    <w:rsid w:val="7BFF55E9"/>
    <w:rsid w:val="7BFFA18A"/>
    <w:rsid w:val="7CFFB629"/>
    <w:rsid w:val="7EE78CD2"/>
    <w:rsid w:val="7F2F090D"/>
    <w:rsid w:val="7F372D73"/>
    <w:rsid w:val="7F37561C"/>
    <w:rsid w:val="7FBF5167"/>
    <w:rsid w:val="7FDF0E8D"/>
    <w:rsid w:val="7FF5B99E"/>
    <w:rsid w:val="7FF70A5F"/>
    <w:rsid w:val="7FFA6074"/>
    <w:rsid w:val="7FFF6F94"/>
    <w:rsid w:val="9CEE013E"/>
    <w:rsid w:val="AF036E13"/>
    <w:rsid w:val="AFFF1628"/>
    <w:rsid w:val="BD179039"/>
    <w:rsid w:val="BDEB46A7"/>
    <w:rsid w:val="BE7E2D28"/>
    <w:rsid w:val="BFBBCEBC"/>
    <w:rsid w:val="BFF14A6A"/>
    <w:rsid w:val="CFDBFF2C"/>
    <w:rsid w:val="D7767B6A"/>
    <w:rsid w:val="D7C9E40F"/>
    <w:rsid w:val="DBF6FBD1"/>
    <w:rsid w:val="DD3E05B5"/>
    <w:rsid w:val="DD5E5960"/>
    <w:rsid w:val="DE955D07"/>
    <w:rsid w:val="DEEB0E1E"/>
    <w:rsid w:val="DFD36D60"/>
    <w:rsid w:val="E55F4A4C"/>
    <w:rsid w:val="E7FD9F36"/>
    <w:rsid w:val="E87B3B5D"/>
    <w:rsid w:val="E9FE1B85"/>
    <w:rsid w:val="EBDFA770"/>
    <w:rsid w:val="EBEFF94B"/>
    <w:rsid w:val="EE1F79E6"/>
    <w:rsid w:val="EEF71A88"/>
    <w:rsid w:val="EF6EADF5"/>
    <w:rsid w:val="EFFCB0D9"/>
    <w:rsid w:val="F0167F90"/>
    <w:rsid w:val="F3C9D30C"/>
    <w:rsid w:val="F3DF7285"/>
    <w:rsid w:val="F5F7ED7C"/>
    <w:rsid w:val="F5FB94C8"/>
    <w:rsid w:val="F7F7F86C"/>
    <w:rsid w:val="F7FF9B2A"/>
    <w:rsid w:val="F8FFC91D"/>
    <w:rsid w:val="FB3C6A82"/>
    <w:rsid w:val="FD7769C8"/>
    <w:rsid w:val="FDD85639"/>
    <w:rsid w:val="FDEF6E1C"/>
    <w:rsid w:val="FE5F4371"/>
    <w:rsid w:val="FE7EA4B5"/>
    <w:rsid w:val="FEEF5AF6"/>
    <w:rsid w:val="FEFCB9AC"/>
    <w:rsid w:val="FF5FADC3"/>
    <w:rsid w:val="FF7F3784"/>
    <w:rsid w:val="FFADF101"/>
    <w:rsid w:val="FFB7AA0F"/>
    <w:rsid w:val="FFEE4F94"/>
    <w:rsid w:val="FF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260" w:lineRule="atLeast"/>
      <w:jc w:val="both"/>
    </w:pPr>
    <w:rPr>
      <w:rFonts w:ascii="Minion Pro" w:hAnsi="Minion Pro" w:eastAsia="宋体" w:cs="Times New Roman"/>
      <w:color w:val="000000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line="260" w:lineRule="atLeast"/>
      <w:jc w:val="both"/>
    </w:pPr>
    <w:rPr>
      <w:rFonts w:ascii="Minion Pro" w:hAnsi="Minion Pro"/>
      <w:color w:val="00000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Emphasis"/>
    <w:basedOn w:val="4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660</Words>
  <Characters>3768</Characters>
  <Lines>31</Lines>
  <Paragraphs>8</Paragraphs>
  <TotalTime>14</TotalTime>
  <ScaleCrop>false</ScaleCrop>
  <LinksUpToDate>false</LinksUpToDate>
  <CharactersWithSpaces>4420</CharactersWithSpaces>
  <Application>WPS Office_12.1.26030.26030_F1E327BC-269C-435d-A152-05C5408002CA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2026-01-27T06:02:00Z</dcterms:created>
  <dc:creator>ღ养乐多.</dc:creator>
  <cp:lastModifiedBy>ღ养乐多.</cp:lastModifiedBy>
  <dcterms:modified xsi:type="dcterms:W3CDTF">2026-07-02T00:18:16Z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2052-12.1.26030.26030</vt:lpwstr>
  </property>
  <property fmtid="{D5CDD505-2E9C-101B-9397-08002B2CF9AE}" pid="3" name="ICV">
    <vt:lpwstr>EE7513022B23A701082E7269FAB98EA5_41</vt:lpwstr>
  </property>
</Properties>
</file>