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4DC49B">
      <w:pPr>
        <w:rPr>
          <w:rFonts w:hint="default" w:ascii="Times New Roman" w:hAnsi="Times New Roman" w:cs="Times New Roman"/>
          <w:b w:val="0"/>
          <w:sz w:val="21"/>
          <w:szCs w:val="21"/>
          <w:lang w:eastAsia="zh-CN"/>
        </w:rPr>
      </w:pPr>
    </w:p>
    <w:p w14:paraId="4ECB792F">
      <w:pPr>
        <w:jc w:val="center"/>
        <w:rPr>
          <w:rFonts w:hint="default" w:ascii="Times New Roman" w:hAnsi="Times New Roman" w:cs="Times New Roman"/>
          <w:b w:val="0"/>
          <w:sz w:val="21"/>
          <w:szCs w:val="21"/>
        </w:rPr>
      </w:pPr>
      <w:r>
        <w:rPr>
          <w:rFonts w:hint="default" w:ascii="Times New Roman Bold" w:hAnsi="Times New Roman Bold" w:cs="Times New Roman Bold"/>
          <w:b/>
          <w:bCs/>
          <w:sz w:val="21"/>
          <w:szCs w:val="21"/>
          <w:lang w:eastAsia="zh-CN"/>
        </w:rPr>
        <w:t>Additional file</w:t>
      </w:r>
      <w:r>
        <w:rPr>
          <w:rFonts w:hint="default" w:ascii="Times New Roman Bold" w:hAnsi="Times New Roman Bold" w:cs="Times New Roman Bold"/>
          <w:b/>
          <w:bCs/>
          <w:sz w:val="21"/>
          <w:szCs w:val="21"/>
        </w:rPr>
        <w:t xml:space="preserve"> 1. Case vignette summary of three stented cases (IVUS+QFR arm)</w:t>
      </w:r>
    </w:p>
    <w:tbl>
      <w:tblPr>
        <w:tblStyle w:val="2"/>
        <w:tblW w:w="5000" w:type="pct"/>
        <w:jc w:val="center"/>
        <w:tblLayout w:type="autofit"/>
        <w:tblCellMar>
          <w:top w:w="0" w:type="dxa"/>
          <w:left w:w="108" w:type="dxa"/>
          <w:bottom w:w="0" w:type="dxa"/>
          <w:right w:w="108" w:type="dxa"/>
        </w:tblCellMar>
      </w:tblPr>
      <w:tblGrid>
        <w:gridCol w:w="686"/>
        <w:gridCol w:w="990"/>
        <w:gridCol w:w="1044"/>
        <w:gridCol w:w="1444"/>
        <w:gridCol w:w="1115"/>
        <w:gridCol w:w="1342"/>
        <w:gridCol w:w="1098"/>
        <w:gridCol w:w="4951"/>
        <w:gridCol w:w="1504"/>
      </w:tblGrid>
      <w:tr w14:paraId="52EE6D60">
        <w:trPr>
          <w:trHeight w:val="0" w:hRule="atLeast"/>
          <w:tblHeader/>
          <w:jc w:val="center"/>
        </w:trPr>
        <w:tc>
          <w:tcPr>
            <w:tcW w:w="242" w:type="pct"/>
            <w:vAlign w:val="center"/>
          </w:tcPr>
          <w:p w14:paraId="05C5FB9B">
            <w:pPr>
              <w:snapToGrid w:val="0"/>
              <w:spacing w:line="240" w:lineRule="auto"/>
              <w:ind w:left="0" w:leftChars="0" w:right="0" w:rightChars="0" w:firstLine="0" w:firstLineChars="0"/>
              <w:jc w:val="center"/>
              <w:rPr>
                <w:rFonts w:hint="default" w:ascii="Times New Roman" w:hAnsi="Times New Roman" w:cs="Times New Roman"/>
                <w:b/>
                <w:bCs/>
                <w:sz w:val="21"/>
                <w:szCs w:val="21"/>
                <w:lang w:bidi="ar"/>
              </w:rPr>
            </w:pPr>
            <w:r>
              <w:rPr>
                <w:rFonts w:hint="default" w:ascii="Times New Roman" w:hAnsi="Times New Roman" w:cs="Times New Roman"/>
                <w:b/>
                <w:bCs/>
                <w:sz w:val="21"/>
                <w:szCs w:val="21"/>
                <w:lang w:bidi="ar"/>
              </w:rPr>
              <w:t>Case</w:t>
            </w:r>
          </w:p>
        </w:tc>
        <w:tc>
          <w:tcPr>
            <w:tcW w:w="349" w:type="pct"/>
            <w:vAlign w:val="center"/>
          </w:tcPr>
          <w:p w14:paraId="2DF8108A">
            <w:pPr>
              <w:snapToGrid w:val="0"/>
              <w:spacing w:line="240" w:lineRule="auto"/>
              <w:ind w:left="0" w:leftChars="0" w:right="0" w:rightChars="0" w:firstLine="0" w:firstLineChars="0"/>
              <w:jc w:val="center"/>
              <w:rPr>
                <w:rFonts w:hint="default" w:ascii="Times New Roman" w:hAnsi="Times New Roman" w:cs="Times New Roman"/>
                <w:b/>
                <w:bCs/>
                <w:sz w:val="21"/>
                <w:szCs w:val="21"/>
                <w:lang w:bidi="ar"/>
              </w:rPr>
            </w:pPr>
            <w:r>
              <w:rPr>
                <w:rFonts w:hint="default" w:ascii="Times New Roman" w:hAnsi="Times New Roman" w:cs="Times New Roman"/>
                <w:b/>
                <w:bCs/>
                <w:sz w:val="21"/>
                <w:szCs w:val="21"/>
                <w:lang w:bidi="ar"/>
              </w:rPr>
              <w:t>Target vessel</w:t>
            </w:r>
          </w:p>
        </w:tc>
        <w:tc>
          <w:tcPr>
            <w:tcW w:w="368" w:type="pct"/>
            <w:vAlign w:val="center"/>
          </w:tcPr>
          <w:p w14:paraId="63ECF4DD">
            <w:pPr>
              <w:snapToGrid w:val="0"/>
              <w:spacing w:line="240" w:lineRule="auto"/>
              <w:ind w:left="0" w:leftChars="0" w:right="0" w:rightChars="0" w:firstLine="0" w:firstLineChars="0"/>
              <w:jc w:val="center"/>
              <w:rPr>
                <w:rFonts w:hint="default" w:ascii="Times New Roman" w:hAnsi="Times New Roman" w:cs="Times New Roman"/>
                <w:b/>
                <w:bCs/>
                <w:sz w:val="21"/>
                <w:szCs w:val="21"/>
                <w:lang w:bidi="ar"/>
              </w:rPr>
            </w:pPr>
            <w:r>
              <w:rPr>
                <w:rFonts w:hint="default" w:ascii="Times New Roman" w:hAnsi="Times New Roman" w:cs="Times New Roman"/>
                <w:b/>
                <w:bCs/>
                <w:sz w:val="21"/>
                <w:szCs w:val="21"/>
                <w:lang w:bidi="ar"/>
              </w:rPr>
              <w:t>Pre-QFR</w:t>
            </w:r>
          </w:p>
        </w:tc>
        <w:tc>
          <w:tcPr>
            <w:tcW w:w="509" w:type="pct"/>
            <w:vAlign w:val="center"/>
          </w:tcPr>
          <w:p w14:paraId="75278635">
            <w:pPr>
              <w:snapToGrid w:val="0"/>
              <w:spacing w:line="240" w:lineRule="auto"/>
              <w:ind w:left="0" w:leftChars="0" w:right="0" w:rightChars="0" w:firstLine="0" w:firstLineChars="0"/>
              <w:jc w:val="center"/>
              <w:rPr>
                <w:rFonts w:hint="default" w:ascii="Times New Roman" w:hAnsi="Times New Roman" w:cs="Times New Roman"/>
                <w:b/>
                <w:bCs/>
                <w:sz w:val="21"/>
                <w:szCs w:val="21"/>
                <w:lang w:bidi="ar"/>
              </w:rPr>
            </w:pPr>
            <w:r>
              <w:rPr>
                <w:rFonts w:hint="default" w:ascii="Times New Roman" w:hAnsi="Times New Roman" w:cs="Times New Roman"/>
                <w:b/>
                <w:bCs/>
                <w:sz w:val="21"/>
                <w:szCs w:val="21"/>
                <w:lang w:bidi="ar"/>
              </w:rPr>
              <w:t>Post-QFR (pre-stent)</w:t>
            </w:r>
          </w:p>
        </w:tc>
        <w:tc>
          <w:tcPr>
            <w:tcW w:w="393" w:type="pct"/>
            <w:vAlign w:val="center"/>
          </w:tcPr>
          <w:p w14:paraId="0E741C12">
            <w:pPr>
              <w:snapToGrid w:val="0"/>
              <w:spacing w:line="240" w:lineRule="auto"/>
              <w:ind w:left="0" w:leftChars="0" w:right="0" w:rightChars="0" w:firstLine="0" w:firstLineChars="0"/>
              <w:jc w:val="center"/>
              <w:rPr>
                <w:rFonts w:hint="default" w:ascii="Times New Roman" w:hAnsi="Times New Roman" w:cs="Times New Roman"/>
                <w:b/>
                <w:bCs/>
                <w:sz w:val="21"/>
                <w:szCs w:val="21"/>
                <w:lang w:bidi="ar"/>
              </w:rPr>
            </w:pPr>
            <w:r>
              <w:rPr>
                <w:rFonts w:hint="default" w:ascii="Times New Roman" w:hAnsi="Times New Roman" w:cs="Times New Roman"/>
                <w:b/>
                <w:bCs/>
                <w:sz w:val="21"/>
                <w:szCs w:val="21"/>
                <w:lang w:bidi="ar"/>
              </w:rPr>
              <w:t>DCB brand</w:t>
            </w:r>
          </w:p>
        </w:tc>
        <w:tc>
          <w:tcPr>
            <w:tcW w:w="473" w:type="pct"/>
            <w:vAlign w:val="center"/>
          </w:tcPr>
          <w:p w14:paraId="375E4C44">
            <w:pPr>
              <w:snapToGrid w:val="0"/>
              <w:spacing w:line="240" w:lineRule="auto"/>
              <w:ind w:left="0" w:leftChars="0" w:right="0" w:rightChars="0" w:firstLine="0" w:firstLineChars="0"/>
              <w:jc w:val="center"/>
              <w:rPr>
                <w:rFonts w:hint="default" w:ascii="Times New Roman" w:hAnsi="Times New Roman" w:cs="Times New Roman"/>
                <w:b/>
                <w:bCs/>
                <w:sz w:val="21"/>
                <w:szCs w:val="21"/>
                <w:lang w:bidi="ar"/>
              </w:rPr>
            </w:pPr>
            <w:r>
              <w:rPr>
                <w:rFonts w:hint="default" w:ascii="Times New Roman" w:hAnsi="Times New Roman" w:cs="Times New Roman"/>
                <w:b/>
                <w:bCs/>
                <w:sz w:val="21"/>
                <w:szCs w:val="21"/>
                <w:lang w:bidi="ar"/>
              </w:rPr>
              <w:t>DCB diameter, mm</w:t>
            </w:r>
          </w:p>
        </w:tc>
        <w:tc>
          <w:tcPr>
            <w:tcW w:w="387" w:type="pct"/>
            <w:vAlign w:val="center"/>
          </w:tcPr>
          <w:p w14:paraId="4BA5AD1E">
            <w:pPr>
              <w:snapToGrid w:val="0"/>
              <w:spacing w:line="240" w:lineRule="auto"/>
              <w:ind w:left="0" w:leftChars="0" w:right="0" w:rightChars="0" w:firstLine="0" w:firstLineChars="0"/>
              <w:jc w:val="center"/>
              <w:rPr>
                <w:rFonts w:hint="default" w:ascii="Times New Roman" w:hAnsi="Times New Roman" w:cs="Times New Roman"/>
                <w:b/>
                <w:bCs/>
                <w:sz w:val="21"/>
                <w:szCs w:val="21"/>
                <w:lang w:bidi="ar"/>
              </w:rPr>
            </w:pPr>
            <w:r>
              <w:rPr>
                <w:rFonts w:hint="default" w:ascii="Times New Roman" w:hAnsi="Times New Roman" w:cs="Times New Roman"/>
                <w:b/>
                <w:bCs/>
                <w:sz w:val="21"/>
                <w:szCs w:val="21"/>
                <w:lang w:bidi="ar"/>
              </w:rPr>
              <w:t>DCB length, mm</w:t>
            </w:r>
          </w:p>
        </w:tc>
        <w:tc>
          <w:tcPr>
            <w:tcW w:w="1745" w:type="pct"/>
            <w:vAlign w:val="center"/>
          </w:tcPr>
          <w:p w14:paraId="54576CA0">
            <w:pPr>
              <w:snapToGrid w:val="0"/>
              <w:spacing w:line="240" w:lineRule="auto"/>
              <w:ind w:left="0" w:leftChars="0" w:right="0" w:rightChars="0" w:firstLine="0" w:firstLineChars="0"/>
              <w:jc w:val="center"/>
              <w:rPr>
                <w:rFonts w:hint="default" w:ascii="Times New Roman" w:hAnsi="Times New Roman" w:cs="Times New Roman"/>
                <w:b/>
                <w:bCs/>
                <w:sz w:val="21"/>
                <w:szCs w:val="21"/>
                <w:lang w:bidi="ar"/>
              </w:rPr>
            </w:pPr>
            <w:r>
              <w:rPr>
                <w:rFonts w:hint="default" w:ascii="Times New Roman" w:hAnsi="Times New Roman" w:cs="Times New Roman"/>
                <w:b/>
                <w:bCs/>
                <w:sz w:val="21"/>
                <w:szCs w:val="21"/>
                <w:lang w:bidi="ar"/>
              </w:rPr>
              <w:t>Key findings (standardized review)</w:t>
            </w:r>
          </w:p>
        </w:tc>
        <w:tc>
          <w:tcPr>
            <w:tcW w:w="530" w:type="pct"/>
            <w:vAlign w:val="center"/>
          </w:tcPr>
          <w:p w14:paraId="2B0E9F07">
            <w:pPr>
              <w:snapToGrid w:val="0"/>
              <w:spacing w:line="240" w:lineRule="auto"/>
              <w:ind w:left="0" w:leftChars="0" w:right="0" w:rightChars="0" w:firstLine="0" w:firstLineChars="0"/>
              <w:jc w:val="center"/>
              <w:rPr>
                <w:rFonts w:hint="default" w:ascii="Times New Roman" w:hAnsi="Times New Roman" w:cs="Times New Roman"/>
                <w:b/>
                <w:bCs/>
                <w:sz w:val="21"/>
                <w:szCs w:val="21"/>
                <w:lang w:bidi="ar"/>
              </w:rPr>
            </w:pPr>
            <w:r>
              <w:rPr>
                <w:rFonts w:hint="default" w:ascii="Times New Roman" w:hAnsi="Times New Roman" w:cs="Times New Roman"/>
                <w:b/>
                <w:bCs/>
                <w:sz w:val="21"/>
                <w:szCs w:val="21"/>
                <w:lang w:bidi="ar"/>
              </w:rPr>
              <w:t>Management</w:t>
            </w:r>
          </w:p>
        </w:tc>
      </w:tr>
      <w:tr w14:paraId="773B1C3D">
        <w:trPr>
          <w:trHeight w:val="0" w:hRule="atLeast"/>
          <w:jc w:val="center"/>
        </w:trPr>
        <w:tc>
          <w:tcPr>
            <w:tcW w:w="242" w:type="pct"/>
            <w:vAlign w:val="center"/>
          </w:tcPr>
          <w:p w14:paraId="7937227A">
            <w:pPr>
              <w:snapToGrid w:val="0"/>
              <w:spacing w:line="240" w:lineRule="auto"/>
              <w:ind w:left="0" w:leftChars="0" w:right="0" w:rightChars="0" w:firstLine="0" w:firstLineChars="0"/>
              <w:jc w:val="center"/>
              <w:rPr>
                <w:rFonts w:hint="default" w:ascii="Times New Roman" w:hAnsi="Times New Roman" w:cs="Times New Roman"/>
                <w:b w:val="0"/>
                <w:bCs/>
                <w:sz w:val="21"/>
                <w:szCs w:val="21"/>
                <w:lang w:bidi="ar"/>
              </w:rPr>
            </w:pPr>
            <w:r>
              <w:rPr>
                <w:rFonts w:hint="default" w:ascii="Times New Roman" w:hAnsi="Times New Roman" w:cs="Times New Roman"/>
                <w:b w:val="0"/>
                <w:bCs/>
                <w:sz w:val="21"/>
                <w:szCs w:val="21"/>
                <w:lang w:bidi="ar"/>
              </w:rPr>
              <w:t>Case 1</w:t>
            </w:r>
          </w:p>
        </w:tc>
        <w:tc>
          <w:tcPr>
            <w:tcW w:w="349" w:type="pct"/>
            <w:vAlign w:val="center"/>
          </w:tcPr>
          <w:p w14:paraId="2799869F">
            <w:pPr>
              <w:snapToGrid w:val="0"/>
              <w:spacing w:line="240" w:lineRule="auto"/>
              <w:ind w:left="0" w:leftChars="0" w:right="0" w:rightChars="0" w:firstLine="0" w:firstLineChars="0"/>
              <w:jc w:val="center"/>
              <w:rPr>
                <w:rFonts w:hint="default" w:ascii="Times New Roman" w:hAnsi="Times New Roman" w:cs="Times New Roman"/>
                <w:b w:val="0"/>
                <w:bCs/>
                <w:sz w:val="21"/>
                <w:szCs w:val="21"/>
                <w:lang w:bidi="ar"/>
              </w:rPr>
            </w:pPr>
            <w:r>
              <w:rPr>
                <w:rFonts w:hint="default" w:ascii="Times New Roman" w:hAnsi="Times New Roman" w:cs="Times New Roman"/>
                <w:b w:val="0"/>
                <w:bCs/>
                <w:sz w:val="21"/>
                <w:szCs w:val="21"/>
                <w:lang w:bidi="ar"/>
              </w:rPr>
              <w:t>LAD</w:t>
            </w:r>
          </w:p>
        </w:tc>
        <w:tc>
          <w:tcPr>
            <w:tcW w:w="368" w:type="pct"/>
            <w:vAlign w:val="center"/>
          </w:tcPr>
          <w:p w14:paraId="5C265980">
            <w:pPr>
              <w:snapToGrid w:val="0"/>
              <w:spacing w:line="240" w:lineRule="auto"/>
              <w:ind w:left="0" w:leftChars="0" w:right="0" w:rightChars="0" w:firstLine="0" w:firstLineChars="0"/>
              <w:jc w:val="center"/>
              <w:rPr>
                <w:rFonts w:hint="default" w:ascii="Times New Roman" w:hAnsi="Times New Roman" w:cs="Times New Roman"/>
                <w:b w:val="0"/>
                <w:bCs/>
                <w:sz w:val="21"/>
                <w:szCs w:val="21"/>
                <w:lang w:bidi="ar"/>
              </w:rPr>
            </w:pPr>
            <w:r>
              <w:rPr>
                <w:rFonts w:hint="default" w:ascii="Times New Roman" w:hAnsi="Times New Roman" w:cs="Times New Roman"/>
                <w:b w:val="0"/>
                <w:bCs/>
                <w:sz w:val="21"/>
                <w:szCs w:val="21"/>
                <w:lang w:bidi="ar"/>
              </w:rPr>
              <w:t>0.76</w:t>
            </w:r>
          </w:p>
        </w:tc>
        <w:tc>
          <w:tcPr>
            <w:tcW w:w="509" w:type="pct"/>
            <w:vAlign w:val="center"/>
          </w:tcPr>
          <w:p w14:paraId="5AB48CA6">
            <w:pPr>
              <w:snapToGrid w:val="0"/>
              <w:spacing w:line="240" w:lineRule="auto"/>
              <w:ind w:left="0" w:leftChars="0" w:right="0" w:rightChars="0" w:firstLine="0" w:firstLineChars="0"/>
              <w:jc w:val="center"/>
              <w:rPr>
                <w:rFonts w:hint="default" w:ascii="Times New Roman" w:hAnsi="Times New Roman" w:cs="Times New Roman"/>
                <w:b w:val="0"/>
                <w:bCs/>
                <w:sz w:val="21"/>
                <w:szCs w:val="21"/>
                <w:lang w:bidi="ar"/>
              </w:rPr>
            </w:pPr>
            <w:r>
              <w:rPr>
                <w:rFonts w:hint="default" w:ascii="Times New Roman" w:hAnsi="Times New Roman" w:cs="Times New Roman"/>
                <w:b w:val="0"/>
                <w:bCs/>
                <w:sz w:val="21"/>
                <w:szCs w:val="21"/>
                <w:lang w:bidi="ar"/>
              </w:rPr>
              <w:t>0.91</w:t>
            </w:r>
          </w:p>
        </w:tc>
        <w:tc>
          <w:tcPr>
            <w:tcW w:w="393" w:type="pct"/>
            <w:vAlign w:val="center"/>
          </w:tcPr>
          <w:p w14:paraId="5FAC86AA">
            <w:pPr>
              <w:snapToGrid w:val="0"/>
              <w:spacing w:line="240" w:lineRule="auto"/>
              <w:ind w:left="0" w:leftChars="0" w:right="0" w:rightChars="0" w:firstLine="0" w:firstLineChars="0"/>
              <w:jc w:val="center"/>
              <w:rPr>
                <w:rFonts w:hint="default" w:ascii="Times New Roman" w:hAnsi="Times New Roman" w:cs="Times New Roman"/>
                <w:b w:val="0"/>
                <w:bCs/>
                <w:sz w:val="21"/>
                <w:szCs w:val="21"/>
                <w:lang w:bidi="ar"/>
              </w:rPr>
            </w:pPr>
            <w:r>
              <w:rPr>
                <w:rFonts w:hint="default" w:ascii="Times New Roman" w:hAnsi="Times New Roman" w:cs="Times New Roman"/>
                <w:b w:val="0"/>
                <w:bCs/>
                <w:sz w:val="21"/>
                <w:szCs w:val="21"/>
                <w:lang w:bidi="ar"/>
              </w:rPr>
              <w:t>Vesselin</w:t>
            </w:r>
          </w:p>
        </w:tc>
        <w:tc>
          <w:tcPr>
            <w:tcW w:w="473" w:type="pct"/>
            <w:vAlign w:val="center"/>
          </w:tcPr>
          <w:p w14:paraId="481EF86E">
            <w:pPr>
              <w:snapToGrid w:val="0"/>
              <w:spacing w:line="240" w:lineRule="auto"/>
              <w:ind w:left="0" w:leftChars="0" w:right="0" w:rightChars="0" w:firstLine="0" w:firstLineChars="0"/>
              <w:jc w:val="center"/>
              <w:rPr>
                <w:rFonts w:hint="default" w:ascii="Times New Roman" w:hAnsi="Times New Roman" w:cs="Times New Roman"/>
                <w:b w:val="0"/>
                <w:bCs/>
                <w:sz w:val="21"/>
                <w:szCs w:val="21"/>
                <w:lang w:bidi="ar"/>
              </w:rPr>
            </w:pPr>
            <w:r>
              <w:rPr>
                <w:rFonts w:hint="default" w:ascii="Times New Roman" w:hAnsi="Times New Roman" w:cs="Times New Roman"/>
                <w:b w:val="0"/>
                <w:bCs/>
                <w:sz w:val="21"/>
                <w:szCs w:val="21"/>
                <w:lang w:bidi="ar"/>
              </w:rPr>
              <w:t>2.75</w:t>
            </w:r>
          </w:p>
        </w:tc>
        <w:tc>
          <w:tcPr>
            <w:tcW w:w="387" w:type="pct"/>
            <w:vAlign w:val="center"/>
          </w:tcPr>
          <w:p w14:paraId="2C5AB5EA">
            <w:pPr>
              <w:snapToGrid w:val="0"/>
              <w:spacing w:line="240" w:lineRule="auto"/>
              <w:ind w:left="0" w:leftChars="0" w:right="0" w:rightChars="0" w:firstLine="0" w:firstLineChars="0"/>
              <w:jc w:val="center"/>
              <w:rPr>
                <w:rFonts w:hint="default" w:ascii="Times New Roman" w:hAnsi="Times New Roman" w:cs="Times New Roman"/>
                <w:b w:val="0"/>
                <w:bCs/>
                <w:sz w:val="21"/>
                <w:szCs w:val="21"/>
                <w:lang w:bidi="ar"/>
              </w:rPr>
            </w:pPr>
            <w:r>
              <w:rPr>
                <w:rFonts w:hint="default" w:ascii="Times New Roman" w:hAnsi="Times New Roman" w:cs="Times New Roman"/>
                <w:b w:val="0"/>
                <w:bCs/>
                <w:sz w:val="21"/>
                <w:szCs w:val="21"/>
                <w:lang w:bidi="ar"/>
              </w:rPr>
              <w:t>16</w:t>
            </w:r>
          </w:p>
        </w:tc>
        <w:tc>
          <w:tcPr>
            <w:tcW w:w="1745" w:type="pct"/>
            <w:vAlign w:val="center"/>
          </w:tcPr>
          <w:p w14:paraId="79A0787A">
            <w:pPr>
              <w:snapToGrid w:val="0"/>
              <w:spacing w:line="240" w:lineRule="auto"/>
              <w:ind w:left="0" w:leftChars="0" w:right="0" w:rightChars="0" w:firstLine="0" w:firstLineChars="0"/>
              <w:jc w:val="center"/>
              <w:rPr>
                <w:rFonts w:hint="default" w:ascii="Times New Roman" w:hAnsi="Times New Roman" w:eastAsia="宋体" w:cs="Times New Roman"/>
                <w:b w:val="0"/>
                <w:bCs/>
                <w:sz w:val="21"/>
                <w:szCs w:val="21"/>
                <w:lang w:eastAsia="zh-CN" w:bidi="ar"/>
              </w:rPr>
            </w:pPr>
            <w:r>
              <w:rPr>
                <w:rFonts w:hint="default" w:ascii="Times New Roman" w:hAnsi="Times New Roman" w:cs="Times New Roman"/>
                <w:b w:val="0"/>
                <w:bCs/>
                <w:sz w:val="21"/>
                <w:szCs w:val="21"/>
                <w:lang w:eastAsia="zh-CN" w:bidi="ar"/>
              </w:rPr>
              <w:t>NHLBI type B dissection / retrograde false lumen</w:t>
            </w:r>
          </w:p>
        </w:tc>
        <w:tc>
          <w:tcPr>
            <w:tcW w:w="530" w:type="pct"/>
            <w:vAlign w:val="center"/>
          </w:tcPr>
          <w:p w14:paraId="53B440D8">
            <w:pPr>
              <w:snapToGrid w:val="0"/>
              <w:spacing w:line="240" w:lineRule="auto"/>
              <w:ind w:left="0" w:leftChars="0" w:right="0" w:rightChars="0" w:firstLine="0" w:firstLineChars="0"/>
              <w:jc w:val="center"/>
              <w:rPr>
                <w:rFonts w:hint="default" w:ascii="Times New Roman" w:hAnsi="Times New Roman" w:eastAsia="宋体" w:cs="Times New Roman"/>
                <w:b w:val="0"/>
                <w:bCs/>
                <w:sz w:val="21"/>
                <w:szCs w:val="21"/>
                <w:lang w:eastAsia="zh-CN" w:bidi="ar"/>
              </w:rPr>
            </w:pPr>
            <w:r>
              <w:rPr>
                <w:rFonts w:hint="default" w:ascii="Times New Roman" w:hAnsi="Times New Roman" w:cs="Times New Roman"/>
                <w:b w:val="0"/>
                <w:bCs/>
                <w:sz w:val="21"/>
                <w:szCs w:val="21"/>
                <w:lang w:eastAsia="zh-CN" w:bidi="ar"/>
              </w:rPr>
              <w:t>Stent implantation</w:t>
            </w:r>
          </w:p>
        </w:tc>
      </w:tr>
      <w:tr w14:paraId="3054C872">
        <w:trPr>
          <w:trHeight w:val="0" w:hRule="atLeast"/>
          <w:jc w:val="center"/>
        </w:trPr>
        <w:tc>
          <w:tcPr>
            <w:tcW w:w="242" w:type="pct"/>
            <w:vAlign w:val="center"/>
          </w:tcPr>
          <w:p w14:paraId="08808848">
            <w:pPr>
              <w:snapToGrid w:val="0"/>
              <w:spacing w:line="240" w:lineRule="auto"/>
              <w:ind w:left="0" w:leftChars="0" w:right="0" w:rightChars="0" w:firstLine="0" w:firstLineChars="0"/>
              <w:jc w:val="center"/>
              <w:rPr>
                <w:rFonts w:hint="default" w:ascii="Times New Roman" w:hAnsi="Times New Roman" w:cs="Times New Roman"/>
                <w:b w:val="0"/>
                <w:bCs/>
                <w:sz w:val="21"/>
                <w:szCs w:val="21"/>
                <w:lang w:bidi="ar"/>
              </w:rPr>
            </w:pPr>
            <w:r>
              <w:rPr>
                <w:rFonts w:hint="default" w:ascii="Times New Roman" w:hAnsi="Times New Roman" w:cs="Times New Roman"/>
                <w:b w:val="0"/>
                <w:bCs/>
                <w:sz w:val="21"/>
                <w:szCs w:val="21"/>
                <w:lang w:bidi="ar"/>
              </w:rPr>
              <w:t>Case 2</w:t>
            </w:r>
          </w:p>
        </w:tc>
        <w:tc>
          <w:tcPr>
            <w:tcW w:w="349" w:type="pct"/>
            <w:vAlign w:val="center"/>
          </w:tcPr>
          <w:p w14:paraId="3A4B2293">
            <w:pPr>
              <w:snapToGrid w:val="0"/>
              <w:spacing w:line="240" w:lineRule="auto"/>
              <w:ind w:left="0" w:leftChars="0" w:right="0" w:rightChars="0" w:firstLine="0" w:firstLineChars="0"/>
              <w:jc w:val="center"/>
              <w:rPr>
                <w:rFonts w:hint="default" w:ascii="Times New Roman" w:hAnsi="Times New Roman" w:cs="Times New Roman"/>
                <w:b w:val="0"/>
                <w:bCs/>
                <w:sz w:val="21"/>
                <w:szCs w:val="21"/>
                <w:lang w:bidi="ar"/>
              </w:rPr>
            </w:pPr>
            <w:r>
              <w:rPr>
                <w:rFonts w:hint="default" w:ascii="Times New Roman" w:hAnsi="Times New Roman" w:cs="Times New Roman"/>
                <w:b w:val="0"/>
                <w:bCs/>
                <w:sz w:val="21"/>
                <w:szCs w:val="21"/>
                <w:lang w:bidi="ar"/>
              </w:rPr>
              <w:t>LAD</w:t>
            </w:r>
          </w:p>
        </w:tc>
        <w:tc>
          <w:tcPr>
            <w:tcW w:w="368" w:type="pct"/>
            <w:vAlign w:val="center"/>
          </w:tcPr>
          <w:p w14:paraId="4648857E">
            <w:pPr>
              <w:snapToGrid w:val="0"/>
              <w:spacing w:line="240" w:lineRule="auto"/>
              <w:ind w:left="0" w:leftChars="0" w:right="0" w:rightChars="0" w:firstLine="0" w:firstLineChars="0"/>
              <w:jc w:val="center"/>
              <w:rPr>
                <w:rFonts w:hint="default" w:ascii="Times New Roman" w:hAnsi="Times New Roman" w:cs="Times New Roman"/>
                <w:b w:val="0"/>
                <w:bCs/>
                <w:sz w:val="21"/>
                <w:szCs w:val="21"/>
                <w:lang w:bidi="ar"/>
              </w:rPr>
            </w:pPr>
            <w:r>
              <w:rPr>
                <w:rFonts w:hint="default" w:ascii="Times New Roman" w:hAnsi="Times New Roman" w:cs="Times New Roman"/>
                <w:b w:val="0"/>
                <w:bCs/>
                <w:sz w:val="21"/>
                <w:szCs w:val="21"/>
                <w:lang w:bidi="ar"/>
              </w:rPr>
              <w:t>0.70</w:t>
            </w:r>
          </w:p>
        </w:tc>
        <w:tc>
          <w:tcPr>
            <w:tcW w:w="509" w:type="pct"/>
            <w:vAlign w:val="center"/>
          </w:tcPr>
          <w:p w14:paraId="6C5BC394">
            <w:pPr>
              <w:snapToGrid w:val="0"/>
              <w:spacing w:line="240" w:lineRule="auto"/>
              <w:ind w:left="0" w:leftChars="0" w:right="0" w:rightChars="0" w:firstLine="0" w:firstLineChars="0"/>
              <w:jc w:val="center"/>
              <w:rPr>
                <w:rFonts w:hint="default" w:ascii="Times New Roman" w:hAnsi="Times New Roman" w:cs="Times New Roman"/>
                <w:b w:val="0"/>
                <w:bCs/>
                <w:sz w:val="21"/>
                <w:szCs w:val="21"/>
                <w:lang w:bidi="ar"/>
              </w:rPr>
            </w:pPr>
            <w:r>
              <w:rPr>
                <w:rFonts w:hint="default" w:ascii="Times New Roman" w:hAnsi="Times New Roman" w:cs="Times New Roman"/>
                <w:b w:val="0"/>
                <w:bCs/>
                <w:sz w:val="21"/>
                <w:szCs w:val="21"/>
                <w:lang w:bidi="ar"/>
              </w:rPr>
              <w:t>0.90</w:t>
            </w:r>
          </w:p>
        </w:tc>
        <w:tc>
          <w:tcPr>
            <w:tcW w:w="393" w:type="pct"/>
            <w:vAlign w:val="center"/>
          </w:tcPr>
          <w:p w14:paraId="14B2AEF1">
            <w:pPr>
              <w:snapToGrid w:val="0"/>
              <w:spacing w:line="240" w:lineRule="auto"/>
              <w:ind w:left="0" w:leftChars="0" w:right="0" w:rightChars="0" w:firstLine="0" w:firstLineChars="0"/>
              <w:jc w:val="center"/>
              <w:rPr>
                <w:rFonts w:hint="default" w:ascii="Times New Roman" w:hAnsi="Times New Roman" w:cs="Times New Roman"/>
                <w:b w:val="0"/>
                <w:bCs/>
                <w:sz w:val="21"/>
                <w:szCs w:val="21"/>
                <w:lang w:bidi="ar"/>
              </w:rPr>
            </w:pPr>
            <w:r>
              <w:rPr>
                <w:rFonts w:hint="default" w:ascii="Times New Roman" w:hAnsi="Times New Roman" w:cs="Times New Roman"/>
                <w:b w:val="0"/>
                <w:bCs/>
                <w:sz w:val="21"/>
                <w:szCs w:val="21"/>
                <w:lang w:bidi="ar"/>
              </w:rPr>
              <w:t>SeQuent Please</w:t>
            </w:r>
          </w:p>
        </w:tc>
        <w:tc>
          <w:tcPr>
            <w:tcW w:w="473" w:type="pct"/>
            <w:vAlign w:val="center"/>
          </w:tcPr>
          <w:p w14:paraId="31FDF782">
            <w:pPr>
              <w:snapToGrid w:val="0"/>
              <w:spacing w:line="240" w:lineRule="auto"/>
              <w:ind w:left="0" w:leftChars="0" w:right="0" w:rightChars="0" w:firstLine="0" w:firstLineChars="0"/>
              <w:jc w:val="center"/>
              <w:rPr>
                <w:rFonts w:hint="default" w:ascii="Times New Roman" w:hAnsi="Times New Roman" w:cs="Times New Roman"/>
                <w:b w:val="0"/>
                <w:bCs/>
                <w:sz w:val="21"/>
                <w:szCs w:val="21"/>
                <w:lang w:bidi="ar"/>
              </w:rPr>
            </w:pPr>
            <w:r>
              <w:rPr>
                <w:rFonts w:hint="default" w:ascii="Times New Roman" w:hAnsi="Times New Roman" w:cs="Times New Roman"/>
                <w:b w:val="0"/>
                <w:bCs/>
                <w:sz w:val="21"/>
                <w:szCs w:val="21"/>
                <w:lang w:bidi="ar"/>
              </w:rPr>
              <w:t>3.00</w:t>
            </w:r>
          </w:p>
        </w:tc>
        <w:tc>
          <w:tcPr>
            <w:tcW w:w="387" w:type="pct"/>
            <w:vAlign w:val="center"/>
          </w:tcPr>
          <w:p w14:paraId="78DAAFAE">
            <w:pPr>
              <w:snapToGrid w:val="0"/>
              <w:spacing w:line="240" w:lineRule="auto"/>
              <w:ind w:left="0" w:leftChars="0" w:right="0" w:rightChars="0" w:firstLine="0" w:firstLineChars="0"/>
              <w:jc w:val="center"/>
              <w:rPr>
                <w:rFonts w:hint="default" w:ascii="Times New Roman" w:hAnsi="Times New Roman" w:cs="Times New Roman"/>
                <w:b w:val="0"/>
                <w:bCs/>
                <w:sz w:val="21"/>
                <w:szCs w:val="21"/>
                <w:lang w:bidi="ar"/>
              </w:rPr>
            </w:pPr>
            <w:r>
              <w:rPr>
                <w:rFonts w:hint="default" w:ascii="Times New Roman" w:hAnsi="Times New Roman" w:cs="Times New Roman"/>
                <w:b w:val="0"/>
                <w:bCs/>
                <w:sz w:val="21"/>
                <w:szCs w:val="21"/>
                <w:lang w:bidi="ar"/>
              </w:rPr>
              <w:t>26</w:t>
            </w:r>
          </w:p>
        </w:tc>
        <w:tc>
          <w:tcPr>
            <w:tcW w:w="1745" w:type="pct"/>
            <w:vAlign w:val="center"/>
          </w:tcPr>
          <w:p w14:paraId="460CD5E2">
            <w:pPr>
              <w:snapToGrid w:val="0"/>
              <w:spacing w:line="240" w:lineRule="auto"/>
              <w:ind w:left="0" w:leftChars="0" w:right="0" w:rightChars="0" w:firstLine="0" w:firstLineChars="0"/>
              <w:jc w:val="center"/>
              <w:rPr>
                <w:rFonts w:hint="default" w:ascii="Times New Roman" w:hAnsi="Times New Roman" w:eastAsia="宋体" w:cs="Times New Roman"/>
                <w:b w:val="0"/>
                <w:bCs/>
                <w:sz w:val="21"/>
                <w:szCs w:val="21"/>
                <w:lang w:eastAsia="zh-CN" w:bidi="ar"/>
              </w:rPr>
            </w:pPr>
            <w:r>
              <w:rPr>
                <w:rFonts w:hint="default" w:ascii="Times New Roman" w:hAnsi="Times New Roman" w:cs="Times New Roman"/>
                <w:b w:val="0"/>
                <w:bCs/>
                <w:sz w:val="21"/>
                <w:szCs w:val="21"/>
                <w:lang w:eastAsia="zh-CN" w:bidi="ar"/>
              </w:rPr>
              <w:t>STEMI and acute thrombosis 3 hours post-procedure; retrospective angiographic review confirmed NHLBI type C dissection after the initial procedure</w:t>
            </w:r>
          </w:p>
        </w:tc>
        <w:tc>
          <w:tcPr>
            <w:tcW w:w="530" w:type="pct"/>
            <w:vAlign w:val="center"/>
          </w:tcPr>
          <w:p w14:paraId="648DCB76">
            <w:pPr>
              <w:snapToGrid w:val="0"/>
              <w:spacing w:line="240" w:lineRule="auto"/>
              <w:ind w:left="0" w:leftChars="0" w:right="0" w:rightChars="0" w:firstLine="0" w:firstLineChars="0"/>
              <w:jc w:val="center"/>
              <w:rPr>
                <w:rFonts w:hint="default" w:ascii="Times New Roman" w:hAnsi="Times New Roman" w:eastAsia="宋体" w:cs="Times New Roman"/>
                <w:b w:val="0"/>
                <w:bCs/>
                <w:sz w:val="21"/>
                <w:szCs w:val="21"/>
                <w:lang w:eastAsia="zh-CN" w:bidi="ar"/>
              </w:rPr>
            </w:pPr>
            <w:r>
              <w:rPr>
                <w:rFonts w:hint="default" w:ascii="Times New Roman" w:hAnsi="Times New Roman" w:cs="Times New Roman"/>
                <w:b w:val="0"/>
                <w:bCs/>
                <w:sz w:val="21"/>
                <w:szCs w:val="21"/>
                <w:lang w:eastAsia="zh-CN" w:bidi="ar"/>
              </w:rPr>
              <w:t>Stent implantation</w:t>
            </w:r>
          </w:p>
        </w:tc>
      </w:tr>
      <w:tr w14:paraId="694D67A8">
        <w:trPr>
          <w:trHeight w:val="0" w:hRule="atLeast"/>
          <w:jc w:val="center"/>
        </w:trPr>
        <w:tc>
          <w:tcPr>
            <w:tcW w:w="242" w:type="pct"/>
            <w:vAlign w:val="center"/>
          </w:tcPr>
          <w:p w14:paraId="08C551A3">
            <w:pPr>
              <w:snapToGrid w:val="0"/>
              <w:spacing w:line="240" w:lineRule="auto"/>
              <w:ind w:left="0" w:leftChars="0" w:right="0" w:rightChars="0" w:firstLine="0" w:firstLineChars="0"/>
              <w:jc w:val="center"/>
              <w:rPr>
                <w:rFonts w:hint="default" w:ascii="Times New Roman" w:hAnsi="Times New Roman" w:cs="Times New Roman"/>
                <w:b w:val="0"/>
                <w:bCs/>
                <w:sz w:val="21"/>
                <w:szCs w:val="21"/>
                <w:lang w:bidi="ar"/>
              </w:rPr>
            </w:pPr>
            <w:r>
              <w:rPr>
                <w:rFonts w:hint="default" w:ascii="Times New Roman" w:hAnsi="Times New Roman" w:cs="Times New Roman"/>
                <w:b w:val="0"/>
                <w:bCs/>
                <w:sz w:val="21"/>
                <w:szCs w:val="21"/>
                <w:lang w:bidi="ar"/>
              </w:rPr>
              <w:t>Case 3</w:t>
            </w:r>
          </w:p>
        </w:tc>
        <w:tc>
          <w:tcPr>
            <w:tcW w:w="349" w:type="pct"/>
            <w:vAlign w:val="center"/>
          </w:tcPr>
          <w:p w14:paraId="4A016886">
            <w:pPr>
              <w:snapToGrid w:val="0"/>
              <w:spacing w:line="240" w:lineRule="auto"/>
              <w:ind w:left="0" w:leftChars="0" w:right="0" w:rightChars="0" w:firstLine="0" w:firstLineChars="0"/>
              <w:jc w:val="center"/>
              <w:rPr>
                <w:rFonts w:hint="default" w:ascii="Times New Roman" w:hAnsi="Times New Roman" w:cs="Times New Roman"/>
                <w:b w:val="0"/>
                <w:bCs/>
                <w:sz w:val="21"/>
                <w:szCs w:val="21"/>
                <w:lang w:bidi="ar"/>
              </w:rPr>
            </w:pPr>
            <w:r>
              <w:rPr>
                <w:rFonts w:hint="default" w:ascii="Times New Roman" w:hAnsi="Times New Roman" w:cs="Times New Roman"/>
                <w:b w:val="0"/>
                <w:bCs/>
                <w:sz w:val="21"/>
                <w:szCs w:val="21"/>
                <w:lang w:bidi="ar"/>
              </w:rPr>
              <w:t>LAD</w:t>
            </w:r>
          </w:p>
        </w:tc>
        <w:tc>
          <w:tcPr>
            <w:tcW w:w="368" w:type="pct"/>
            <w:vAlign w:val="center"/>
          </w:tcPr>
          <w:p w14:paraId="6FD065AB">
            <w:pPr>
              <w:snapToGrid w:val="0"/>
              <w:spacing w:line="240" w:lineRule="auto"/>
              <w:ind w:left="0" w:leftChars="0" w:right="0" w:rightChars="0" w:firstLine="0" w:firstLineChars="0"/>
              <w:jc w:val="center"/>
              <w:rPr>
                <w:rFonts w:hint="default" w:ascii="Times New Roman" w:hAnsi="Times New Roman" w:cs="Times New Roman"/>
                <w:b w:val="0"/>
                <w:bCs/>
                <w:sz w:val="21"/>
                <w:szCs w:val="21"/>
                <w:lang w:bidi="ar"/>
              </w:rPr>
            </w:pPr>
            <w:r>
              <w:rPr>
                <w:rFonts w:hint="default" w:ascii="Times New Roman" w:hAnsi="Times New Roman" w:cs="Times New Roman"/>
                <w:b w:val="0"/>
                <w:bCs/>
                <w:sz w:val="21"/>
                <w:szCs w:val="21"/>
                <w:lang w:bidi="ar"/>
              </w:rPr>
              <w:t>0.78</w:t>
            </w:r>
          </w:p>
        </w:tc>
        <w:tc>
          <w:tcPr>
            <w:tcW w:w="509" w:type="pct"/>
            <w:vAlign w:val="center"/>
          </w:tcPr>
          <w:p w14:paraId="20179FB2">
            <w:pPr>
              <w:snapToGrid w:val="0"/>
              <w:spacing w:line="240" w:lineRule="auto"/>
              <w:ind w:left="0" w:leftChars="0" w:right="0" w:rightChars="0" w:firstLine="0" w:firstLineChars="0"/>
              <w:jc w:val="center"/>
              <w:rPr>
                <w:rFonts w:hint="default" w:ascii="Times New Roman" w:hAnsi="Times New Roman" w:cs="Times New Roman"/>
                <w:b w:val="0"/>
                <w:bCs/>
                <w:sz w:val="21"/>
                <w:szCs w:val="21"/>
                <w:lang w:bidi="ar"/>
              </w:rPr>
            </w:pPr>
            <w:r>
              <w:rPr>
                <w:rFonts w:hint="default" w:ascii="Times New Roman" w:hAnsi="Times New Roman" w:cs="Times New Roman"/>
                <w:b w:val="0"/>
                <w:bCs/>
                <w:sz w:val="21"/>
                <w:szCs w:val="21"/>
                <w:lang w:bidi="ar"/>
              </w:rPr>
              <w:t>0.23</w:t>
            </w:r>
          </w:p>
        </w:tc>
        <w:tc>
          <w:tcPr>
            <w:tcW w:w="393" w:type="pct"/>
            <w:vAlign w:val="center"/>
          </w:tcPr>
          <w:p w14:paraId="5D2DF03D">
            <w:pPr>
              <w:snapToGrid w:val="0"/>
              <w:spacing w:line="240" w:lineRule="auto"/>
              <w:ind w:left="0" w:leftChars="0" w:right="0" w:rightChars="0" w:firstLine="0" w:firstLineChars="0"/>
              <w:jc w:val="center"/>
              <w:rPr>
                <w:rFonts w:hint="default" w:ascii="Times New Roman" w:hAnsi="Times New Roman" w:cs="Times New Roman"/>
                <w:b w:val="0"/>
                <w:bCs/>
                <w:sz w:val="21"/>
                <w:szCs w:val="21"/>
                <w:lang w:bidi="ar"/>
              </w:rPr>
            </w:pPr>
            <w:r>
              <w:rPr>
                <w:rFonts w:hint="default" w:ascii="Times New Roman" w:hAnsi="Times New Roman" w:cs="Times New Roman"/>
                <w:b w:val="0"/>
                <w:bCs/>
                <w:sz w:val="21"/>
                <w:szCs w:val="21"/>
                <w:lang w:bidi="ar"/>
              </w:rPr>
              <w:t>Vesselin</w:t>
            </w:r>
          </w:p>
        </w:tc>
        <w:tc>
          <w:tcPr>
            <w:tcW w:w="473" w:type="pct"/>
            <w:vAlign w:val="center"/>
          </w:tcPr>
          <w:p w14:paraId="1362761B">
            <w:pPr>
              <w:snapToGrid w:val="0"/>
              <w:spacing w:line="240" w:lineRule="auto"/>
              <w:ind w:left="0" w:leftChars="0" w:right="0" w:rightChars="0" w:firstLine="0" w:firstLineChars="0"/>
              <w:jc w:val="center"/>
              <w:rPr>
                <w:rFonts w:hint="default" w:ascii="Times New Roman" w:hAnsi="Times New Roman" w:cs="Times New Roman"/>
                <w:b w:val="0"/>
                <w:bCs/>
                <w:sz w:val="21"/>
                <w:szCs w:val="21"/>
                <w:lang w:bidi="ar"/>
              </w:rPr>
            </w:pPr>
            <w:r>
              <w:rPr>
                <w:rFonts w:hint="default" w:ascii="Times New Roman" w:hAnsi="Times New Roman" w:cs="Times New Roman"/>
                <w:b w:val="0"/>
                <w:bCs/>
                <w:sz w:val="21"/>
                <w:szCs w:val="21"/>
                <w:lang w:bidi="ar"/>
              </w:rPr>
              <w:t>2.00</w:t>
            </w:r>
          </w:p>
        </w:tc>
        <w:tc>
          <w:tcPr>
            <w:tcW w:w="387" w:type="pct"/>
            <w:vAlign w:val="center"/>
          </w:tcPr>
          <w:p w14:paraId="07B4BEB9">
            <w:pPr>
              <w:snapToGrid w:val="0"/>
              <w:spacing w:line="240" w:lineRule="auto"/>
              <w:ind w:left="0" w:leftChars="0" w:right="0" w:rightChars="0" w:firstLine="0" w:firstLineChars="0"/>
              <w:jc w:val="center"/>
              <w:rPr>
                <w:rFonts w:hint="default" w:ascii="Times New Roman" w:hAnsi="Times New Roman" w:cs="Times New Roman"/>
                <w:b w:val="0"/>
                <w:bCs/>
                <w:sz w:val="21"/>
                <w:szCs w:val="21"/>
                <w:lang w:bidi="ar"/>
              </w:rPr>
            </w:pPr>
            <w:r>
              <w:rPr>
                <w:rFonts w:hint="default" w:ascii="Times New Roman" w:hAnsi="Times New Roman" w:cs="Times New Roman"/>
                <w:b w:val="0"/>
                <w:bCs/>
                <w:sz w:val="21"/>
                <w:szCs w:val="21"/>
                <w:lang w:bidi="ar"/>
              </w:rPr>
              <w:t>31</w:t>
            </w:r>
          </w:p>
        </w:tc>
        <w:tc>
          <w:tcPr>
            <w:tcW w:w="1745" w:type="pct"/>
            <w:vAlign w:val="center"/>
          </w:tcPr>
          <w:p w14:paraId="13DEE9AC">
            <w:pPr>
              <w:snapToGrid w:val="0"/>
              <w:spacing w:line="240" w:lineRule="auto"/>
              <w:ind w:left="0" w:leftChars="0" w:right="0" w:rightChars="0" w:firstLine="0" w:firstLineChars="0"/>
              <w:jc w:val="center"/>
              <w:rPr>
                <w:rFonts w:hint="default" w:ascii="Times New Roman" w:hAnsi="Times New Roman" w:eastAsia="宋体" w:cs="Times New Roman"/>
                <w:b w:val="0"/>
                <w:bCs/>
                <w:sz w:val="21"/>
                <w:szCs w:val="21"/>
                <w:lang w:eastAsia="zh-CN" w:bidi="ar"/>
              </w:rPr>
            </w:pPr>
            <w:r>
              <w:rPr>
                <w:rFonts w:hint="default" w:ascii="Times New Roman" w:hAnsi="Times New Roman" w:cs="Times New Roman"/>
                <w:b w:val="0"/>
                <w:bCs/>
                <w:sz w:val="21"/>
                <w:szCs w:val="21"/>
                <w:lang w:eastAsia="zh-CN" w:bidi="ar"/>
              </w:rPr>
              <w:t>NHLBI type C dissection morphology; postoperative diffuse/distal vasospasm (relieved by intracoronary nitroglycerin)</w:t>
            </w:r>
          </w:p>
        </w:tc>
        <w:tc>
          <w:tcPr>
            <w:tcW w:w="530" w:type="pct"/>
            <w:vAlign w:val="center"/>
          </w:tcPr>
          <w:p w14:paraId="47D56457">
            <w:pPr>
              <w:snapToGrid w:val="0"/>
              <w:spacing w:line="240" w:lineRule="auto"/>
              <w:ind w:left="0" w:leftChars="0" w:right="0" w:rightChars="0" w:firstLine="0" w:firstLineChars="0"/>
              <w:jc w:val="center"/>
              <w:rPr>
                <w:rFonts w:hint="default" w:ascii="Times New Roman" w:hAnsi="Times New Roman" w:eastAsia="宋体" w:cs="Times New Roman"/>
                <w:b w:val="0"/>
                <w:bCs/>
                <w:sz w:val="21"/>
                <w:szCs w:val="21"/>
                <w:lang w:eastAsia="zh-CN" w:bidi="ar"/>
              </w:rPr>
            </w:pPr>
            <w:r>
              <w:rPr>
                <w:rFonts w:hint="default" w:ascii="Times New Roman" w:hAnsi="Times New Roman" w:cs="Times New Roman"/>
                <w:b w:val="0"/>
                <w:bCs/>
                <w:sz w:val="21"/>
                <w:szCs w:val="21"/>
                <w:lang w:eastAsia="zh-CN" w:bidi="ar"/>
              </w:rPr>
              <w:t>Stent implantation</w:t>
            </w:r>
          </w:p>
        </w:tc>
      </w:tr>
    </w:tbl>
    <w:p w14:paraId="3B6C3B17">
      <w:pPr>
        <w:keepNext w:val="0"/>
        <w:keepLines w:val="0"/>
        <w:pageBreakBefore w:val="0"/>
        <w:widowControl/>
        <w:kinsoku/>
        <w:wordWrap/>
        <w:overflowPunct/>
        <w:topLinePunct w:val="0"/>
        <w:autoSpaceDE/>
        <w:autoSpaceDN/>
        <w:bidi w:val="0"/>
        <w:adjustRightInd/>
        <w:snapToGrid/>
        <w:spacing w:line="240" w:lineRule="auto"/>
        <w:ind w:firstLine="400" w:firstLineChars="200"/>
        <w:textAlignment w:val="auto"/>
        <w:rPr>
          <w:rFonts w:hint="default" w:ascii="Times New Roman" w:hAnsi="Times New Roman" w:eastAsiaTheme="minorEastAsia" w:cstheme="minorBidi"/>
          <w:color w:val="auto"/>
          <w:sz w:val="20"/>
          <w:szCs w:val="20"/>
          <w:lang w:val="en-US" w:eastAsia="zh-CN" w:bidi="ar-SA"/>
        </w:rPr>
      </w:pPr>
      <w:r>
        <w:rPr>
          <w:rFonts w:hint="default" w:ascii="Times New Roman" w:hAnsi="Times New Roman" w:eastAsiaTheme="minorEastAsia" w:cstheme="minorBidi"/>
          <w:color w:val="auto"/>
          <w:sz w:val="20"/>
          <w:szCs w:val="20"/>
          <w:lang w:val="en-US" w:eastAsia="zh-CN" w:bidi="ar-SA"/>
        </w:rPr>
        <w:t>Supplementary case vignette (standardized retrospective imaging review)</w:t>
      </w:r>
    </w:p>
    <w:p w14:paraId="1D3AC79B">
      <w:pPr>
        <w:keepNext w:val="0"/>
        <w:keepLines w:val="0"/>
        <w:pageBreakBefore w:val="0"/>
        <w:widowControl/>
        <w:kinsoku/>
        <w:wordWrap/>
        <w:overflowPunct/>
        <w:topLinePunct w:val="0"/>
        <w:autoSpaceDE/>
        <w:autoSpaceDN/>
        <w:bidi w:val="0"/>
        <w:adjustRightInd/>
        <w:snapToGrid/>
        <w:spacing w:line="240" w:lineRule="auto"/>
        <w:ind w:firstLine="400" w:firstLineChars="200"/>
        <w:textAlignment w:val="auto"/>
        <w:rPr>
          <w:rFonts w:hint="default" w:ascii="Times New Roman" w:hAnsi="Times New Roman" w:eastAsiaTheme="minorEastAsia" w:cstheme="minorBidi"/>
          <w:color w:val="auto"/>
          <w:sz w:val="20"/>
          <w:szCs w:val="20"/>
          <w:lang w:val="en-US" w:eastAsia="zh-CN" w:bidi="ar-SA"/>
        </w:rPr>
      </w:pPr>
      <w:r>
        <w:rPr>
          <w:rFonts w:hint="default" w:ascii="Times New Roman" w:hAnsi="Times New Roman" w:eastAsiaTheme="minorEastAsia" w:cstheme="minorBidi"/>
          <w:color w:val="auto"/>
          <w:sz w:val="20"/>
          <w:szCs w:val="20"/>
          <w:lang w:val="en-US" w:eastAsia="zh-CN" w:bidi="ar-SA"/>
        </w:rPr>
        <w:t>To further describe borderline mechanical complications during DCB treatment and their association with functional outcomes, we performed a standardized retrospective imaging review of all stent implantation cases in this study (n = 3, all in the IVUS + QFR-guided group)</w:t>
      </w:r>
      <w:r>
        <w:rPr>
          <w:rFonts w:hint="eastAsia" w:ascii="Times New Roman" w:hAnsi="Times New Roman" w:eastAsiaTheme="minorEastAsia" w:cstheme="minorBidi"/>
          <w:color w:val="auto"/>
          <w:sz w:val="20"/>
          <w:szCs w:val="20"/>
          <w:lang w:val="en-US" w:eastAsia="zh-CN" w:bidi="ar-SA"/>
        </w:rPr>
        <w:t>and th</w:t>
      </w:r>
      <w:r>
        <w:rPr>
          <w:rFonts w:hint="default" w:ascii="Times New Roman" w:hAnsi="Times New Roman" w:eastAsiaTheme="minorEastAsia" w:cstheme="minorBidi"/>
          <w:color w:val="auto"/>
          <w:sz w:val="20"/>
          <w:szCs w:val="20"/>
          <w:lang w:val="en-US" w:eastAsia="zh-CN" w:bidi="ar-SA"/>
        </w:rPr>
        <w:t xml:space="preserve">ese cases were anonymized as Case 1 to Case 3. All three cases had core laboratory–confirmed pre-stenting post-PCI QFR values and were therefore eligible for primary endpoint assessment. Device parameters and key periprocedural events for each case are presented in </w:t>
      </w:r>
      <w:r>
        <w:rPr>
          <w:rFonts w:hint="eastAsia" w:ascii="Times New Roman" w:hAnsi="Times New Roman" w:cstheme="minorBidi"/>
          <w:color w:val="auto"/>
          <w:sz w:val="20"/>
          <w:szCs w:val="20"/>
          <w:lang w:val="en-US" w:eastAsia="zh-CN" w:bidi="ar-SA"/>
        </w:rPr>
        <w:t>Additional file</w:t>
      </w:r>
      <w:r>
        <w:rPr>
          <w:rFonts w:hint="default" w:ascii="Times New Roman" w:hAnsi="Times New Roman" w:eastAsiaTheme="minorEastAsia" w:cstheme="minorBidi"/>
          <w:color w:val="auto"/>
          <w:sz w:val="20"/>
          <w:szCs w:val="20"/>
          <w:lang w:val="en-US" w:eastAsia="zh-CN" w:bidi="ar-SA"/>
        </w:rPr>
        <w:t xml:space="preserve"> 1.</w:t>
      </w:r>
    </w:p>
    <w:p w14:paraId="59392BD4">
      <w:pPr>
        <w:keepNext w:val="0"/>
        <w:keepLines w:val="0"/>
        <w:pageBreakBefore w:val="0"/>
        <w:widowControl/>
        <w:kinsoku/>
        <w:wordWrap/>
        <w:overflowPunct/>
        <w:topLinePunct w:val="0"/>
        <w:autoSpaceDE/>
        <w:autoSpaceDN/>
        <w:bidi w:val="0"/>
        <w:adjustRightInd/>
        <w:snapToGrid/>
        <w:spacing w:line="240" w:lineRule="auto"/>
        <w:ind w:firstLine="400" w:firstLineChars="200"/>
        <w:textAlignment w:val="auto"/>
        <w:rPr>
          <w:rFonts w:hint="eastAsia" w:ascii="Times New Roman" w:hAnsi="Times New Roman" w:eastAsiaTheme="minorEastAsia" w:cstheme="minorBidi"/>
          <w:color w:val="auto"/>
          <w:sz w:val="20"/>
          <w:szCs w:val="20"/>
          <w:lang w:val="en-US" w:eastAsia="zh-CN" w:bidi="ar-SA"/>
        </w:rPr>
      </w:pPr>
      <w:r>
        <w:rPr>
          <w:rFonts w:hint="default" w:ascii="Times New Roman" w:hAnsi="Times New Roman" w:eastAsiaTheme="minorEastAsia" w:cstheme="minorBidi"/>
          <w:color w:val="auto"/>
          <w:sz w:val="20"/>
          <w:szCs w:val="20"/>
          <w:lang w:val="en-US" w:eastAsia="zh-CN" w:bidi="ar-SA"/>
        </w:rPr>
        <w:t>Case 1</w:t>
      </w:r>
      <w:r>
        <w:rPr>
          <w:rFonts w:hint="eastAsia" w:ascii="Times New Roman" w:hAnsi="Times New Roman" w:eastAsiaTheme="minorEastAsia" w:cstheme="minorBidi"/>
          <w:color w:val="auto"/>
          <w:sz w:val="20"/>
          <w:szCs w:val="20"/>
          <w:lang w:val="en-US" w:eastAsia="zh-CN" w:bidi="ar-SA"/>
        </w:rPr>
        <w:t xml:space="preserve">: The target vessel was the LAD. The pre-PCI QFR was 0.76, and the post-PCI QFR was 0.91. Imaging review suggested an NHLBI type B dissection with retrograde false lumen formation. Although the dissection did not meet the criteria for restrictive dissection, stent implantation was ultimately performed. Representative angiographic images and labeling descriptions are shown in </w:t>
      </w:r>
      <w:r>
        <w:rPr>
          <w:rFonts w:hint="eastAsia" w:ascii="Times New Roman" w:hAnsi="Times New Roman" w:cstheme="minorBidi"/>
          <w:color w:val="auto"/>
          <w:sz w:val="20"/>
          <w:szCs w:val="20"/>
          <w:lang w:val="en-US" w:eastAsia="zh-CN" w:bidi="ar-SA"/>
        </w:rPr>
        <w:t>Additional files</w:t>
      </w:r>
      <w:r>
        <w:rPr>
          <w:rFonts w:hint="eastAsia" w:ascii="Times New Roman" w:hAnsi="Times New Roman" w:eastAsiaTheme="minorEastAsia" w:cstheme="minorBidi"/>
          <w:color w:val="auto"/>
          <w:sz w:val="20"/>
          <w:szCs w:val="20"/>
          <w:lang w:val="en-US" w:eastAsia="zh-CN" w:bidi="ar-SA"/>
        </w:rPr>
        <w:t xml:space="preserve"> 3-4, corresponding to dissection formation after DCB and the image after rescue stenting taken from the same angle as the initial dissection angiography, respectively.</w:t>
      </w:r>
    </w:p>
    <w:p w14:paraId="1294FED4">
      <w:pPr>
        <w:keepNext w:val="0"/>
        <w:keepLines w:val="0"/>
        <w:pageBreakBefore w:val="0"/>
        <w:widowControl/>
        <w:kinsoku/>
        <w:wordWrap/>
        <w:overflowPunct/>
        <w:topLinePunct w:val="0"/>
        <w:autoSpaceDE/>
        <w:autoSpaceDN/>
        <w:bidi w:val="0"/>
        <w:adjustRightInd/>
        <w:snapToGrid/>
        <w:spacing w:line="240" w:lineRule="auto"/>
        <w:ind w:firstLine="400" w:firstLineChars="200"/>
        <w:textAlignment w:val="auto"/>
        <w:rPr>
          <w:rFonts w:hint="eastAsia" w:ascii="Times New Roman" w:hAnsi="Times New Roman" w:eastAsiaTheme="minorEastAsia" w:cstheme="minorBidi"/>
          <w:color w:val="auto"/>
          <w:sz w:val="20"/>
          <w:szCs w:val="20"/>
          <w:lang w:val="en-US" w:eastAsia="zh-CN" w:bidi="ar-SA"/>
        </w:rPr>
      </w:pPr>
      <w:r>
        <w:rPr>
          <w:rFonts w:hint="eastAsia" w:ascii="Times New Roman" w:hAnsi="Times New Roman" w:eastAsiaTheme="minorEastAsia" w:cstheme="minorBidi"/>
          <w:color w:val="auto"/>
          <w:sz w:val="20"/>
          <w:szCs w:val="20"/>
          <w:lang w:val="en-US" w:eastAsia="zh-CN" w:bidi="ar-SA"/>
        </w:rPr>
        <w:t xml:space="preserve">Case 2: The target vessel was the LAD. The pre-PCI QFR was 0.70, and the post-PCI QFR was 0.90. STEMI occurred 3 hours after the procedure, and repeat angiography suggested acute thrombosis, which was treated with stent implantation. Imaging review indicated that an NHLBI type C dissection had already developed at the end of the initial procedure, but this was not documented during the procedure, suggesting that clinicians may not have routinely performed IVUS follow-up. Representative angiographic images and annotations are provided in </w:t>
      </w:r>
      <w:r>
        <w:rPr>
          <w:rFonts w:hint="eastAsia" w:ascii="Times New Roman" w:hAnsi="Times New Roman" w:cstheme="minorBidi"/>
          <w:color w:val="auto"/>
          <w:sz w:val="20"/>
          <w:szCs w:val="20"/>
          <w:lang w:val="en-US" w:eastAsia="zh-CN" w:bidi="ar-SA"/>
        </w:rPr>
        <w:t>Additional files</w:t>
      </w:r>
      <w:r>
        <w:rPr>
          <w:rFonts w:hint="eastAsia" w:ascii="Times New Roman" w:hAnsi="Times New Roman" w:eastAsiaTheme="minorEastAsia" w:cstheme="minorBidi"/>
          <w:color w:val="auto"/>
          <w:sz w:val="20"/>
          <w:szCs w:val="20"/>
          <w:lang w:val="en-US" w:eastAsia="zh-CN" w:bidi="ar-SA"/>
        </w:rPr>
        <w:t xml:space="preserve"> 5- 9, corresponding to the initial pre-procedural angiogram, dissection formation during the initial procedure, acute thrombosis after the procedure, bailout stent implantation, and the post–bailout stenting image obtained at the same angiographic projection as the initial dissection image, respectively.</w:t>
      </w:r>
    </w:p>
    <w:p w14:paraId="7F8CD317">
      <w:pPr>
        <w:keepNext w:val="0"/>
        <w:keepLines w:val="0"/>
        <w:pageBreakBefore w:val="0"/>
        <w:widowControl/>
        <w:kinsoku/>
        <w:wordWrap/>
        <w:overflowPunct/>
        <w:topLinePunct w:val="0"/>
        <w:autoSpaceDE/>
        <w:autoSpaceDN/>
        <w:bidi w:val="0"/>
        <w:adjustRightInd/>
        <w:snapToGrid/>
        <w:spacing w:line="240" w:lineRule="auto"/>
        <w:ind w:firstLine="400" w:firstLineChars="200"/>
        <w:textAlignment w:val="auto"/>
        <w:rPr>
          <w:rFonts w:hint="eastAsia" w:ascii="Times New Roman" w:hAnsi="Times New Roman" w:eastAsiaTheme="minorEastAsia" w:cstheme="minorBidi"/>
          <w:color w:val="auto"/>
          <w:sz w:val="20"/>
          <w:szCs w:val="20"/>
          <w:lang w:val="en-US" w:eastAsia="zh-CN" w:bidi="ar-SA"/>
        </w:rPr>
      </w:pPr>
      <w:r>
        <w:rPr>
          <w:rFonts w:hint="eastAsia" w:ascii="Times New Roman" w:hAnsi="Times New Roman" w:eastAsiaTheme="minorEastAsia" w:cstheme="minorBidi"/>
          <w:color w:val="auto"/>
          <w:sz w:val="20"/>
          <w:szCs w:val="20"/>
          <w:lang w:val="en-US" w:eastAsia="zh-CN" w:bidi="ar-SA"/>
        </w:rPr>
        <w:t xml:space="preserve">Case 3: The target vessel was the LAD. The pre-PCI QFR was 0.78, and the post-PCI QFR was 0.23. Imaging review suggested an NHLBI type C dissection. Independent angiographic review also indicated postoperative distal coronary vasospasm, which was relieved by nitroglycerin. Stent implantation was ultimately performed. The abnormally low post-PCI QFR in this case is more likely to reflect the combined effects of mechanical complications and vascular reaction. Representative angiographic images and annotations are provided in </w:t>
      </w:r>
      <w:r>
        <w:rPr>
          <w:rFonts w:hint="eastAsia" w:ascii="Times New Roman" w:hAnsi="Times New Roman" w:cstheme="minorBidi"/>
          <w:color w:val="auto"/>
          <w:sz w:val="20"/>
          <w:szCs w:val="20"/>
          <w:lang w:val="en-US" w:eastAsia="zh-CN" w:bidi="ar-SA"/>
        </w:rPr>
        <w:t>Additional files</w:t>
      </w:r>
      <w:r>
        <w:rPr>
          <w:rFonts w:hint="eastAsia" w:ascii="Times New Roman" w:hAnsi="Times New Roman" w:eastAsiaTheme="minorEastAsia" w:cstheme="minorBidi"/>
          <w:color w:val="auto"/>
          <w:sz w:val="20"/>
          <w:szCs w:val="20"/>
          <w:lang w:val="en-US" w:eastAsia="zh-CN" w:bidi="ar-SA"/>
        </w:rPr>
        <w:t xml:space="preserve"> 10-11, corresponding to dissection formation after DCB treatment and and the post–bailout stenting image obtained at the same angiographic projection as the initial dissection image, respectively.</w:t>
      </w:r>
    </w:p>
    <w:p w14:paraId="1367F1AE">
      <w:pPr>
        <w:rPr>
          <w:rFonts w:hint="default" w:ascii="Times New Roman" w:hAnsi="Times New Roman" w:eastAsia="宋体" w:cs="Times New Roman"/>
          <w:b w:val="0"/>
          <w:sz w:val="21"/>
          <w:szCs w:val="21"/>
          <w:lang w:eastAsia="zh-CN"/>
        </w:rPr>
      </w:pPr>
      <w:r>
        <w:rPr>
          <w:rFonts w:hint="default" w:ascii="Times New Roman" w:hAnsi="Times New Roman" w:eastAsiaTheme="minorEastAsia" w:cstheme="minorBidi"/>
          <w:color w:val="auto"/>
          <w:sz w:val="20"/>
          <w:szCs w:val="20"/>
          <w:lang w:val="en-US" w:eastAsia="zh-CN" w:bidi="ar-SA"/>
        </w:rPr>
        <w:t>The above case-level analysis is provided as descriptive supplementary material to offer clinical context for borderline situations and is not intended for between-group inference.</w:t>
      </w:r>
      <w:r>
        <w:rPr>
          <w:rFonts w:hint="eastAsia" w:ascii="Times New Roman" w:hAnsi="Times New Roman" w:eastAsiaTheme="minorEastAsia" w:cstheme="minorBidi"/>
          <w:color w:val="auto"/>
          <w:sz w:val="20"/>
          <w:szCs w:val="20"/>
          <w:lang w:val="en-US" w:eastAsia="zh-CN" w:bidi="ar-SA"/>
        </w:rPr>
        <w:t xml:space="preserve"> </w:t>
      </w:r>
      <w:r>
        <w:rPr>
          <w:rFonts w:hint="default" w:ascii="Times New Roman" w:hAnsi="Times New Roman" w:eastAsiaTheme="minorEastAsia" w:cstheme="minorBidi"/>
          <w:color w:val="auto"/>
          <w:sz w:val="20"/>
          <w:szCs w:val="20"/>
          <w:lang w:val="en-US" w:eastAsia="zh-CN" w:bidi="ar-SA"/>
        </w:rPr>
        <w:t xml:space="preserve">Data on the predictive accuracy of vPCI are provided in </w:t>
      </w:r>
      <w:r>
        <w:rPr>
          <w:rFonts w:hint="eastAsia" w:cstheme="minorBidi"/>
          <w:color w:val="auto"/>
          <w:sz w:val="20"/>
          <w:szCs w:val="20"/>
          <w:lang w:val="en-US" w:eastAsia="zh-CN" w:bidi="ar-SA"/>
        </w:rPr>
        <w:t>Additional file</w:t>
      </w:r>
      <w:r>
        <w:rPr>
          <w:rFonts w:hint="default" w:ascii="Times New Roman" w:hAnsi="Times New Roman" w:eastAsiaTheme="minorEastAsia" w:cstheme="minorBidi"/>
          <w:color w:val="auto"/>
          <w:sz w:val="20"/>
          <w:szCs w:val="20"/>
          <w:lang w:val="en-US" w:eastAsia="zh-CN" w:bidi="ar-SA"/>
        </w:rPr>
        <w:t xml:space="preserve"> 2.</w:t>
      </w:r>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Minion Pro">
    <w:altName w:val="苹方-简"/>
    <w:panose1 w:val="020B0604020202020204"/>
    <w:charset w:val="00"/>
    <w:family w:val="roman"/>
    <w:pitch w:val="default"/>
    <w:sig w:usb0="00000000" w:usb1="00000000" w:usb2="00000000" w:usb3="00000000" w:csb0="0000019F" w:csb1="00000000"/>
  </w:font>
  <w:font w:name="苹方-简">
    <w:panose1 w:val="020B0400000000000000"/>
    <w:charset w:val="86"/>
    <w:family w:val="auto"/>
    <w:pitch w:val="default"/>
    <w:sig w:usb0="A00002FF" w:usb1="7ACFFDFB" w:usb2="00000017" w:usb3="00000000" w:csb0="00040001" w:csb1="00000000"/>
  </w:font>
  <w:font w:name="Times New Roman Bold">
    <w:panose1 w:val="02020503050405090304"/>
    <w:charset w:val="00"/>
    <w:family w:val="auto"/>
    <w:pitch w:val="default"/>
    <w:sig w:usb0="E0000AFF" w:usb1="00007843" w:usb2="00000001" w:usb3="00000000" w:csb0="400001BF" w:csb1="DFF7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FBBCEBC"/>
    <w:rsid w:val="00163F32"/>
    <w:rsid w:val="00265312"/>
    <w:rsid w:val="0048691D"/>
    <w:rsid w:val="00831F5E"/>
    <w:rsid w:val="00AE62BF"/>
    <w:rsid w:val="00BB6731"/>
    <w:rsid w:val="00F65651"/>
    <w:rsid w:val="1479C0F1"/>
    <w:rsid w:val="1F5D22D6"/>
    <w:rsid w:val="1F9FE734"/>
    <w:rsid w:val="27D9A8EC"/>
    <w:rsid w:val="2FDE4A93"/>
    <w:rsid w:val="2FDFA205"/>
    <w:rsid w:val="377B23B0"/>
    <w:rsid w:val="377F07A2"/>
    <w:rsid w:val="396F7861"/>
    <w:rsid w:val="3F3FE254"/>
    <w:rsid w:val="3F872A2E"/>
    <w:rsid w:val="3FBD77E4"/>
    <w:rsid w:val="3FF7FDB4"/>
    <w:rsid w:val="3FFFB22F"/>
    <w:rsid w:val="469F7871"/>
    <w:rsid w:val="49BF93A9"/>
    <w:rsid w:val="4D7F69B6"/>
    <w:rsid w:val="53FF31FD"/>
    <w:rsid w:val="55F6BA17"/>
    <w:rsid w:val="5BEDF1BA"/>
    <w:rsid w:val="5BFBDE19"/>
    <w:rsid w:val="5BFEF108"/>
    <w:rsid w:val="5C777773"/>
    <w:rsid w:val="5CBFA600"/>
    <w:rsid w:val="63731039"/>
    <w:rsid w:val="67BF2AB7"/>
    <w:rsid w:val="6BBF5D76"/>
    <w:rsid w:val="6BFD247B"/>
    <w:rsid w:val="6DFE4A49"/>
    <w:rsid w:val="6F2DCED2"/>
    <w:rsid w:val="6F6E9CC4"/>
    <w:rsid w:val="6F9FA453"/>
    <w:rsid w:val="6FFB8F94"/>
    <w:rsid w:val="6FFFC7DB"/>
    <w:rsid w:val="75FF1521"/>
    <w:rsid w:val="773B634C"/>
    <w:rsid w:val="779BBB30"/>
    <w:rsid w:val="77EED58E"/>
    <w:rsid w:val="77F50A5F"/>
    <w:rsid w:val="78D5D38E"/>
    <w:rsid w:val="7A3F687A"/>
    <w:rsid w:val="7A57D659"/>
    <w:rsid w:val="7AF5CB16"/>
    <w:rsid w:val="7B3FEA09"/>
    <w:rsid w:val="7B99092B"/>
    <w:rsid w:val="7BCF6762"/>
    <w:rsid w:val="7BD77D8E"/>
    <w:rsid w:val="7BDE834E"/>
    <w:rsid w:val="7BF54F40"/>
    <w:rsid w:val="7BFAAEC2"/>
    <w:rsid w:val="7BFF55E9"/>
    <w:rsid w:val="7BFFA18A"/>
    <w:rsid w:val="7CFFB629"/>
    <w:rsid w:val="7EB98400"/>
    <w:rsid w:val="7F2F090D"/>
    <w:rsid w:val="7F372D73"/>
    <w:rsid w:val="7F37561C"/>
    <w:rsid w:val="7FBF5167"/>
    <w:rsid w:val="7FDF0E8D"/>
    <w:rsid w:val="7FF5B99E"/>
    <w:rsid w:val="7FF70A5F"/>
    <w:rsid w:val="7FFA6074"/>
    <w:rsid w:val="7FFF6F94"/>
    <w:rsid w:val="9CEE013E"/>
    <w:rsid w:val="AF036E13"/>
    <w:rsid w:val="AFFF1628"/>
    <w:rsid w:val="BD179039"/>
    <w:rsid w:val="BDEB46A7"/>
    <w:rsid w:val="BE7E2D28"/>
    <w:rsid w:val="BFBBCEBC"/>
    <w:rsid w:val="BFEAF4C9"/>
    <w:rsid w:val="BFF14A6A"/>
    <w:rsid w:val="CFDBFF2C"/>
    <w:rsid w:val="D7767B6A"/>
    <w:rsid w:val="D7C9E40F"/>
    <w:rsid w:val="DBF6FBD1"/>
    <w:rsid w:val="DD3E05B5"/>
    <w:rsid w:val="DD5E5960"/>
    <w:rsid w:val="DE955D07"/>
    <w:rsid w:val="DEEB0E1E"/>
    <w:rsid w:val="DFD36D60"/>
    <w:rsid w:val="E55F4A4C"/>
    <w:rsid w:val="E7FD9F36"/>
    <w:rsid w:val="E87B3B5D"/>
    <w:rsid w:val="E9FE1B85"/>
    <w:rsid w:val="EBDFA770"/>
    <w:rsid w:val="EBEFF94B"/>
    <w:rsid w:val="EE1F79E6"/>
    <w:rsid w:val="EF3DF5E4"/>
    <w:rsid w:val="EF6EADF5"/>
    <w:rsid w:val="EFFCB0D9"/>
    <w:rsid w:val="EFFE427A"/>
    <w:rsid w:val="F0167F90"/>
    <w:rsid w:val="F3C9D30C"/>
    <w:rsid w:val="F3DF7285"/>
    <w:rsid w:val="F5F7ED7C"/>
    <w:rsid w:val="F5FB94C8"/>
    <w:rsid w:val="F7F7F86C"/>
    <w:rsid w:val="F7FF9B2A"/>
    <w:rsid w:val="F8FFC91D"/>
    <w:rsid w:val="FA6D6E6A"/>
    <w:rsid w:val="FB3C6A82"/>
    <w:rsid w:val="FD7769C8"/>
    <w:rsid w:val="FDEF6E1C"/>
    <w:rsid w:val="FE5F4371"/>
    <w:rsid w:val="FE7EA4B5"/>
    <w:rsid w:val="FEDD9C81"/>
    <w:rsid w:val="FEFCB9AC"/>
    <w:rsid w:val="FF5FADC3"/>
    <w:rsid w:val="FF7F3784"/>
    <w:rsid w:val="FFADF101"/>
    <w:rsid w:val="FFB7AA0F"/>
    <w:rsid w:val="FFD44B8C"/>
    <w:rsid w:val="FFEE4F94"/>
    <w:rsid w:val="FFFF77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260" w:lineRule="atLeast"/>
      <w:jc w:val="both"/>
    </w:pPr>
    <w:rPr>
      <w:rFonts w:ascii="Minion Pro" w:hAnsi="Minion Pro" w:eastAsia="宋体" w:cs="Times New Roman"/>
      <w:color w:val="000000"/>
      <w:lang w:val="en-US" w:eastAsia="zh-CN" w:bidi="ar-SA"/>
    </w:rPr>
  </w:style>
  <w:style w:type="character" w:default="1" w:styleId="4">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 w:type="table" w:styleId="3">
    <w:name w:val="Table Grid"/>
    <w:basedOn w:val="2"/>
    <w:qFormat/>
    <w:uiPriority w:val="59"/>
    <w:pPr>
      <w:spacing w:line="260" w:lineRule="atLeast"/>
      <w:jc w:val="both"/>
    </w:pPr>
    <w:rPr>
      <w:rFonts w:ascii="Minion Pro" w:hAnsi="Minion Pro"/>
      <w:color w:val="00000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
    <w:name w:val="Strong"/>
    <w:basedOn w:val="4"/>
    <w:qFormat/>
    <w:uiPriority w:val="0"/>
    <w:rPr>
      <w:b/>
    </w:rPr>
  </w:style>
  <w:style w:type="character" w:styleId="6">
    <w:name w:val="Emphasis"/>
    <w:basedOn w:val="4"/>
    <w:qFormat/>
    <w:uiPriority w:val="0"/>
    <w:rPr>
      <w:i/>
    </w:rPr>
  </w:style>
  <w:style w:type="paragraph" w:customStyle="1" w:styleId="7">
    <w:name w:val="文章正文"/>
    <w:basedOn w:val="1"/>
    <w:qFormat/>
    <w:uiPriority w:val="0"/>
    <w:pPr>
      <w:spacing w:after="60" w:line="240" w:lineRule="auto"/>
      <w:ind w:firstLine="425" w:firstLineChars="0"/>
    </w:pPr>
    <w:rPr>
      <w:rFonts w:ascii="Times New Roman" w:hAnsi="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660</Words>
  <Characters>3768</Characters>
  <Lines>31</Lines>
  <Paragraphs>8</Paragraphs>
  <TotalTime>0</TotalTime>
  <ScaleCrop>false</ScaleCrop>
  <LinksUpToDate>false</LinksUpToDate>
  <CharactersWithSpaces>4420</CharactersWithSpaces>
  <Application>WPS Office_12.1.26035.26035_F1E327BC-269C-435d-A152-05C5408002CA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2026-01-27T22:02:00Z</dcterms:created>
  <dc:creator>ღ养乐多.</dc:creator>
  <cp:lastModifiedBy>ღ养乐多.</cp:lastModifiedBy>
  <dcterms:modified xsi:type="dcterms:W3CDTF">2026-08-03T16:46:47Z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2052-12.1.26035.26035</vt:lpwstr>
  </property>
  <property fmtid="{D5CDD505-2E9C-101B-9397-08002B2CF9AE}" pid="3" name="ICV">
    <vt:lpwstr>EE7513022B23A701082E7269FAB98EA5_41</vt:lpwstr>
  </property>
</Properties>
</file>