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93518" w14:textId="47094042" w:rsidR="00AE7CA0" w:rsidRPr="00BF72E5" w:rsidRDefault="00AE7CA0" w:rsidP="00AE7CA0">
      <w:pPr>
        <w:spacing w:after="0" w:line="360" w:lineRule="auto"/>
        <w:jc w:val="both"/>
        <w:rPr>
          <w:rFonts w:ascii="Times New Roman" w:eastAsia="Times New Roman" w:hAnsi="Times New Roman" w:cs="Times New Roman"/>
          <w:b/>
          <w:bCs/>
          <w:sz w:val="24"/>
          <w:szCs w:val="24"/>
          <w:lang w:eastAsia="en-GB"/>
          <w14:ligatures w14:val="none"/>
        </w:rPr>
      </w:pPr>
      <w:r>
        <w:rPr>
          <w:rFonts w:ascii="Times New Roman" w:eastAsia="Times New Roman" w:hAnsi="Times New Roman" w:cs="Times New Roman"/>
          <w:b/>
          <w:bCs/>
          <w:sz w:val="24"/>
          <w:szCs w:val="24"/>
          <w:lang w:eastAsia="en-GB"/>
          <w14:ligatures w14:val="none"/>
        </w:rPr>
        <w:t>SUPPLEMENTARY MATERIAL</w:t>
      </w:r>
    </w:p>
    <w:p w14:paraId="7BB69A72" w14:textId="77777777" w:rsidR="00AE7CA0" w:rsidRPr="00BF72E5" w:rsidRDefault="00AE7CA0" w:rsidP="00AE7CA0">
      <w:pPr>
        <w:spacing w:after="0" w:line="360" w:lineRule="auto"/>
        <w:jc w:val="both"/>
        <w:rPr>
          <w:rFonts w:ascii="Times New Roman" w:eastAsia="Times New Roman" w:hAnsi="Times New Roman" w:cs="Times New Roman"/>
          <w:b/>
          <w:bCs/>
          <w:sz w:val="24"/>
          <w:szCs w:val="24"/>
          <w:lang w:eastAsia="en-GB"/>
          <w14:ligatures w14:val="none"/>
        </w:rPr>
      </w:pPr>
    </w:p>
    <w:p w14:paraId="274FF5F9" w14:textId="77777777" w:rsidR="00AE7CA0" w:rsidRPr="00BF72E5" w:rsidRDefault="00AE7CA0" w:rsidP="00AE7CA0">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 xml:space="preserve">Supplementary Table S1: Detailed presentation of all identified bottlenecks </w:t>
      </w:r>
    </w:p>
    <w:tbl>
      <w:tblPr>
        <w:tblStyle w:val="TableGrid1"/>
        <w:tblW w:w="11155" w:type="dxa"/>
        <w:jc w:val="center"/>
        <w:tblLook w:val="04A0" w:firstRow="1" w:lastRow="0" w:firstColumn="1" w:lastColumn="0" w:noHBand="0" w:noVBand="1"/>
      </w:tblPr>
      <w:tblGrid>
        <w:gridCol w:w="1705"/>
        <w:gridCol w:w="1807"/>
        <w:gridCol w:w="2963"/>
        <w:gridCol w:w="2250"/>
        <w:gridCol w:w="2430"/>
      </w:tblGrid>
      <w:tr w:rsidR="00AE7CA0" w:rsidRPr="00BF72E5" w14:paraId="508683C1" w14:textId="77777777" w:rsidTr="00386C39">
        <w:trPr>
          <w:jc w:val="center"/>
        </w:trPr>
        <w:tc>
          <w:tcPr>
            <w:tcW w:w="1705" w:type="dxa"/>
          </w:tcPr>
          <w:p w14:paraId="419C1890" w14:textId="77777777" w:rsidR="00AE7CA0" w:rsidRPr="00BF72E5" w:rsidRDefault="00AE7CA0" w:rsidP="00386C39">
            <w:pPr>
              <w:spacing w:line="360" w:lineRule="auto"/>
              <w:jc w:val="both"/>
              <w:rPr>
                <w:rFonts w:ascii="Times New Roman" w:hAnsi="Times New Roman" w:cs="Times New Roman"/>
                <w:b/>
                <w:sz w:val="24"/>
                <w:szCs w:val="24"/>
              </w:rPr>
            </w:pPr>
            <w:r w:rsidRPr="00BF72E5">
              <w:rPr>
                <w:rFonts w:ascii="Times New Roman" w:hAnsi="Times New Roman" w:cs="Times New Roman"/>
                <w:b/>
                <w:sz w:val="24"/>
                <w:szCs w:val="24"/>
              </w:rPr>
              <w:t>Structural node</w:t>
            </w:r>
          </w:p>
        </w:tc>
        <w:tc>
          <w:tcPr>
            <w:tcW w:w="1807" w:type="dxa"/>
          </w:tcPr>
          <w:p w14:paraId="1C67349D" w14:textId="77777777" w:rsidR="00AE7CA0" w:rsidRPr="00BF72E5" w:rsidRDefault="00AE7CA0" w:rsidP="00386C39">
            <w:pPr>
              <w:spacing w:line="360" w:lineRule="auto"/>
              <w:jc w:val="both"/>
              <w:rPr>
                <w:rFonts w:ascii="Times New Roman" w:hAnsi="Times New Roman" w:cs="Times New Roman"/>
                <w:b/>
                <w:sz w:val="24"/>
                <w:szCs w:val="24"/>
              </w:rPr>
            </w:pPr>
            <w:r w:rsidRPr="00BF72E5">
              <w:rPr>
                <w:rFonts w:ascii="Times New Roman" w:hAnsi="Times New Roman" w:cs="Times New Roman"/>
                <w:b/>
                <w:sz w:val="24"/>
                <w:szCs w:val="24"/>
              </w:rPr>
              <w:t xml:space="preserve">Bottleneck </w:t>
            </w:r>
          </w:p>
        </w:tc>
        <w:tc>
          <w:tcPr>
            <w:tcW w:w="2963" w:type="dxa"/>
          </w:tcPr>
          <w:p w14:paraId="3E5A3EE1" w14:textId="77777777" w:rsidR="00AE7CA0" w:rsidRPr="00BF72E5" w:rsidRDefault="00AE7CA0" w:rsidP="00386C39">
            <w:pPr>
              <w:spacing w:line="360" w:lineRule="auto"/>
              <w:jc w:val="both"/>
              <w:rPr>
                <w:rFonts w:ascii="Times New Roman" w:hAnsi="Times New Roman" w:cs="Times New Roman"/>
                <w:b/>
                <w:sz w:val="24"/>
                <w:szCs w:val="24"/>
              </w:rPr>
            </w:pPr>
            <w:r w:rsidRPr="00BF72E5">
              <w:rPr>
                <w:rFonts w:ascii="Times New Roman" w:hAnsi="Times New Roman" w:cs="Times New Roman"/>
                <w:b/>
                <w:sz w:val="24"/>
                <w:szCs w:val="24"/>
              </w:rPr>
              <w:t>Structural manifestation</w:t>
            </w:r>
          </w:p>
        </w:tc>
        <w:tc>
          <w:tcPr>
            <w:tcW w:w="2250" w:type="dxa"/>
          </w:tcPr>
          <w:p w14:paraId="272B2165" w14:textId="77777777" w:rsidR="00AE7CA0" w:rsidRPr="00BF72E5" w:rsidRDefault="00AE7CA0" w:rsidP="00386C39">
            <w:pPr>
              <w:spacing w:line="360" w:lineRule="auto"/>
              <w:jc w:val="both"/>
              <w:rPr>
                <w:rFonts w:ascii="Times New Roman" w:hAnsi="Times New Roman" w:cs="Times New Roman"/>
                <w:b/>
                <w:sz w:val="24"/>
                <w:szCs w:val="24"/>
              </w:rPr>
            </w:pPr>
            <w:r w:rsidRPr="00BF72E5">
              <w:rPr>
                <w:rFonts w:ascii="Times New Roman" w:hAnsi="Times New Roman" w:cs="Times New Roman"/>
                <w:b/>
                <w:sz w:val="24"/>
                <w:szCs w:val="24"/>
              </w:rPr>
              <w:t>System-level implications</w:t>
            </w:r>
          </w:p>
        </w:tc>
        <w:tc>
          <w:tcPr>
            <w:tcW w:w="2430" w:type="dxa"/>
          </w:tcPr>
          <w:p w14:paraId="3CACE97F" w14:textId="77777777" w:rsidR="00AE7CA0" w:rsidRPr="00BF72E5" w:rsidRDefault="00AE7CA0" w:rsidP="00386C39">
            <w:pPr>
              <w:spacing w:line="360" w:lineRule="auto"/>
              <w:jc w:val="both"/>
              <w:rPr>
                <w:rFonts w:ascii="Times New Roman" w:hAnsi="Times New Roman" w:cs="Times New Roman"/>
                <w:b/>
                <w:sz w:val="24"/>
                <w:szCs w:val="24"/>
              </w:rPr>
            </w:pPr>
            <w:r w:rsidRPr="00BF72E5">
              <w:rPr>
                <w:rFonts w:ascii="Times New Roman" w:hAnsi="Times New Roman" w:cs="Times New Roman"/>
                <w:b/>
                <w:sz w:val="24"/>
                <w:szCs w:val="24"/>
              </w:rPr>
              <w:t>Reported by</w:t>
            </w:r>
          </w:p>
        </w:tc>
      </w:tr>
      <w:tr w:rsidR="00AE7CA0" w:rsidRPr="00BF72E5" w14:paraId="71CD4FDD" w14:textId="77777777" w:rsidTr="00386C39">
        <w:trPr>
          <w:jc w:val="center"/>
        </w:trPr>
        <w:tc>
          <w:tcPr>
            <w:tcW w:w="11155" w:type="dxa"/>
            <w:gridSpan w:val="5"/>
          </w:tcPr>
          <w:p w14:paraId="53795C0D"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b/>
                <w:sz w:val="24"/>
                <w:szCs w:val="24"/>
              </w:rPr>
              <w:t>STRUCTURAL ARCHITECTURE</w:t>
            </w:r>
          </w:p>
        </w:tc>
      </w:tr>
      <w:tr w:rsidR="00AE7CA0" w:rsidRPr="00BF72E5" w14:paraId="39C525FE" w14:textId="77777777" w:rsidTr="00386C39">
        <w:trPr>
          <w:jc w:val="center"/>
        </w:trPr>
        <w:tc>
          <w:tcPr>
            <w:tcW w:w="1705" w:type="dxa"/>
          </w:tcPr>
          <w:p w14:paraId="6C7DB5C3"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Global production</w:t>
            </w:r>
          </w:p>
        </w:tc>
        <w:tc>
          <w:tcPr>
            <w:tcW w:w="1807" w:type="dxa"/>
          </w:tcPr>
          <w:p w14:paraId="2DB2EA02"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Import-dependent supply architecture</w:t>
            </w:r>
          </w:p>
        </w:tc>
        <w:tc>
          <w:tcPr>
            <w:tcW w:w="2963" w:type="dxa"/>
          </w:tcPr>
          <w:p w14:paraId="43C8256B"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Heavy reliance on foreign manufacturers with limited domestic buffering capacity</w:t>
            </w:r>
          </w:p>
        </w:tc>
        <w:tc>
          <w:tcPr>
            <w:tcW w:w="2250" w:type="dxa"/>
          </w:tcPr>
          <w:p w14:paraId="705059C7"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Structural supply volatility and exposure to external market shocks</w:t>
            </w:r>
          </w:p>
        </w:tc>
        <w:tc>
          <w:tcPr>
            <w:tcW w:w="2430" w:type="dxa"/>
          </w:tcPr>
          <w:p w14:paraId="55911450"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Distributors &amp; Wholesalers; Importers &amp; Local producers</w:t>
            </w:r>
          </w:p>
        </w:tc>
      </w:tr>
      <w:tr w:rsidR="00AE7CA0" w:rsidRPr="00BF72E5" w14:paraId="2BF06FAA" w14:textId="77777777" w:rsidTr="00386C39">
        <w:trPr>
          <w:jc w:val="center"/>
        </w:trPr>
        <w:tc>
          <w:tcPr>
            <w:tcW w:w="1705" w:type="dxa"/>
          </w:tcPr>
          <w:p w14:paraId="5B4F4E73"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Domestic manufacturing</w:t>
            </w:r>
          </w:p>
        </w:tc>
        <w:tc>
          <w:tcPr>
            <w:tcW w:w="1807" w:type="dxa"/>
          </w:tcPr>
          <w:p w14:paraId="0C816F11"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Limited domestic production scale</w:t>
            </w:r>
          </w:p>
        </w:tc>
        <w:tc>
          <w:tcPr>
            <w:tcW w:w="2963" w:type="dxa"/>
          </w:tcPr>
          <w:p w14:paraId="5C8E981F"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Single local producer unable to meet national poultry vaccine dose demand</w:t>
            </w:r>
          </w:p>
        </w:tc>
        <w:tc>
          <w:tcPr>
            <w:tcW w:w="2250" w:type="dxa"/>
          </w:tcPr>
          <w:p w14:paraId="656EB8E6"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Weak national resilience and continued import dependency</w:t>
            </w:r>
          </w:p>
        </w:tc>
        <w:tc>
          <w:tcPr>
            <w:tcW w:w="2430" w:type="dxa"/>
          </w:tcPr>
          <w:p w14:paraId="63B82F03"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Importers &amp; Local producers; Regulatory authorities</w:t>
            </w:r>
          </w:p>
        </w:tc>
      </w:tr>
      <w:tr w:rsidR="00AE7CA0" w:rsidRPr="00BF72E5" w14:paraId="16763ADC" w14:textId="77777777" w:rsidTr="00386C39">
        <w:trPr>
          <w:jc w:val="center"/>
        </w:trPr>
        <w:tc>
          <w:tcPr>
            <w:tcW w:w="1705" w:type="dxa"/>
          </w:tcPr>
          <w:p w14:paraId="41F8A3F9"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National storage &amp; primary distribution</w:t>
            </w:r>
          </w:p>
        </w:tc>
        <w:tc>
          <w:tcPr>
            <w:tcW w:w="1807" w:type="dxa"/>
          </w:tcPr>
          <w:p w14:paraId="7AB771C7"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Cold-chain infrastructure fragility</w:t>
            </w:r>
          </w:p>
        </w:tc>
        <w:tc>
          <w:tcPr>
            <w:tcW w:w="2963" w:type="dxa"/>
          </w:tcPr>
          <w:p w14:paraId="6A94D5D4"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Dependence on unstable electricity; limited power backup; weak temperature monitoring systems</w:t>
            </w:r>
          </w:p>
        </w:tc>
        <w:tc>
          <w:tcPr>
            <w:tcW w:w="2250" w:type="dxa"/>
          </w:tcPr>
          <w:p w14:paraId="6ADC0DA4"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Degraded delivery quality and vaccine potency risks across the supply chain</w:t>
            </w:r>
          </w:p>
        </w:tc>
        <w:tc>
          <w:tcPr>
            <w:tcW w:w="2430" w:type="dxa"/>
          </w:tcPr>
          <w:p w14:paraId="17042E70"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Regulatory authorities; District veterinary authorities; Importers &amp; Local producers</w:t>
            </w:r>
          </w:p>
        </w:tc>
      </w:tr>
      <w:tr w:rsidR="00AE7CA0" w:rsidRPr="00BF72E5" w14:paraId="335C0023" w14:textId="77777777" w:rsidTr="00386C39">
        <w:trPr>
          <w:jc w:val="center"/>
        </w:trPr>
        <w:tc>
          <w:tcPr>
            <w:tcW w:w="1705" w:type="dxa"/>
          </w:tcPr>
          <w:p w14:paraId="50BCB7ED"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Wholesale &amp; regional distribution</w:t>
            </w:r>
          </w:p>
        </w:tc>
        <w:tc>
          <w:tcPr>
            <w:tcW w:w="1807" w:type="dxa"/>
          </w:tcPr>
          <w:p w14:paraId="72E8ED2A"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Fragmented distribution configuration</w:t>
            </w:r>
          </w:p>
        </w:tc>
        <w:tc>
          <w:tcPr>
            <w:tcW w:w="2963" w:type="dxa"/>
          </w:tcPr>
          <w:p w14:paraId="6CDF5DF0"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Urban-centric concentration of wholesalers and limited penetration into rural districts</w:t>
            </w:r>
          </w:p>
        </w:tc>
        <w:tc>
          <w:tcPr>
            <w:tcW w:w="2250" w:type="dxa"/>
          </w:tcPr>
          <w:p w14:paraId="5023BFCA"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Geographic inequity in vaccine access and reduced recovery capacity</w:t>
            </w:r>
          </w:p>
        </w:tc>
        <w:tc>
          <w:tcPr>
            <w:tcW w:w="2430" w:type="dxa"/>
          </w:tcPr>
          <w:p w14:paraId="06818F1D"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Importers &amp; Local producers; District Veterinary Authorities</w:t>
            </w:r>
          </w:p>
        </w:tc>
      </w:tr>
      <w:tr w:rsidR="00AE7CA0" w:rsidRPr="00BF72E5" w14:paraId="05C7A1DC" w14:textId="77777777" w:rsidTr="00386C39">
        <w:trPr>
          <w:jc w:val="center"/>
        </w:trPr>
        <w:tc>
          <w:tcPr>
            <w:tcW w:w="1705" w:type="dxa"/>
          </w:tcPr>
          <w:p w14:paraId="6B7E05D2"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Retail interface</w:t>
            </w:r>
          </w:p>
        </w:tc>
        <w:tc>
          <w:tcPr>
            <w:tcW w:w="1807" w:type="dxa"/>
          </w:tcPr>
          <w:p w14:paraId="5CB23196"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Packaging–scale misalignment</w:t>
            </w:r>
          </w:p>
        </w:tc>
        <w:tc>
          <w:tcPr>
            <w:tcW w:w="2963" w:type="dxa"/>
          </w:tcPr>
          <w:p w14:paraId="3B2541B3"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Standardized dose vial formats poorly aligned with smallholder flock sizes</w:t>
            </w:r>
          </w:p>
        </w:tc>
        <w:tc>
          <w:tcPr>
            <w:tcW w:w="2250" w:type="dxa"/>
          </w:tcPr>
          <w:p w14:paraId="1F5653AF"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 xml:space="preserve">Inefficient dose </w:t>
            </w:r>
            <w:proofErr w:type="spellStart"/>
            <w:r w:rsidRPr="00BF72E5">
              <w:rPr>
                <w:rFonts w:ascii="Times New Roman" w:hAnsi="Times New Roman" w:cs="Times New Roman"/>
                <w:sz w:val="24"/>
                <w:szCs w:val="24"/>
              </w:rPr>
              <w:t>utilisation</w:t>
            </w:r>
            <w:proofErr w:type="spellEnd"/>
            <w:r w:rsidRPr="00BF72E5">
              <w:rPr>
                <w:rFonts w:ascii="Times New Roman" w:hAnsi="Times New Roman" w:cs="Times New Roman"/>
                <w:sz w:val="24"/>
                <w:szCs w:val="24"/>
              </w:rPr>
              <w:t xml:space="preserve"> and structural exclusion of small-scale producers</w:t>
            </w:r>
          </w:p>
        </w:tc>
        <w:tc>
          <w:tcPr>
            <w:tcW w:w="2430" w:type="dxa"/>
          </w:tcPr>
          <w:p w14:paraId="4DD52A61"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District veterinary authorities; Importers &amp; Local producers</w:t>
            </w:r>
          </w:p>
        </w:tc>
      </w:tr>
      <w:tr w:rsidR="00AE7CA0" w:rsidRPr="00BF72E5" w14:paraId="4C8D2447" w14:textId="77777777" w:rsidTr="00386C39">
        <w:trPr>
          <w:jc w:val="center"/>
        </w:trPr>
        <w:tc>
          <w:tcPr>
            <w:tcW w:w="11155" w:type="dxa"/>
            <w:gridSpan w:val="5"/>
          </w:tcPr>
          <w:p w14:paraId="5699277F"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b/>
                <w:sz w:val="24"/>
                <w:szCs w:val="24"/>
              </w:rPr>
              <w:t>MARKET ORGANISATION</w:t>
            </w:r>
          </w:p>
        </w:tc>
      </w:tr>
      <w:tr w:rsidR="00AE7CA0" w:rsidRPr="00BF72E5" w14:paraId="3C419C83" w14:textId="77777777" w:rsidTr="00386C39">
        <w:trPr>
          <w:jc w:val="center"/>
        </w:trPr>
        <w:tc>
          <w:tcPr>
            <w:tcW w:w="1705" w:type="dxa"/>
          </w:tcPr>
          <w:p w14:paraId="5DB59C45"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National governance &amp; policy</w:t>
            </w:r>
          </w:p>
        </w:tc>
        <w:tc>
          <w:tcPr>
            <w:tcW w:w="1807" w:type="dxa"/>
          </w:tcPr>
          <w:p w14:paraId="1B38F329"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 xml:space="preserve">Private-good classification of </w:t>
            </w:r>
            <w:r w:rsidRPr="00BF72E5">
              <w:rPr>
                <w:rFonts w:ascii="Times New Roman" w:hAnsi="Times New Roman" w:cs="Times New Roman"/>
                <w:sz w:val="24"/>
                <w:szCs w:val="24"/>
              </w:rPr>
              <w:lastRenderedPageBreak/>
              <w:t>poultry vaccination</w:t>
            </w:r>
          </w:p>
        </w:tc>
        <w:tc>
          <w:tcPr>
            <w:tcW w:w="2963" w:type="dxa"/>
          </w:tcPr>
          <w:p w14:paraId="72D53B8A"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lastRenderedPageBreak/>
              <w:t xml:space="preserve">Vaccines positioned as market commodities without </w:t>
            </w:r>
            <w:r w:rsidRPr="00BF72E5">
              <w:rPr>
                <w:rFonts w:ascii="Times New Roman" w:hAnsi="Times New Roman" w:cs="Times New Roman"/>
                <w:sz w:val="24"/>
                <w:szCs w:val="24"/>
              </w:rPr>
              <w:lastRenderedPageBreak/>
              <w:t>sustained public co-investment</w:t>
            </w:r>
          </w:p>
        </w:tc>
        <w:tc>
          <w:tcPr>
            <w:tcW w:w="2250" w:type="dxa"/>
          </w:tcPr>
          <w:p w14:paraId="795A208E"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lastRenderedPageBreak/>
              <w:t xml:space="preserve">Market-dependent coverage and </w:t>
            </w:r>
            <w:r w:rsidRPr="00BF72E5">
              <w:rPr>
                <w:rFonts w:ascii="Times New Roman" w:hAnsi="Times New Roman" w:cs="Times New Roman"/>
                <w:sz w:val="24"/>
                <w:szCs w:val="24"/>
              </w:rPr>
              <w:lastRenderedPageBreak/>
              <w:t>affordability constraints</w:t>
            </w:r>
          </w:p>
        </w:tc>
        <w:tc>
          <w:tcPr>
            <w:tcW w:w="2430" w:type="dxa"/>
          </w:tcPr>
          <w:p w14:paraId="119FD882"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lastRenderedPageBreak/>
              <w:t>Regulatory authorities</w:t>
            </w:r>
          </w:p>
        </w:tc>
      </w:tr>
      <w:tr w:rsidR="00AE7CA0" w:rsidRPr="00BF72E5" w14:paraId="0E2C7AD2" w14:textId="77777777" w:rsidTr="00386C39">
        <w:trPr>
          <w:jc w:val="center"/>
        </w:trPr>
        <w:tc>
          <w:tcPr>
            <w:tcW w:w="1705" w:type="dxa"/>
          </w:tcPr>
          <w:p w14:paraId="3C1E2AA7"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Importation &amp; registration</w:t>
            </w:r>
          </w:p>
        </w:tc>
        <w:tc>
          <w:tcPr>
            <w:tcW w:w="1807" w:type="dxa"/>
          </w:tcPr>
          <w:p w14:paraId="6C571312"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High regulatory entry costs</w:t>
            </w:r>
          </w:p>
        </w:tc>
        <w:tc>
          <w:tcPr>
            <w:tcW w:w="2963" w:type="dxa"/>
          </w:tcPr>
          <w:p w14:paraId="6383818A"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Compliance fees and registration charges limiting portfolio diversification</w:t>
            </w:r>
          </w:p>
        </w:tc>
        <w:tc>
          <w:tcPr>
            <w:tcW w:w="2250" w:type="dxa"/>
          </w:tcPr>
          <w:p w14:paraId="470D6978"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Constrained market competition and limited innovation</w:t>
            </w:r>
          </w:p>
        </w:tc>
        <w:tc>
          <w:tcPr>
            <w:tcW w:w="2430" w:type="dxa"/>
          </w:tcPr>
          <w:p w14:paraId="6893EE5E"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Importers &amp; Local producers</w:t>
            </w:r>
          </w:p>
        </w:tc>
      </w:tr>
      <w:tr w:rsidR="00AE7CA0" w:rsidRPr="00BF72E5" w14:paraId="620038E4" w14:textId="77777777" w:rsidTr="00386C39">
        <w:trPr>
          <w:jc w:val="center"/>
        </w:trPr>
        <w:tc>
          <w:tcPr>
            <w:tcW w:w="1705" w:type="dxa"/>
          </w:tcPr>
          <w:p w14:paraId="5B7088A1"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Retail &amp; service delivery interface</w:t>
            </w:r>
          </w:p>
        </w:tc>
        <w:tc>
          <w:tcPr>
            <w:tcW w:w="1807" w:type="dxa"/>
          </w:tcPr>
          <w:p w14:paraId="07366720"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Weak reinvestment incentives</w:t>
            </w:r>
          </w:p>
        </w:tc>
        <w:tc>
          <w:tcPr>
            <w:tcW w:w="2963" w:type="dxa"/>
          </w:tcPr>
          <w:p w14:paraId="4D1EF9E9"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Reduced demand and thin margins limiting reinvestment in infrastructure</w:t>
            </w:r>
          </w:p>
        </w:tc>
        <w:tc>
          <w:tcPr>
            <w:tcW w:w="2250" w:type="dxa"/>
          </w:tcPr>
          <w:p w14:paraId="38663DD5"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Self-</w:t>
            </w:r>
            <w:proofErr w:type="gramStart"/>
            <w:r w:rsidRPr="00BF72E5">
              <w:rPr>
                <w:rFonts w:ascii="Times New Roman" w:hAnsi="Times New Roman" w:cs="Times New Roman"/>
                <w:sz w:val="24"/>
                <w:szCs w:val="24"/>
              </w:rPr>
              <w:t>reinforcing</w:t>
            </w:r>
            <w:proofErr w:type="gramEnd"/>
            <w:r w:rsidRPr="00BF72E5">
              <w:rPr>
                <w:rFonts w:ascii="Times New Roman" w:hAnsi="Times New Roman" w:cs="Times New Roman"/>
                <w:sz w:val="24"/>
                <w:szCs w:val="24"/>
              </w:rPr>
              <w:t xml:space="preserve"> degradation of delivery quality</w:t>
            </w:r>
          </w:p>
        </w:tc>
        <w:tc>
          <w:tcPr>
            <w:tcW w:w="2430" w:type="dxa"/>
          </w:tcPr>
          <w:p w14:paraId="455ED438"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Importers &amp; Local producers; Drug shops</w:t>
            </w:r>
          </w:p>
        </w:tc>
      </w:tr>
      <w:tr w:rsidR="00AE7CA0" w:rsidRPr="00BF72E5" w14:paraId="2BFD9BAF" w14:textId="77777777" w:rsidTr="00386C39">
        <w:trPr>
          <w:jc w:val="center"/>
        </w:trPr>
        <w:tc>
          <w:tcPr>
            <w:tcW w:w="1705" w:type="dxa"/>
          </w:tcPr>
          <w:p w14:paraId="3D9366C8"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Market demand dynamics</w:t>
            </w:r>
          </w:p>
        </w:tc>
        <w:tc>
          <w:tcPr>
            <w:tcW w:w="1807" w:type="dxa"/>
          </w:tcPr>
          <w:p w14:paraId="5ADAEC55"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Reactive outbreak-driven purchasing patterns</w:t>
            </w:r>
          </w:p>
        </w:tc>
        <w:tc>
          <w:tcPr>
            <w:tcW w:w="2963" w:type="dxa"/>
          </w:tcPr>
          <w:p w14:paraId="1BA96561"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Temporary demand spikes without sustained preventive demand</w:t>
            </w:r>
          </w:p>
        </w:tc>
        <w:tc>
          <w:tcPr>
            <w:tcW w:w="2250" w:type="dxa"/>
          </w:tcPr>
          <w:p w14:paraId="4CA2EE50"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Investment instability and short-term signaling</w:t>
            </w:r>
          </w:p>
        </w:tc>
        <w:tc>
          <w:tcPr>
            <w:tcW w:w="2430" w:type="dxa"/>
          </w:tcPr>
          <w:p w14:paraId="219D561F"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District Veterinary Authorities; Importers &amp; Local Producers</w:t>
            </w:r>
          </w:p>
        </w:tc>
      </w:tr>
      <w:tr w:rsidR="00AE7CA0" w:rsidRPr="00BF72E5" w14:paraId="2E63BD0E" w14:textId="77777777" w:rsidTr="00386C39">
        <w:trPr>
          <w:jc w:val="center"/>
        </w:trPr>
        <w:tc>
          <w:tcPr>
            <w:tcW w:w="11155" w:type="dxa"/>
            <w:gridSpan w:val="5"/>
          </w:tcPr>
          <w:p w14:paraId="3B4A59CC"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b/>
                <w:sz w:val="24"/>
                <w:szCs w:val="24"/>
              </w:rPr>
              <w:t>GOVERNANCE &amp; INSTITUTIONAL INTERDEPENDENCIES</w:t>
            </w:r>
          </w:p>
        </w:tc>
      </w:tr>
      <w:tr w:rsidR="00AE7CA0" w:rsidRPr="00BF72E5" w14:paraId="226127D1" w14:textId="77777777" w:rsidTr="00386C39">
        <w:trPr>
          <w:jc w:val="center"/>
        </w:trPr>
        <w:tc>
          <w:tcPr>
            <w:tcW w:w="1705" w:type="dxa"/>
          </w:tcPr>
          <w:p w14:paraId="435882AD"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Surveillance &amp; system learning</w:t>
            </w:r>
          </w:p>
        </w:tc>
        <w:tc>
          <w:tcPr>
            <w:tcW w:w="1807" w:type="dxa"/>
          </w:tcPr>
          <w:p w14:paraId="3599F05A"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Weak surveillance and performance monitoring</w:t>
            </w:r>
          </w:p>
        </w:tc>
        <w:tc>
          <w:tcPr>
            <w:tcW w:w="2963" w:type="dxa"/>
          </w:tcPr>
          <w:p w14:paraId="6DA68DCD"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Absence of structured tracking of uptake and effectiveness</w:t>
            </w:r>
          </w:p>
        </w:tc>
        <w:tc>
          <w:tcPr>
            <w:tcW w:w="2250" w:type="dxa"/>
          </w:tcPr>
          <w:p w14:paraId="299ADAE6"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Institutional learning failure</w:t>
            </w:r>
          </w:p>
        </w:tc>
        <w:tc>
          <w:tcPr>
            <w:tcW w:w="2430" w:type="dxa"/>
          </w:tcPr>
          <w:p w14:paraId="34CC72E9"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Regulatory authorities; Academia / NGOs / Industry experts</w:t>
            </w:r>
          </w:p>
        </w:tc>
      </w:tr>
      <w:tr w:rsidR="00AE7CA0" w:rsidRPr="00BF72E5" w14:paraId="294A849C" w14:textId="77777777" w:rsidTr="00386C39">
        <w:trPr>
          <w:jc w:val="center"/>
        </w:trPr>
        <w:tc>
          <w:tcPr>
            <w:tcW w:w="1705" w:type="dxa"/>
          </w:tcPr>
          <w:p w14:paraId="0441483C"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Reporting architecture</w:t>
            </w:r>
          </w:p>
        </w:tc>
        <w:tc>
          <w:tcPr>
            <w:tcW w:w="1807" w:type="dxa"/>
          </w:tcPr>
          <w:p w14:paraId="577CC7F7"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Fragile reporting pathways</w:t>
            </w:r>
          </w:p>
        </w:tc>
        <w:tc>
          <w:tcPr>
            <w:tcW w:w="2963" w:type="dxa"/>
          </w:tcPr>
          <w:p w14:paraId="691021F9"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Poor farm–district–national data transmission</w:t>
            </w:r>
          </w:p>
        </w:tc>
        <w:tc>
          <w:tcPr>
            <w:tcW w:w="2250" w:type="dxa"/>
          </w:tcPr>
          <w:p w14:paraId="2AF44618"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Delayed detection of delivery failure</w:t>
            </w:r>
          </w:p>
        </w:tc>
        <w:tc>
          <w:tcPr>
            <w:tcW w:w="2430" w:type="dxa"/>
          </w:tcPr>
          <w:p w14:paraId="7831CB20"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Regulatory authorities; District veterinary authorities</w:t>
            </w:r>
          </w:p>
        </w:tc>
      </w:tr>
      <w:tr w:rsidR="00AE7CA0" w:rsidRPr="00BF72E5" w14:paraId="6D508A20" w14:textId="77777777" w:rsidTr="00386C39">
        <w:trPr>
          <w:jc w:val="center"/>
        </w:trPr>
        <w:tc>
          <w:tcPr>
            <w:tcW w:w="1705" w:type="dxa"/>
          </w:tcPr>
          <w:p w14:paraId="2ACE236C"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Regulatory oversight</w:t>
            </w:r>
          </w:p>
        </w:tc>
        <w:tc>
          <w:tcPr>
            <w:tcW w:w="1807" w:type="dxa"/>
          </w:tcPr>
          <w:p w14:paraId="4131BC67"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Limited regulatory reach beyond retail outlets</w:t>
            </w:r>
          </w:p>
        </w:tc>
        <w:tc>
          <w:tcPr>
            <w:tcW w:w="2963" w:type="dxa"/>
          </w:tcPr>
          <w:p w14:paraId="2C1590EA"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Oversight weakens beyond licensed sales points</w:t>
            </w:r>
          </w:p>
        </w:tc>
        <w:tc>
          <w:tcPr>
            <w:tcW w:w="2250" w:type="dxa"/>
          </w:tcPr>
          <w:p w14:paraId="52651E26"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Compliance erosion at last-mile delivery</w:t>
            </w:r>
          </w:p>
        </w:tc>
        <w:tc>
          <w:tcPr>
            <w:tcW w:w="2430" w:type="dxa"/>
          </w:tcPr>
          <w:p w14:paraId="0C427A0A"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Regulatory authorities</w:t>
            </w:r>
          </w:p>
        </w:tc>
      </w:tr>
      <w:tr w:rsidR="00AE7CA0" w:rsidRPr="00BF72E5" w14:paraId="7971E9B2" w14:textId="77777777" w:rsidTr="00386C39">
        <w:trPr>
          <w:jc w:val="center"/>
        </w:trPr>
        <w:tc>
          <w:tcPr>
            <w:tcW w:w="1705" w:type="dxa"/>
          </w:tcPr>
          <w:p w14:paraId="45CFEC2E"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Subnational governance &amp; extension</w:t>
            </w:r>
          </w:p>
        </w:tc>
        <w:tc>
          <w:tcPr>
            <w:tcW w:w="1807" w:type="dxa"/>
          </w:tcPr>
          <w:p w14:paraId="54A4729B"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Extension workforce constraints</w:t>
            </w:r>
          </w:p>
        </w:tc>
        <w:tc>
          <w:tcPr>
            <w:tcW w:w="2963" w:type="dxa"/>
          </w:tcPr>
          <w:p w14:paraId="43CD929A"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Low staffing ratios and limited poultry-specific expertise</w:t>
            </w:r>
          </w:p>
        </w:tc>
        <w:tc>
          <w:tcPr>
            <w:tcW w:w="2250" w:type="dxa"/>
          </w:tcPr>
          <w:p w14:paraId="407E062C"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Administration variability and uneven advisory support</w:t>
            </w:r>
          </w:p>
        </w:tc>
        <w:tc>
          <w:tcPr>
            <w:tcW w:w="2430" w:type="dxa"/>
          </w:tcPr>
          <w:p w14:paraId="3DBF92DC"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District veterinary authorities; Regulatory Authorities</w:t>
            </w:r>
          </w:p>
        </w:tc>
      </w:tr>
      <w:tr w:rsidR="00AE7CA0" w:rsidRPr="00BF72E5" w14:paraId="07E28B05" w14:textId="77777777" w:rsidTr="00386C39">
        <w:trPr>
          <w:jc w:val="center"/>
        </w:trPr>
        <w:tc>
          <w:tcPr>
            <w:tcW w:w="1705" w:type="dxa"/>
          </w:tcPr>
          <w:p w14:paraId="221F4176"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lastRenderedPageBreak/>
              <w:t>Institutional credibility</w:t>
            </w:r>
          </w:p>
        </w:tc>
        <w:tc>
          <w:tcPr>
            <w:tcW w:w="1807" w:type="dxa"/>
          </w:tcPr>
          <w:p w14:paraId="241EFFA5"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Credibility erosion following persistent failures</w:t>
            </w:r>
          </w:p>
        </w:tc>
        <w:tc>
          <w:tcPr>
            <w:tcW w:w="2963" w:type="dxa"/>
          </w:tcPr>
          <w:p w14:paraId="5442241F"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Recurrent delivery failures and weak corrective action</w:t>
            </w:r>
          </w:p>
        </w:tc>
        <w:tc>
          <w:tcPr>
            <w:tcW w:w="2250" w:type="dxa"/>
          </w:tcPr>
          <w:p w14:paraId="0870A889"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Reinforcing decline in trust and compliance</w:t>
            </w:r>
          </w:p>
        </w:tc>
        <w:tc>
          <w:tcPr>
            <w:tcW w:w="2430" w:type="dxa"/>
          </w:tcPr>
          <w:p w14:paraId="64FE3921"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District veterinary authorities; Drug shops</w:t>
            </w:r>
          </w:p>
        </w:tc>
      </w:tr>
      <w:tr w:rsidR="00AE7CA0" w:rsidRPr="00BF72E5" w14:paraId="175C7876" w14:textId="77777777" w:rsidTr="00386C39">
        <w:trPr>
          <w:jc w:val="center"/>
        </w:trPr>
        <w:tc>
          <w:tcPr>
            <w:tcW w:w="11155" w:type="dxa"/>
            <w:gridSpan w:val="5"/>
          </w:tcPr>
          <w:p w14:paraId="18FC051A"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b/>
                <w:sz w:val="24"/>
                <w:szCs w:val="24"/>
              </w:rPr>
              <w:t>CROSS-CUTTING STRUCTURAL CONTEXT</w:t>
            </w:r>
          </w:p>
        </w:tc>
      </w:tr>
      <w:tr w:rsidR="00AE7CA0" w:rsidRPr="00BF72E5" w14:paraId="673EBE41" w14:textId="77777777" w:rsidTr="00386C39">
        <w:trPr>
          <w:jc w:val="center"/>
        </w:trPr>
        <w:tc>
          <w:tcPr>
            <w:tcW w:w="1705" w:type="dxa"/>
          </w:tcPr>
          <w:p w14:paraId="5185FB51"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Infrastructure context</w:t>
            </w:r>
          </w:p>
        </w:tc>
        <w:tc>
          <w:tcPr>
            <w:tcW w:w="1807" w:type="dxa"/>
          </w:tcPr>
          <w:p w14:paraId="1C0731F6"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Electricity instability</w:t>
            </w:r>
          </w:p>
        </w:tc>
        <w:tc>
          <w:tcPr>
            <w:tcW w:w="2963" w:type="dxa"/>
          </w:tcPr>
          <w:p w14:paraId="5B14748B"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Recurrent district-level outages affecting cold-chain continuity</w:t>
            </w:r>
          </w:p>
        </w:tc>
        <w:tc>
          <w:tcPr>
            <w:tcW w:w="2250" w:type="dxa"/>
          </w:tcPr>
          <w:p w14:paraId="3AC7F1F5"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System-wide vulnerability to potency degradation</w:t>
            </w:r>
          </w:p>
        </w:tc>
        <w:tc>
          <w:tcPr>
            <w:tcW w:w="2430" w:type="dxa"/>
          </w:tcPr>
          <w:p w14:paraId="239A0857"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Regulatory authorities; District veterinary authorities</w:t>
            </w:r>
          </w:p>
        </w:tc>
      </w:tr>
      <w:tr w:rsidR="00AE7CA0" w:rsidRPr="00BF72E5" w14:paraId="23CA254A" w14:textId="77777777" w:rsidTr="00386C39">
        <w:trPr>
          <w:jc w:val="center"/>
        </w:trPr>
        <w:tc>
          <w:tcPr>
            <w:tcW w:w="1705" w:type="dxa"/>
          </w:tcPr>
          <w:p w14:paraId="6D15BCD8"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Behavioral demand Context</w:t>
            </w:r>
          </w:p>
        </w:tc>
        <w:tc>
          <w:tcPr>
            <w:tcW w:w="1807" w:type="dxa"/>
          </w:tcPr>
          <w:p w14:paraId="75FAA69F"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Preventive culture weakness</w:t>
            </w:r>
          </w:p>
        </w:tc>
        <w:tc>
          <w:tcPr>
            <w:tcW w:w="2963" w:type="dxa"/>
          </w:tcPr>
          <w:p w14:paraId="2BD72137"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Preference for reactive antibiotic treatment over preventive vaccination</w:t>
            </w:r>
          </w:p>
        </w:tc>
        <w:tc>
          <w:tcPr>
            <w:tcW w:w="2250" w:type="dxa"/>
          </w:tcPr>
          <w:p w14:paraId="772213C4"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Demand distortion and sustained antimicrobial reliance</w:t>
            </w:r>
          </w:p>
        </w:tc>
        <w:tc>
          <w:tcPr>
            <w:tcW w:w="2430" w:type="dxa"/>
          </w:tcPr>
          <w:p w14:paraId="715D4FC5" w14:textId="77777777" w:rsidR="00AE7CA0" w:rsidRPr="00BF72E5" w:rsidRDefault="00AE7CA0" w:rsidP="00386C39">
            <w:pPr>
              <w:spacing w:line="360" w:lineRule="auto"/>
              <w:jc w:val="both"/>
              <w:rPr>
                <w:rFonts w:ascii="Times New Roman" w:hAnsi="Times New Roman" w:cs="Times New Roman"/>
                <w:sz w:val="24"/>
                <w:szCs w:val="24"/>
              </w:rPr>
            </w:pPr>
            <w:r w:rsidRPr="00BF72E5">
              <w:rPr>
                <w:rFonts w:ascii="Times New Roman" w:hAnsi="Times New Roman" w:cs="Times New Roman"/>
                <w:sz w:val="24"/>
                <w:szCs w:val="24"/>
              </w:rPr>
              <w:t>District veterinary authorities; Drug shops</w:t>
            </w:r>
          </w:p>
        </w:tc>
      </w:tr>
    </w:tbl>
    <w:p w14:paraId="1D0550F1" w14:textId="77777777" w:rsidR="00AE7CA0" w:rsidRPr="00BF72E5" w:rsidRDefault="00AE7CA0" w:rsidP="00AE7CA0">
      <w:pPr>
        <w:spacing w:after="0" w:line="360" w:lineRule="auto"/>
        <w:jc w:val="both"/>
        <w:rPr>
          <w:rFonts w:ascii="Times New Roman" w:eastAsia="Times New Roman" w:hAnsi="Times New Roman" w:cs="Times New Roman"/>
          <w:b/>
          <w:bCs/>
          <w:sz w:val="24"/>
          <w:szCs w:val="24"/>
          <w:lang w:eastAsia="en-GB"/>
          <w14:ligatures w14:val="none"/>
        </w:rPr>
      </w:pPr>
    </w:p>
    <w:p w14:paraId="6FFEE4D8" w14:textId="77777777" w:rsidR="00AE7CA0" w:rsidRPr="00BF72E5" w:rsidRDefault="00AE7CA0" w:rsidP="00AE7CA0">
      <w:pPr>
        <w:spacing w:after="0" w:line="360" w:lineRule="auto"/>
        <w:jc w:val="both"/>
        <w:rPr>
          <w:rFonts w:ascii="Times New Roman" w:eastAsia="Times New Roman" w:hAnsi="Times New Roman" w:cs="Times New Roman"/>
          <w:b/>
          <w:bCs/>
          <w:sz w:val="24"/>
          <w:szCs w:val="24"/>
          <w:lang w:eastAsia="en-GB"/>
          <w14:ligatures w14:val="none"/>
        </w:rPr>
      </w:pPr>
    </w:p>
    <w:p w14:paraId="209E349F" w14:textId="77777777" w:rsidR="00AE7CA0" w:rsidRPr="00BF72E5" w:rsidRDefault="00AE7CA0" w:rsidP="00AE7CA0">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b/>
          <w:bCs/>
          <w:sz w:val="24"/>
          <w:szCs w:val="24"/>
          <w:lang w:eastAsia="en-GB"/>
          <w14:ligatures w14:val="none"/>
        </w:rPr>
        <w:t>Supplementary Table S2:</w:t>
      </w:r>
      <w:r w:rsidRPr="00BF72E5">
        <w:rPr>
          <w:rFonts w:ascii="Times New Roman" w:eastAsia="Times New Roman" w:hAnsi="Times New Roman" w:cs="Times New Roman"/>
          <w:sz w:val="24"/>
          <w:szCs w:val="24"/>
          <w:lang w:eastAsia="en-GB"/>
          <w14:ligatures w14:val="none"/>
        </w:rPr>
        <w:t xml:space="preserve"> Assessment of candidate bottlenecks and selection of critical control points (CCPs) in the poultry vaccine delivery system. Bottlenecks were evaluated for structural centrality, participation in dominant feedback loops, and leverage for disrupting reinforcing system dynamics.</w:t>
      </w:r>
    </w:p>
    <w:tbl>
      <w:tblPr>
        <w:tblStyle w:val="TableGrid"/>
        <w:tblW w:w="10710" w:type="dxa"/>
        <w:tblInd w:w="-455" w:type="dxa"/>
        <w:tblLook w:val="04A0" w:firstRow="1" w:lastRow="0" w:firstColumn="1" w:lastColumn="0" w:noHBand="0" w:noVBand="1"/>
      </w:tblPr>
      <w:tblGrid>
        <w:gridCol w:w="2159"/>
        <w:gridCol w:w="1394"/>
        <w:gridCol w:w="1576"/>
        <w:gridCol w:w="1631"/>
        <w:gridCol w:w="2511"/>
        <w:gridCol w:w="1439"/>
      </w:tblGrid>
      <w:tr w:rsidR="00AE7CA0" w:rsidRPr="00BF72E5" w14:paraId="5539B9AB" w14:textId="77777777" w:rsidTr="00386C39">
        <w:trPr>
          <w:trHeight w:val="467"/>
        </w:trPr>
        <w:tc>
          <w:tcPr>
            <w:tcW w:w="2162" w:type="dxa"/>
            <w:hideMark/>
          </w:tcPr>
          <w:p w14:paraId="70557EDE" w14:textId="77777777" w:rsidR="00AE7CA0" w:rsidRPr="00BF72E5" w:rsidRDefault="00AE7CA0" w:rsidP="00386C39">
            <w:pPr>
              <w:spacing w:line="360" w:lineRule="auto"/>
              <w:jc w:val="both"/>
              <w:rPr>
                <w:rFonts w:ascii="Times New Roman" w:eastAsia="Times New Roman" w:hAnsi="Times New Roman" w:cs="Times New Roman"/>
                <w:b/>
                <w:bCs/>
                <w:sz w:val="24"/>
                <w:szCs w:val="24"/>
                <w:lang w:eastAsia="en-GB"/>
                <w14:ligatures w14:val="none"/>
              </w:rPr>
            </w:pPr>
            <w:r w:rsidRPr="00BF72E5">
              <w:rPr>
                <w:rFonts w:ascii="Times New Roman" w:eastAsia="Times New Roman" w:hAnsi="Times New Roman" w:cs="Times New Roman"/>
                <w:b/>
                <w:bCs/>
                <w:sz w:val="24"/>
                <w:szCs w:val="24"/>
                <w:lang w:eastAsia="en-GB"/>
                <w14:ligatures w14:val="none"/>
              </w:rPr>
              <w:t>Candidate bottleneck/system position</w:t>
            </w:r>
          </w:p>
        </w:tc>
        <w:tc>
          <w:tcPr>
            <w:tcW w:w="1395" w:type="dxa"/>
            <w:hideMark/>
          </w:tcPr>
          <w:p w14:paraId="1AF0F2F4" w14:textId="77777777" w:rsidR="00AE7CA0" w:rsidRPr="00BF72E5" w:rsidRDefault="00AE7CA0" w:rsidP="00386C39">
            <w:pPr>
              <w:spacing w:line="360" w:lineRule="auto"/>
              <w:jc w:val="both"/>
              <w:rPr>
                <w:rFonts w:ascii="Times New Roman" w:eastAsia="Times New Roman" w:hAnsi="Times New Roman" w:cs="Times New Roman"/>
                <w:b/>
                <w:bCs/>
                <w:sz w:val="24"/>
                <w:szCs w:val="24"/>
                <w:lang w:eastAsia="en-GB"/>
                <w14:ligatures w14:val="none"/>
              </w:rPr>
            </w:pPr>
            <w:r w:rsidRPr="00BF72E5">
              <w:rPr>
                <w:rFonts w:ascii="Times New Roman" w:eastAsia="Times New Roman" w:hAnsi="Times New Roman" w:cs="Times New Roman"/>
                <w:b/>
                <w:bCs/>
                <w:sz w:val="24"/>
                <w:szCs w:val="24"/>
                <w:lang w:eastAsia="en-GB"/>
                <w14:ligatures w14:val="none"/>
              </w:rPr>
              <w:t>System domain</w:t>
            </w:r>
          </w:p>
        </w:tc>
        <w:tc>
          <w:tcPr>
            <w:tcW w:w="1552" w:type="dxa"/>
            <w:hideMark/>
          </w:tcPr>
          <w:p w14:paraId="28A52820" w14:textId="77777777" w:rsidR="00AE7CA0" w:rsidRPr="00BF72E5" w:rsidRDefault="00AE7CA0" w:rsidP="00386C39">
            <w:pPr>
              <w:spacing w:line="360" w:lineRule="auto"/>
              <w:jc w:val="both"/>
              <w:rPr>
                <w:rFonts w:ascii="Times New Roman" w:eastAsia="Times New Roman" w:hAnsi="Times New Roman" w:cs="Times New Roman"/>
                <w:b/>
                <w:bCs/>
                <w:sz w:val="24"/>
                <w:szCs w:val="24"/>
                <w:lang w:eastAsia="en-GB"/>
                <w14:ligatures w14:val="none"/>
              </w:rPr>
            </w:pPr>
            <w:r w:rsidRPr="00BF72E5">
              <w:rPr>
                <w:rFonts w:ascii="Times New Roman" w:eastAsia="Times New Roman" w:hAnsi="Times New Roman" w:cs="Times New Roman"/>
                <w:b/>
                <w:bCs/>
                <w:sz w:val="24"/>
                <w:szCs w:val="24"/>
                <w:lang w:eastAsia="en-GB"/>
                <w14:ligatures w14:val="none"/>
              </w:rPr>
              <w:t>Causal loop(s)</w:t>
            </w:r>
          </w:p>
        </w:tc>
        <w:tc>
          <w:tcPr>
            <w:tcW w:w="1632" w:type="dxa"/>
            <w:hideMark/>
          </w:tcPr>
          <w:p w14:paraId="630110EA" w14:textId="77777777" w:rsidR="00AE7CA0" w:rsidRPr="00BF72E5" w:rsidRDefault="00AE7CA0" w:rsidP="00386C39">
            <w:pPr>
              <w:spacing w:line="360" w:lineRule="auto"/>
              <w:jc w:val="both"/>
              <w:rPr>
                <w:rFonts w:ascii="Times New Roman" w:eastAsia="Times New Roman" w:hAnsi="Times New Roman" w:cs="Times New Roman"/>
                <w:b/>
                <w:bCs/>
                <w:sz w:val="24"/>
                <w:szCs w:val="24"/>
                <w:lang w:eastAsia="en-GB"/>
                <w14:ligatures w14:val="none"/>
              </w:rPr>
            </w:pPr>
            <w:r w:rsidRPr="00BF72E5">
              <w:rPr>
                <w:rFonts w:ascii="Times New Roman" w:eastAsia="Times New Roman" w:hAnsi="Times New Roman" w:cs="Times New Roman"/>
                <w:b/>
                <w:bCs/>
                <w:sz w:val="24"/>
                <w:szCs w:val="24"/>
                <w:lang w:eastAsia="en-GB"/>
                <w14:ligatures w14:val="none"/>
              </w:rPr>
              <w:t>Role in system dynamics</w:t>
            </w:r>
          </w:p>
        </w:tc>
        <w:tc>
          <w:tcPr>
            <w:tcW w:w="2529" w:type="dxa"/>
            <w:hideMark/>
          </w:tcPr>
          <w:p w14:paraId="3AF2D12D" w14:textId="77777777" w:rsidR="00AE7CA0" w:rsidRPr="00BF72E5" w:rsidRDefault="00AE7CA0" w:rsidP="00386C39">
            <w:pPr>
              <w:spacing w:line="360" w:lineRule="auto"/>
              <w:jc w:val="both"/>
              <w:rPr>
                <w:rFonts w:ascii="Times New Roman" w:eastAsia="Times New Roman" w:hAnsi="Times New Roman" w:cs="Times New Roman"/>
                <w:b/>
                <w:bCs/>
                <w:sz w:val="24"/>
                <w:szCs w:val="24"/>
                <w:lang w:eastAsia="en-GB"/>
                <w14:ligatures w14:val="none"/>
              </w:rPr>
            </w:pPr>
            <w:r w:rsidRPr="00BF72E5">
              <w:rPr>
                <w:rFonts w:ascii="Times New Roman" w:eastAsia="Times New Roman" w:hAnsi="Times New Roman" w:cs="Times New Roman"/>
                <w:b/>
                <w:bCs/>
                <w:sz w:val="24"/>
                <w:szCs w:val="24"/>
                <w:lang w:eastAsia="en-GB"/>
                <w14:ligatures w14:val="none"/>
              </w:rPr>
              <w:t>How it disrupts system dynamics</w:t>
            </w:r>
          </w:p>
        </w:tc>
        <w:tc>
          <w:tcPr>
            <w:tcW w:w="1440" w:type="dxa"/>
          </w:tcPr>
          <w:p w14:paraId="104F81F8" w14:textId="77777777" w:rsidR="00AE7CA0" w:rsidRPr="00BF72E5" w:rsidRDefault="00AE7CA0" w:rsidP="00386C39">
            <w:pPr>
              <w:spacing w:line="360" w:lineRule="auto"/>
              <w:jc w:val="both"/>
              <w:rPr>
                <w:rFonts w:ascii="Times New Roman" w:eastAsia="Times New Roman" w:hAnsi="Times New Roman" w:cs="Times New Roman"/>
                <w:b/>
                <w:bCs/>
                <w:sz w:val="24"/>
                <w:szCs w:val="24"/>
                <w:lang w:eastAsia="en-GB"/>
                <w14:ligatures w14:val="none"/>
              </w:rPr>
            </w:pPr>
            <w:r w:rsidRPr="00BF72E5">
              <w:rPr>
                <w:rFonts w:ascii="Times New Roman" w:eastAsia="Times New Roman" w:hAnsi="Times New Roman" w:cs="Times New Roman"/>
                <w:b/>
                <w:bCs/>
                <w:sz w:val="24"/>
                <w:szCs w:val="24"/>
                <w:lang w:eastAsia="en-GB"/>
                <w14:ligatures w14:val="none"/>
              </w:rPr>
              <w:t>Keep/Don’t keep) as CCP</w:t>
            </w:r>
          </w:p>
        </w:tc>
      </w:tr>
      <w:tr w:rsidR="00AE7CA0" w:rsidRPr="00BF72E5" w14:paraId="4E836E4E" w14:textId="77777777" w:rsidTr="00386C39">
        <w:trPr>
          <w:trHeight w:val="1214"/>
        </w:trPr>
        <w:tc>
          <w:tcPr>
            <w:tcW w:w="2162" w:type="dxa"/>
            <w:hideMark/>
          </w:tcPr>
          <w:p w14:paraId="2294C644"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Cold-chain integrity (distribution &amp; retail)</w:t>
            </w:r>
          </w:p>
        </w:tc>
        <w:tc>
          <w:tcPr>
            <w:tcW w:w="1395" w:type="dxa"/>
            <w:hideMark/>
          </w:tcPr>
          <w:p w14:paraId="4086DCD2"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Supply system</w:t>
            </w:r>
          </w:p>
        </w:tc>
        <w:tc>
          <w:tcPr>
            <w:tcW w:w="1552" w:type="dxa"/>
            <w:hideMark/>
          </w:tcPr>
          <w:p w14:paraId="10D22E06"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R1 (Quality–Trust–Investment)</w:t>
            </w:r>
          </w:p>
        </w:tc>
        <w:tc>
          <w:tcPr>
            <w:tcW w:w="1632" w:type="dxa"/>
            <w:hideMark/>
          </w:tcPr>
          <w:p w14:paraId="6A3C4577"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Determines vaccine potency; initiates a reinforcing decline in trust, demand, and reinvestment</w:t>
            </w:r>
          </w:p>
        </w:tc>
        <w:tc>
          <w:tcPr>
            <w:tcW w:w="2529" w:type="dxa"/>
            <w:hideMark/>
          </w:tcPr>
          <w:p w14:paraId="2541C34B"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Structurally central leverage point; directly links technical quality to behavioural and investment dynamics; failures initiate and sustain dominant reinforcing loop</w:t>
            </w:r>
          </w:p>
        </w:tc>
        <w:tc>
          <w:tcPr>
            <w:tcW w:w="1440" w:type="dxa"/>
          </w:tcPr>
          <w:p w14:paraId="66EDDEA6"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Keep</w:t>
            </w:r>
          </w:p>
        </w:tc>
      </w:tr>
      <w:tr w:rsidR="00AE7CA0" w:rsidRPr="00BF72E5" w14:paraId="3F7525E8" w14:textId="77777777" w:rsidTr="00386C39">
        <w:trPr>
          <w:trHeight w:val="1070"/>
        </w:trPr>
        <w:tc>
          <w:tcPr>
            <w:tcW w:w="2162" w:type="dxa"/>
            <w:hideMark/>
          </w:tcPr>
          <w:p w14:paraId="232B84AC"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lastRenderedPageBreak/>
              <w:t>Post-market surveillance and feedback</w:t>
            </w:r>
          </w:p>
        </w:tc>
        <w:tc>
          <w:tcPr>
            <w:tcW w:w="1395" w:type="dxa"/>
            <w:hideMark/>
          </w:tcPr>
          <w:p w14:paraId="578D8842"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Governance &amp; institutions</w:t>
            </w:r>
          </w:p>
        </w:tc>
        <w:tc>
          <w:tcPr>
            <w:tcW w:w="1552" w:type="dxa"/>
            <w:hideMark/>
          </w:tcPr>
          <w:p w14:paraId="6BB13AA5"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R2 (Governance and learning failure)</w:t>
            </w:r>
          </w:p>
        </w:tc>
        <w:tc>
          <w:tcPr>
            <w:tcW w:w="1632" w:type="dxa"/>
            <w:hideMark/>
          </w:tcPr>
          <w:p w14:paraId="0923B0A6"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Controls detection of failures and corrective action; shapes system learning over time</w:t>
            </w:r>
          </w:p>
        </w:tc>
        <w:tc>
          <w:tcPr>
            <w:tcW w:w="2529" w:type="dxa"/>
            <w:hideMark/>
          </w:tcPr>
          <w:p w14:paraId="393C8894"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Governs corrective feedback; weak surveillance allows persistence of poor-quality products and erodes regulatory credibility</w:t>
            </w:r>
          </w:p>
        </w:tc>
        <w:tc>
          <w:tcPr>
            <w:tcW w:w="1440" w:type="dxa"/>
          </w:tcPr>
          <w:p w14:paraId="6250590D"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Keep</w:t>
            </w:r>
          </w:p>
        </w:tc>
      </w:tr>
      <w:tr w:rsidR="00AE7CA0" w:rsidRPr="00BF72E5" w14:paraId="140D2C2B" w14:textId="77777777" w:rsidTr="00386C39">
        <w:trPr>
          <w:trHeight w:val="980"/>
        </w:trPr>
        <w:tc>
          <w:tcPr>
            <w:tcW w:w="2162" w:type="dxa"/>
            <w:hideMark/>
          </w:tcPr>
          <w:p w14:paraId="0C3C1B7D"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Market sourcing and procurement decisions</w:t>
            </w:r>
          </w:p>
        </w:tc>
        <w:tc>
          <w:tcPr>
            <w:tcW w:w="1395" w:type="dxa"/>
            <w:hideMark/>
          </w:tcPr>
          <w:p w14:paraId="78F73497"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Supply system</w:t>
            </w:r>
          </w:p>
        </w:tc>
        <w:tc>
          <w:tcPr>
            <w:tcW w:w="1552" w:type="dxa"/>
            <w:hideMark/>
          </w:tcPr>
          <w:p w14:paraId="3EA98F2C"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R3 (Market quality erosion); R1</w:t>
            </w:r>
          </w:p>
        </w:tc>
        <w:tc>
          <w:tcPr>
            <w:tcW w:w="1632" w:type="dxa"/>
            <w:hideMark/>
          </w:tcPr>
          <w:p w14:paraId="09E670D1"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Determines the average quality of vaccines entering the system under price pressure</w:t>
            </w:r>
          </w:p>
        </w:tc>
        <w:tc>
          <w:tcPr>
            <w:tcW w:w="2529" w:type="dxa"/>
            <w:hideMark/>
          </w:tcPr>
          <w:p w14:paraId="6882AFA1"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Structural market mechanism normalising low quality; disproportionately affects small-scale actors and reinforces trust erosion</w:t>
            </w:r>
          </w:p>
        </w:tc>
        <w:tc>
          <w:tcPr>
            <w:tcW w:w="1440" w:type="dxa"/>
          </w:tcPr>
          <w:p w14:paraId="7898AC0B"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Keep</w:t>
            </w:r>
          </w:p>
        </w:tc>
      </w:tr>
      <w:tr w:rsidR="00AE7CA0" w:rsidRPr="00BF72E5" w14:paraId="50368F5D" w14:textId="77777777" w:rsidTr="00386C39">
        <w:trPr>
          <w:trHeight w:val="980"/>
        </w:trPr>
        <w:tc>
          <w:tcPr>
            <w:tcW w:w="2162" w:type="dxa"/>
            <w:hideMark/>
          </w:tcPr>
          <w:p w14:paraId="58641EFF"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Service-interface handling and use</w:t>
            </w:r>
          </w:p>
        </w:tc>
        <w:tc>
          <w:tcPr>
            <w:tcW w:w="1395" w:type="dxa"/>
            <w:hideMark/>
          </w:tcPr>
          <w:p w14:paraId="14061161"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Retail &amp; service delivery</w:t>
            </w:r>
          </w:p>
        </w:tc>
        <w:tc>
          <w:tcPr>
            <w:tcW w:w="1552" w:type="dxa"/>
            <w:hideMark/>
          </w:tcPr>
          <w:p w14:paraId="47D56990"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R1 (downstream amplification)</w:t>
            </w:r>
          </w:p>
        </w:tc>
        <w:tc>
          <w:tcPr>
            <w:tcW w:w="1632" w:type="dxa"/>
            <w:hideMark/>
          </w:tcPr>
          <w:p w14:paraId="613FA369"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Translates delivery quality into perceived effectiveness at point of use</w:t>
            </w:r>
          </w:p>
        </w:tc>
        <w:tc>
          <w:tcPr>
            <w:tcW w:w="2529" w:type="dxa"/>
            <w:hideMark/>
          </w:tcPr>
          <w:p w14:paraId="616CD4C6"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Downstream leverage point where failures directly suppress trust and demand, amplifying reinforcing decline</w:t>
            </w:r>
          </w:p>
        </w:tc>
        <w:tc>
          <w:tcPr>
            <w:tcW w:w="1440" w:type="dxa"/>
          </w:tcPr>
          <w:p w14:paraId="272BA3C5"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Keep</w:t>
            </w:r>
          </w:p>
        </w:tc>
      </w:tr>
      <w:tr w:rsidR="00AE7CA0" w:rsidRPr="00BF72E5" w14:paraId="13131D2B" w14:textId="77777777" w:rsidTr="00386C39">
        <w:trPr>
          <w:trHeight w:val="1070"/>
        </w:trPr>
        <w:tc>
          <w:tcPr>
            <w:tcW w:w="2162" w:type="dxa"/>
            <w:hideMark/>
          </w:tcPr>
          <w:p w14:paraId="5826B19C"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Distribution architecture and last-mile access</w:t>
            </w:r>
          </w:p>
        </w:tc>
        <w:tc>
          <w:tcPr>
            <w:tcW w:w="1395" w:type="dxa"/>
            <w:hideMark/>
          </w:tcPr>
          <w:p w14:paraId="5F788ACE"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Supply system</w:t>
            </w:r>
          </w:p>
        </w:tc>
        <w:tc>
          <w:tcPr>
            <w:tcW w:w="1552" w:type="dxa"/>
            <w:hideMark/>
          </w:tcPr>
          <w:p w14:paraId="2E71F893"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R1 (indirect)</w:t>
            </w:r>
          </w:p>
        </w:tc>
        <w:tc>
          <w:tcPr>
            <w:tcW w:w="1632" w:type="dxa"/>
            <w:hideMark/>
          </w:tcPr>
          <w:p w14:paraId="6559DCEB"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Shapes availability and geographic reach of vaccines</w:t>
            </w:r>
          </w:p>
        </w:tc>
        <w:tc>
          <w:tcPr>
            <w:tcW w:w="2529" w:type="dxa"/>
            <w:hideMark/>
          </w:tcPr>
          <w:p w14:paraId="437D0215"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Effects mediated through cold-chain integrity and market sourcing; contributory but not independently transformative</w:t>
            </w:r>
          </w:p>
        </w:tc>
        <w:tc>
          <w:tcPr>
            <w:tcW w:w="1440" w:type="dxa"/>
          </w:tcPr>
          <w:p w14:paraId="2DC5A9E2"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Don’t keep</w:t>
            </w:r>
          </w:p>
        </w:tc>
      </w:tr>
      <w:tr w:rsidR="00AE7CA0" w:rsidRPr="00BF72E5" w14:paraId="431EF2F2" w14:textId="77777777" w:rsidTr="00386C39">
        <w:trPr>
          <w:trHeight w:val="1151"/>
        </w:trPr>
        <w:tc>
          <w:tcPr>
            <w:tcW w:w="2162" w:type="dxa"/>
            <w:hideMark/>
          </w:tcPr>
          <w:p w14:paraId="5F52BAD5"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Service-delivery capability and competency gaps</w:t>
            </w:r>
          </w:p>
        </w:tc>
        <w:tc>
          <w:tcPr>
            <w:tcW w:w="1395" w:type="dxa"/>
            <w:hideMark/>
          </w:tcPr>
          <w:p w14:paraId="03D670C6"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Retail &amp; service delivery</w:t>
            </w:r>
          </w:p>
        </w:tc>
        <w:tc>
          <w:tcPr>
            <w:tcW w:w="1552" w:type="dxa"/>
            <w:hideMark/>
          </w:tcPr>
          <w:p w14:paraId="54B104EA"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R1 (indirect)</w:t>
            </w:r>
          </w:p>
        </w:tc>
        <w:tc>
          <w:tcPr>
            <w:tcW w:w="1632" w:type="dxa"/>
            <w:hideMark/>
          </w:tcPr>
          <w:p w14:paraId="26166C90"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 xml:space="preserve">Influences quality of vaccine </w:t>
            </w:r>
            <w:r w:rsidRPr="00BF72E5">
              <w:rPr>
                <w:rFonts w:ascii="Times New Roman" w:eastAsia="Times New Roman" w:hAnsi="Times New Roman" w:cs="Times New Roman"/>
                <w:sz w:val="24"/>
                <w:szCs w:val="24"/>
                <w:lang w:eastAsia="en-GB"/>
                <w14:ligatures w14:val="none"/>
              </w:rPr>
              <w:lastRenderedPageBreak/>
              <w:t>handling and administration</w:t>
            </w:r>
          </w:p>
        </w:tc>
        <w:tc>
          <w:tcPr>
            <w:tcW w:w="2529" w:type="dxa"/>
            <w:hideMark/>
          </w:tcPr>
          <w:p w14:paraId="454F84D6"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lastRenderedPageBreak/>
              <w:t xml:space="preserve">Operational manifestation operating through the service-interface CCP; limited </w:t>
            </w:r>
            <w:r w:rsidRPr="00BF72E5">
              <w:rPr>
                <w:rFonts w:ascii="Times New Roman" w:eastAsia="Times New Roman" w:hAnsi="Times New Roman" w:cs="Times New Roman"/>
                <w:sz w:val="24"/>
                <w:szCs w:val="24"/>
                <w:lang w:eastAsia="en-GB"/>
                <w14:ligatures w14:val="none"/>
              </w:rPr>
              <w:lastRenderedPageBreak/>
              <w:t>leverage when addressed in isolation</w:t>
            </w:r>
          </w:p>
        </w:tc>
        <w:tc>
          <w:tcPr>
            <w:tcW w:w="1440" w:type="dxa"/>
          </w:tcPr>
          <w:p w14:paraId="16A7EC3F"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lastRenderedPageBreak/>
              <w:t>Don’t keep</w:t>
            </w:r>
          </w:p>
        </w:tc>
      </w:tr>
      <w:tr w:rsidR="00AE7CA0" w:rsidRPr="00BF72E5" w14:paraId="2D64CD0A" w14:textId="77777777" w:rsidTr="00386C39">
        <w:trPr>
          <w:trHeight w:val="674"/>
        </w:trPr>
        <w:tc>
          <w:tcPr>
            <w:tcW w:w="2162" w:type="dxa"/>
            <w:hideMark/>
          </w:tcPr>
          <w:p w14:paraId="155B0163"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Regulatory import approval and border inspection</w:t>
            </w:r>
          </w:p>
        </w:tc>
        <w:tc>
          <w:tcPr>
            <w:tcW w:w="1395" w:type="dxa"/>
            <w:hideMark/>
          </w:tcPr>
          <w:p w14:paraId="5F50F3C7"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Governance &amp; institutions</w:t>
            </w:r>
          </w:p>
        </w:tc>
        <w:tc>
          <w:tcPr>
            <w:tcW w:w="1552" w:type="dxa"/>
            <w:hideMark/>
          </w:tcPr>
          <w:p w14:paraId="3FA4F7B4"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R2 (episodic)</w:t>
            </w:r>
          </w:p>
        </w:tc>
        <w:tc>
          <w:tcPr>
            <w:tcW w:w="1632" w:type="dxa"/>
            <w:hideMark/>
          </w:tcPr>
          <w:p w14:paraId="36BF8923"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Initial gatekeeping at market entry</w:t>
            </w:r>
          </w:p>
        </w:tc>
        <w:tc>
          <w:tcPr>
            <w:tcW w:w="2529" w:type="dxa"/>
            <w:hideMark/>
          </w:tcPr>
          <w:p w14:paraId="6CFCC7E6"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Episodic control point; downstream storage, distribution, and use exert stronger influence on system behaviour</w:t>
            </w:r>
          </w:p>
        </w:tc>
        <w:tc>
          <w:tcPr>
            <w:tcW w:w="1440" w:type="dxa"/>
          </w:tcPr>
          <w:p w14:paraId="388DA7A2"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Don’t keep</w:t>
            </w:r>
          </w:p>
        </w:tc>
      </w:tr>
      <w:tr w:rsidR="00AE7CA0" w:rsidRPr="00BF72E5" w14:paraId="26AAAA8B" w14:textId="77777777" w:rsidTr="00386C39">
        <w:trPr>
          <w:trHeight w:val="800"/>
        </w:trPr>
        <w:tc>
          <w:tcPr>
            <w:tcW w:w="2162" w:type="dxa"/>
            <w:hideMark/>
          </w:tcPr>
          <w:p w14:paraId="0F1AD4A6"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Outbreak-driven demand response</w:t>
            </w:r>
          </w:p>
        </w:tc>
        <w:tc>
          <w:tcPr>
            <w:tcW w:w="1395" w:type="dxa"/>
            <w:hideMark/>
          </w:tcPr>
          <w:p w14:paraId="135C99E2"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System-wide</w:t>
            </w:r>
          </w:p>
        </w:tc>
        <w:tc>
          <w:tcPr>
            <w:tcW w:w="1552" w:type="dxa"/>
            <w:hideMark/>
          </w:tcPr>
          <w:p w14:paraId="628821B5"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B1 (Balancing loop)</w:t>
            </w:r>
          </w:p>
        </w:tc>
        <w:tc>
          <w:tcPr>
            <w:tcW w:w="1632" w:type="dxa"/>
            <w:hideMark/>
          </w:tcPr>
          <w:p w14:paraId="1B81F5D9"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Reactive increase in vaccination demand during outbreaks</w:t>
            </w:r>
          </w:p>
        </w:tc>
        <w:tc>
          <w:tcPr>
            <w:tcW w:w="2529" w:type="dxa"/>
            <w:hideMark/>
          </w:tcPr>
          <w:p w14:paraId="63C1382F"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Secondary, short-term balancing mechanism; does not alter dominant reinforcing structures</w:t>
            </w:r>
          </w:p>
        </w:tc>
        <w:tc>
          <w:tcPr>
            <w:tcW w:w="1440" w:type="dxa"/>
          </w:tcPr>
          <w:p w14:paraId="06953F51" w14:textId="77777777" w:rsidR="00AE7CA0" w:rsidRPr="00BF72E5" w:rsidRDefault="00AE7CA0" w:rsidP="00386C39">
            <w:pPr>
              <w:spacing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Don’t keep</w:t>
            </w:r>
          </w:p>
        </w:tc>
      </w:tr>
    </w:tbl>
    <w:p w14:paraId="7C5D5F19" w14:textId="77777777" w:rsidR="00AE7CA0" w:rsidRPr="00BF72E5" w:rsidRDefault="00AE7CA0" w:rsidP="00AE7CA0">
      <w:pPr>
        <w:spacing w:after="0" w:line="360" w:lineRule="auto"/>
        <w:jc w:val="both"/>
        <w:rPr>
          <w:rFonts w:ascii="Times New Roman" w:eastAsia="Times New Roman" w:hAnsi="Times New Roman" w:cs="Times New Roman"/>
          <w:b/>
          <w:bCs/>
          <w:sz w:val="24"/>
          <w:szCs w:val="24"/>
          <w:lang w:eastAsia="en-GB"/>
          <w14:ligatures w14:val="none"/>
        </w:rPr>
      </w:pPr>
    </w:p>
    <w:p w14:paraId="251642A9" w14:textId="77777777" w:rsidR="00AE7CA0" w:rsidRPr="00BF72E5" w:rsidRDefault="00AE7CA0" w:rsidP="00AE7CA0">
      <w:pPr>
        <w:spacing w:after="0" w:line="360" w:lineRule="auto"/>
        <w:jc w:val="both"/>
        <w:rPr>
          <w:rFonts w:ascii="Times New Roman" w:eastAsia="Times New Roman" w:hAnsi="Times New Roman" w:cs="Times New Roman"/>
          <w:sz w:val="24"/>
          <w:szCs w:val="24"/>
          <w:lang w:eastAsia="en-GB"/>
          <w14:ligatures w14:val="none"/>
        </w:rPr>
      </w:pPr>
    </w:p>
    <w:p w14:paraId="62081B8B" w14:textId="77777777" w:rsidR="00AE7CA0" w:rsidRPr="00BF72E5" w:rsidRDefault="00AE7CA0" w:rsidP="00AE7CA0">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Supplementary Table S3: Distribution of key informant interviews by system level and actor category.</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5400"/>
        <w:gridCol w:w="1080"/>
      </w:tblGrid>
      <w:tr w:rsidR="00AE7CA0" w:rsidRPr="00BF72E5" w14:paraId="0C451CFE" w14:textId="77777777" w:rsidTr="00386C39">
        <w:trPr>
          <w:trHeight w:val="288"/>
        </w:trPr>
        <w:tc>
          <w:tcPr>
            <w:tcW w:w="3055" w:type="dxa"/>
            <w:vAlign w:val="center"/>
            <w:hideMark/>
          </w:tcPr>
          <w:p w14:paraId="6C158EA4" w14:textId="77777777" w:rsidR="00AE7CA0" w:rsidRPr="00BF72E5" w:rsidRDefault="00AE7CA0" w:rsidP="00386C39">
            <w:pPr>
              <w:spacing w:after="0" w:line="360" w:lineRule="auto"/>
              <w:jc w:val="both"/>
              <w:rPr>
                <w:rFonts w:ascii="Times New Roman" w:eastAsia="Times New Roman" w:hAnsi="Times New Roman" w:cs="Times New Roman"/>
                <w:b/>
                <w:bCs/>
                <w:sz w:val="24"/>
                <w:szCs w:val="24"/>
                <w:lang w:eastAsia="en-GB"/>
                <w14:ligatures w14:val="none"/>
              </w:rPr>
            </w:pPr>
            <w:r w:rsidRPr="00BF72E5">
              <w:rPr>
                <w:rFonts w:ascii="Times New Roman" w:eastAsia="Times New Roman" w:hAnsi="Times New Roman" w:cs="Times New Roman"/>
                <w:b/>
                <w:bCs/>
                <w:sz w:val="24"/>
                <w:szCs w:val="24"/>
                <w:lang w:eastAsia="en-GB"/>
                <w14:ligatures w14:val="none"/>
              </w:rPr>
              <w:t>System level</w:t>
            </w:r>
          </w:p>
        </w:tc>
        <w:tc>
          <w:tcPr>
            <w:tcW w:w="5400" w:type="dxa"/>
            <w:vAlign w:val="center"/>
            <w:hideMark/>
          </w:tcPr>
          <w:p w14:paraId="120E200B" w14:textId="77777777" w:rsidR="00AE7CA0" w:rsidRPr="00BF72E5" w:rsidRDefault="00AE7CA0" w:rsidP="00386C39">
            <w:pPr>
              <w:spacing w:after="0" w:line="360" w:lineRule="auto"/>
              <w:jc w:val="both"/>
              <w:rPr>
                <w:rFonts w:ascii="Times New Roman" w:eastAsia="Times New Roman" w:hAnsi="Times New Roman" w:cs="Times New Roman"/>
                <w:b/>
                <w:bCs/>
                <w:sz w:val="24"/>
                <w:szCs w:val="24"/>
                <w:lang w:eastAsia="en-GB"/>
                <w14:ligatures w14:val="none"/>
              </w:rPr>
            </w:pPr>
            <w:r w:rsidRPr="00BF72E5">
              <w:rPr>
                <w:rFonts w:ascii="Times New Roman" w:eastAsia="Times New Roman" w:hAnsi="Times New Roman" w:cs="Times New Roman"/>
                <w:b/>
                <w:bCs/>
                <w:sz w:val="24"/>
                <w:szCs w:val="24"/>
                <w:lang w:eastAsia="en-GB"/>
                <w14:ligatures w14:val="none"/>
              </w:rPr>
              <w:t>Actor category</w:t>
            </w:r>
          </w:p>
        </w:tc>
        <w:tc>
          <w:tcPr>
            <w:tcW w:w="1080" w:type="dxa"/>
            <w:vAlign w:val="center"/>
            <w:hideMark/>
          </w:tcPr>
          <w:p w14:paraId="42F00037" w14:textId="77777777" w:rsidR="00AE7CA0" w:rsidRPr="00BF72E5" w:rsidRDefault="00AE7CA0" w:rsidP="00386C39">
            <w:pPr>
              <w:spacing w:after="0" w:line="360" w:lineRule="auto"/>
              <w:jc w:val="both"/>
              <w:rPr>
                <w:rFonts w:ascii="Times New Roman" w:eastAsia="Times New Roman" w:hAnsi="Times New Roman" w:cs="Times New Roman"/>
                <w:b/>
                <w:bCs/>
                <w:sz w:val="24"/>
                <w:szCs w:val="24"/>
                <w:lang w:eastAsia="en-GB"/>
                <w14:ligatures w14:val="none"/>
              </w:rPr>
            </w:pPr>
            <w:r w:rsidRPr="00BF72E5">
              <w:rPr>
                <w:rFonts w:ascii="Times New Roman" w:eastAsia="Times New Roman" w:hAnsi="Times New Roman" w:cs="Times New Roman"/>
                <w:b/>
                <w:bCs/>
                <w:sz w:val="24"/>
                <w:szCs w:val="24"/>
                <w:lang w:eastAsia="en-GB"/>
                <w14:ligatures w14:val="none"/>
              </w:rPr>
              <w:t>KIIs (n)</w:t>
            </w:r>
          </w:p>
        </w:tc>
      </w:tr>
      <w:tr w:rsidR="00AE7CA0" w:rsidRPr="00BF72E5" w14:paraId="4DEC4B9A" w14:textId="77777777" w:rsidTr="00386C39">
        <w:trPr>
          <w:trHeight w:val="576"/>
        </w:trPr>
        <w:tc>
          <w:tcPr>
            <w:tcW w:w="3055" w:type="dxa"/>
            <w:vAlign w:val="center"/>
            <w:hideMark/>
          </w:tcPr>
          <w:p w14:paraId="5275FC09"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Policy and regulation</w:t>
            </w:r>
          </w:p>
        </w:tc>
        <w:tc>
          <w:tcPr>
            <w:tcW w:w="5400" w:type="dxa"/>
            <w:vAlign w:val="center"/>
            <w:hideMark/>
          </w:tcPr>
          <w:p w14:paraId="1352D537"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Government regulatory authorities</w:t>
            </w:r>
          </w:p>
        </w:tc>
        <w:tc>
          <w:tcPr>
            <w:tcW w:w="1080" w:type="dxa"/>
            <w:vAlign w:val="center"/>
            <w:hideMark/>
          </w:tcPr>
          <w:p w14:paraId="6BCA60B1"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4</w:t>
            </w:r>
          </w:p>
        </w:tc>
      </w:tr>
      <w:tr w:rsidR="00AE7CA0" w:rsidRPr="00BF72E5" w14:paraId="38A99F49" w14:textId="77777777" w:rsidTr="00386C39">
        <w:trPr>
          <w:trHeight w:val="576"/>
        </w:trPr>
        <w:tc>
          <w:tcPr>
            <w:tcW w:w="3055" w:type="dxa"/>
            <w:vAlign w:val="center"/>
            <w:hideMark/>
          </w:tcPr>
          <w:p w14:paraId="7D1D42F6"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Importation and manufacture</w:t>
            </w:r>
          </w:p>
        </w:tc>
        <w:tc>
          <w:tcPr>
            <w:tcW w:w="5400" w:type="dxa"/>
            <w:vAlign w:val="center"/>
            <w:hideMark/>
          </w:tcPr>
          <w:p w14:paraId="669EC669"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Importers and local producers</w:t>
            </w:r>
          </w:p>
        </w:tc>
        <w:tc>
          <w:tcPr>
            <w:tcW w:w="1080" w:type="dxa"/>
            <w:vAlign w:val="center"/>
            <w:hideMark/>
          </w:tcPr>
          <w:p w14:paraId="742E8B79"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3</w:t>
            </w:r>
          </w:p>
        </w:tc>
      </w:tr>
      <w:tr w:rsidR="00AE7CA0" w:rsidRPr="00BF72E5" w14:paraId="152BF85B" w14:textId="77777777" w:rsidTr="00386C39">
        <w:trPr>
          <w:trHeight w:val="288"/>
        </w:trPr>
        <w:tc>
          <w:tcPr>
            <w:tcW w:w="3055" w:type="dxa"/>
            <w:vAlign w:val="center"/>
            <w:hideMark/>
          </w:tcPr>
          <w:p w14:paraId="5E5096F3"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Distribution and markets</w:t>
            </w:r>
          </w:p>
        </w:tc>
        <w:tc>
          <w:tcPr>
            <w:tcW w:w="5400" w:type="dxa"/>
            <w:vAlign w:val="center"/>
            <w:hideMark/>
          </w:tcPr>
          <w:p w14:paraId="54BBC38A"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Distributors and wholesalers</w:t>
            </w:r>
          </w:p>
        </w:tc>
        <w:tc>
          <w:tcPr>
            <w:tcW w:w="1080" w:type="dxa"/>
            <w:vAlign w:val="center"/>
            <w:hideMark/>
          </w:tcPr>
          <w:p w14:paraId="4249681D"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5</w:t>
            </w:r>
          </w:p>
        </w:tc>
      </w:tr>
      <w:tr w:rsidR="00AE7CA0" w:rsidRPr="00BF72E5" w14:paraId="6401A02F" w14:textId="77777777" w:rsidTr="00386C39">
        <w:trPr>
          <w:trHeight w:val="576"/>
        </w:trPr>
        <w:tc>
          <w:tcPr>
            <w:tcW w:w="3055" w:type="dxa"/>
            <w:vMerge w:val="restart"/>
            <w:vAlign w:val="center"/>
            <w:hideMark/>
          </w:tcPr>
          <w:p w14:paraId="52E36A0A"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Retail and service delivery</w:t>
            </w:r>
          </w:p>
        </w:tc>
        <w:tc>
          <w:tcPr>
            <w:tcW w:w="5400" w:type="dxa"/>
            <w:vAlign w:val="center"/>
            <w:hideMark/>
          </w:tcPr>
          <w:p w14:paraId="7967D733"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Drug shop retailers</w:t>
            </w:r>
          </w:p>
        </w:tc>
        <w:tc>
          <w:tcPr>
            <w:tcW w:w="1080" w:type="dxa"/>
            <w:vAlign w:val="center"/>
            <w:hideMark/>
          </w:tcPr>
          <w:p w14:paraId="1FB7AA01"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5</w:t>
            </w:r>
          </w:p>
        </w:tc>
      </w:tr>
      <w:tr w:rsidR="00AE7CA0" w:rsidRPr="00BF72E5" w14:paraId="7A28D5C6" w14:textId="77777777" w:rsidTr="00386C39">
        <w:trPr>
          <w:trHeight w:val="576"/>
        </w:trPr>
        <w:tc>
          <w:tcPr>
            <w:tcW w:w="3055" w:type="dxa"/>
            <w:vMerge/>
            <w:vAlign w:val="center"/>
            <w:hideMark/>
          </w:tcPr>
          <w:p w14:paraId="2D6B1147"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p>
        </w:tc>
        <w:tc>
          <w:tcPr>
            <w:tcW w:w="5400" w:type="dxa"/>
            <w:vAlign w:val="center"/>
            <w:hideMark/>
          </w:tcPr>
          <w:p w14:paraId="7F82A156"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Veterinary professionals and paraprofessionals</w:t>
            </w:r>
          </w:p>
        </w:tc>
        <w:tc>
          <w:tcPr>
            <w:tcW w:w="1080" w:type="dxa"/>
            <w:vAlign w:val="center"/>
            <w:hideMark/>
          </w:tcPr>
          <w:p w14:paraId="51746A8F"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8</w:t>
            </w:r>
          </w:p>
        </w:tc>
      </w:tr>
      <w:tr w:rsidR="00AE7CA0" w:rsidRPr="00BF72E5" w14:paraId="5424C16E" w14:textId="77777777" w:rsidTr="00386C39">
        <w:trPr>
          <w:trHeight w:val="288"/>
        </w:trPr>
        <w:tc>
          <w:tcPr>
            <w:tcW w:w="3055" w:type="dxa"/>
            <w:vAlign w:val="center"/>
            <w:hideMark/>
          </w:tcPr>
          <w:p w14:paraId="0B9E075E"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Subnational governance</w:t>
            </w:r>
          </w:p>
        </w:tc>
        <w:tc>
          <w:tcPr>
            <w:tcW w:w="5400" w:type="dxa"/>
            <w:vAlign w:val="center"/>
            <w:hideMark/>
          </w:tcPr>
          <w:p w14:paraId="488D4D22"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District veterinary authorities</w:t>
            </w:r>
          </w:p>
        </w:tc>
        <w:tc>
          <w:tcPr>
            <w:tcW w:w="1080" w:type="dxa"/>
            <w:vAlign w:val="center"/>
            <w:hideMark/>
          </w:tcPr>
          <w:p w14:paraId="6FD4DCBA"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5</w:t>
            </w:r>
          </w:p>
        </w:tc>
      </w:tr>
      <w:tr w:rsidR="00AE7CA0" w:rsidRPr="00BF72E5" w14:paraId="7CB38CA0" w14:textId="77777777" w:rsidTr="00386C39">
        <w:trPr>
          <w:trHeight w:val="576"/>
        </w:trPr>
        <w:tc>
          <w:tcPr>
            <w:tcW w:w="3055" w:type="dxa"/>
            <w:vAlign w:val="center"/>
            <w:hideMark/>
          </w:tcPr>
          <w:p w14:paraId="211D8E87"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System support</w:t>
            </w:r>
          </w:p>
        </w:tc>
        <w:tc>
          <w:tcPr>
            <w:tcW w:w="5400" w:type="dxa"/>
            <w:vAlign w:val="center"/>
            <w:hideMark/>
          </w:tcPr>
          <w:p w14:paraId="05F1844C"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Academia, NGOs, and industry experts</w:t>
            </w:r>
          </w:p>
        </w:tc>
        <w:tc>
          <w:tcPr>
            <w:tcW w:w="1080" w:type="dxa"/>
            <w:vAlign w:val="center"/>
            <w:hideMark/>
          </w:tcPr>
          <w:p w14:paraId="1D6D1461" w14:textId="77777777" w:rsidR="00AE7CA0" w:rsidRPr="00BF72E5" w:rsidRDefault="00AE7CA0" w:rsidP="00386C39">
            <w:pPr>
              <w:spacing w:after="0" w:line="360" w:lineRule="auto"/>
              <w:jc w:val="both"/>
              <w:rPr>
                <w:rFonts w:ascii="Times New Roman" w:eastAsia="Times New Roman" w:hAnsi="Times New Roman" w:cs="Times New Roman"/>
                <w:sz w:val="24"/>
                <w:szCs w:val="24"/>
                <w:lang w:eastAsia="en-GB"/>
                <w14:ligatures w14:val="none"/>
              </w:rPr>
            </w:pPr>
            <w:r w:rsidRPr="00BF72E5">
              <w:rPr>
                <w:rFonts w:ascii="Times New Roman" w:eastAsia="Times New Roman" w:hAnsi="Times New Roman" w:cs="Times New Roman"/>
                <w:sz w:val="24"/>
                <w:szCs w:val="24"/>
                <w:lang w:eastAsia="en-GB"/>
                <w14:ligatures w14:val="none"/>
              </w:rPr>
              <w:t>7</w:t>
            </w:r>
          </w:p>
        </w:tc>
      </w:tr>
      <w:tr w:rsidR="00AE7CA0" w:rsidRPr="009176FC" w14:paraId="4E3632A9" w14:textId="77777777" w:rsidTr="00386C39">
        <w:trPr>
          <w:trHeight w:val="288"/>
        </w:trPr>
        <w:tc>
          <w:tcPr>
            <w:tcW w:w="3055" w:type="dxa"/>
            <w:vAlign w:val="center"/>
            <w:hideMark/>
          </w:tcPr>
          <w:p w14:paraId="0F26C998" w14:textId="77777777" w:rsidR="00AE7CA0" w:rsidRPr="00BF72E5" w:rsidRDefault="00AE7CA0" w:rsidP="00386C39">
            <w:pPr>
              <w:spacing w:after="0" w:line="360" w:lineRule="auto"/>
              <w:jc w:val="both"/>
              <w:rPr>
                <w:rFonts w:ascii="Times New Roman" w:eastAsia="Times New Roman" w:hAnsi="Times New Roman" w:cs="Times New Roman"/>
                <w:b/>
                <w:bCs/>
                <w:sz w:val="24"/>
                <w:szCs w:val="24"/>
                <w:lang w:eastAsia="en-GB"/>
                <w14:ligatures w14:val="none"/>
              </w:rPr>
            </w:pPr>
            <w:r w:rsidRPr="00BF72E5">
              <w:rPr>
                <w:rFonts w:ascii="Times New Roman" w:eastAsia="Times New Roman" w:hAnsi="Times New Roman" w:cs="Times New Roman"/>
                <w:b/>
                <w:bCs/>
                <w:sz w:val="24"/>
                <w:szCs w:val="24"/>
                <w:lang w:eastAsia="en-GB"/>
                <w14:ligatures w14:val="none"/>
              </w:rPr>
              <w:t>Total</w:t>
            </w:r>
          </w:p>
        </w:tc>
        <w:tc>
          <w:tcPr>
            <w:tcW w:w="5400" w:type="dxa"/>
            <w:vAlign w:val="center"/>
            <w:hideMark/>
          </w:tcPr>
          <w:p w14:paraId="5E107C3F" w14:textId="77777777" w:rsidR="00AE7CA0" w:rsidRPr="00BF72E5" w:rsidRDefault="00AE7CA0" w:rsidP="00386C39">
            <w:pPr>
              <w:spacing w:after="0" w:line="360" w:lineRule="auto"/>
              <w:jc w:val="both"/>
              <w:rPr>
                <w:rFonts w:ascii="Times New Roman" w:eastAsia="Times New Roman" w:hAnsi="Times New Roman" w:cs="Times New Roman"/>
                <w:b/>
                <w:bCs/>
                <w:sz w:val="24"/>
                <w:szCs w:val="24"/>
                <w:lang w:eastAsia="en-GB"/>
                <w14:ligatures w14:val="none"/>
              </w:rPr>
            </w:pPr>
          </w:p>
        </w:tc>
        <w:tc>
          <w:tcPr>
            <w:tcW w:w="1080" w:type="dxa"/>
            <w:vAlign w:val="center"/>
            <w:hideMark/>
          </w:tcPr>
          <w:p w14:paraId="397B6749" w14:textId="77777777" w:rsidR="00AE7CA0" w:rsidRPr="009176FC" w:rsidRDefault="00AE7CA0" w:rsidP="00386C39">
            <w:pPr>
              <w:spacing w:after="0" w:line="360" w:lineRule="auto"/>
              <w:jc w:val="both"/>
              <w:rPr>
                <w:rFonts w:ascii="Times New Roman" w:eastAsia="Times New Roman" w:hAnsi="Times New Roman" w:cs="Times New Roman"/>
                <w:b/>
                <w:bCs/>
                <w:sz w:val="24"/>
                <w:szCs w:val="24"/>
                <w:lang w:eastAsia="en-GB"/>
                <w14:ligatures w14:val="none"/>
              </w:rPr>
            </w:pPr>
            <w:r w:rsidRPr="00BF72E5">
              <w:rPr>
                <w:rFonts w:ascii="Times New Roman" w:eastAsia="Times New Roman" w:hAnsi="Times New Roman" w:cs="Times New Roman"/>
                <w:b/>
                <w:bCs/>
                <w:sz w:val="24"/>
                <w:szCs w:val="24"/>
                <w:lang w:eastAsia="en-GB"/>
                <w14:ligatures w14:val="none"/>
              </w:rPr>
              <w:t>37</w:t>
            </w:r>
          </w:p>
        </w:tc>
      </w:tr>
    </w:tbl>
    <w:p w14:paraId="104260C1" w14:textId="77777777" w:rsidR="00AE7CA0" w:rsidRPr="009176FC" w:rsidRDefault="00AE7CA0" w:rsidP="00AE7CA0">
      <w:pPr>
        <w:spacing w:line="360" w:lineRule="auto"/>
        <w:jc w:val="both"/>
        <w:rPr>
          <w:rFonts w:ascii="Times New Roman" w:hAnsi="Times New Roman" w:cs="Times New Roman"/>
          <w:sz w:val="24"/>
          <w:szCs w:val="24"/>
        </w:rPr>
      </w:pPr>
    </w:p>
    <w:p w14:paraId="5C6933ED" w14:textId="77777777" w:rsidR="00D83B85" w:rsidRDefault="00D83B85"/>
    <w:sectPr w:rsidR="00D83B85" w:rsidSect="000E2C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CA0"/>
    <w:rsid w:val="000E2CC4"/>
    <w:rsid w:val="006B3D40"/>
    <w:rsid w:val="008A68D4"/>
    <w:rsid w:val="00AC588E"/>
    <w:rsid w:val="00AE7CA0"/>
    <w:rsid w:val="00D83B85"/>
    <w:rsid w:val="00E866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8EB8E"/>
  <w15:chartTrackingRefBased/>
  <w15:docId w15:val="{8772C1D4-0AA6-4483-9E64-E717BA706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CA0"/>
  </w:style>
  <w:style w:type="paragraph" w:styleId="Heading1">
    <w:name w:val="heading 1"/>
    <w:basedOn w:val="Normal"/>
    <w:next w:val="Normal"/>
    <w:link w:val="Heading1Char"/>
    <w:uiPriority w:val="9"/>
    <w:qFormat/>
    <w:rsid w:val="00AE7C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7C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7C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7C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7C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C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C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C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C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C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7C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7C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7C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7C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C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C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C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CA0"/>
    <w:rPr>
      <w:rFonts w:eastAsiaTheme="majorEastAsia" w:cstheme="majorBidi"/>
      <w:color w:val="272727" w:themeColor="text1" w:themeTint="D8"/>
    </w:rPr>
  </w:style>
  <w:style w:type="paragraph" w:styleId="Title">
    <w:name w:val="Title"/>
    <w:basedOn w:val="Normal"/>
    <w:next w:val="Normal"/>
    <w:link w:val="TitleChar"/>
    <w:uiPriority w:val="10"/>
    <w:qFormat/>
    <w:rsid w:val="00AE7C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C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C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C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CA0"/>
    <w:pPr>
      <w:spacing w:before="160"/>
      <w:jc w:val="center"/>
    </w:pPr>
    <w:rPr>
      <w:i/>
      <w:iCs/>
      <w:color w:val="404040" w:themeColor="text1" w:themeTint="BF"/>
    </w:rPr>
  </w:style>
  <w:style w:type="character" w:customStyle="1" w:styleId="QuoteChar">
    <w:name w:val="Quote Char"/>
    <w:basedOn w:val="DefaultParagraphFont"/>
    <w:link w:val="Quote"/>
    <w:uiPriority w:val="29"/>
    <w:rsid w:val="00AE7CA0"/>
    <w:rPr>
      <w:i/>
      <w:iCs/>
      <w:color w:val="404040" w:themeColor="text1" w:themeTint="BF"/>
    </w:rPr>
  </w:style>
  <w:style w:type="paragraph" w:styleId="ListParagraph">
    <w:name w:val="List Paragraph"/>
    <w:basedOn w:val="Normal"/>
    <w:uiPriority w:val="34"/>
    <w:qFormat/>
    <w:rsid w:val="00AE7CA0"/>
    <w:pPr>
      <w:ind w:left="720"/>
      <w:contextualSpacing/>
    </w:pPr>
  </w:style>
  <w:style w:type="character" w:styleId="IntenseEmphasis">
    <w:name w:val="Intense Emphasis"/>
    <w:basedOn w:val="DefaultParagraphFont"/>
    <w:uiPriority w:val="21"/>
    <w:qFormat/>
    <w:rsid w:val="00AE7CA0"/>
    <w:rPr>
      <w:i/>
      <w:iCs/>
      <w:color w:val="0F4761" w:themeColor="accent1" w:themeShade="BF"/>
    </w:rPr>
  </w:style>
  <w:style w:type="paragraph" w:styleId="IntenseQuote">
    <w:name w:val="Intense Quote"/>
    <w:basedOn w:val="Normal"/>
    <w:next w:val="Normal"/>
    <w:link w:val="IntenseQuoteChar"/>
    <w:uiPriority w:val="30"/>
    <w:qFormat/>
    <w:rsid w:val="00AE7C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7CA0"/>
    <w:rPr>
      <w:i/>
      <w:iCs/>
      <w:color w:val="0F4761" w:themeColor="accent1" w:themeShade="BF"/>
    </w:rPr>
  </w:style>
  <w:style w:type="character" w:styleId="IntenseReference">
    <w:name w:val="Intense Reference"/>
    <w:basedOn w:val="DefaultParagraphFont"/>
    <w:uiPriority w:val="32"/>
    <w:qFormat/>
    <w:rsid w:val="00AE7CA0"/>
    <w:rPr>
      <w:b/>
      <w:bCs/>
      <w:smallCaps/>
      <w:color w:val="0F4761" w:themeColor="accent1" w:themeShade="BF"/>
      <w:spacing w:val="5"/>
    </w:rPr>
  </w:style>
  <w:style w:type="table" w:styleId="TableGrid">
    <w:name w:val="Table Grid"/>
    <w:basedOn w:val="TableNormal"/>
    <w:uiPriority w:val="39"/>
    <w:rsid w:val="00AE7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E7CA0"/>
    <w:pPr>
      <w:spacing w:after="0" w:line="240" w:lineRule="auto"/>
    </w:pPr>
    <w:rPr>
      <w:rFonts w:eastAsia="MS Mincho"/>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E7CA0"/>
  </w:style>
  <w:style w:type="paragraph" w:styleId="Revision">
    <w:name w:val="Revision"/>
    <w:hidden/>
    <w:uiPriority w:val="99"/>
    <w:semiHidden/>
    <w:rsid w:val="000E2C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1101</Words>
  <Characters>6281</Characters>
  <Application>Microsoft Office Word</Application>
  <DocSecurity>0</DocSecurity>
  <Lines>52</Lines>
  <Paragraphs>14</Paragraphs>
  <ScaleCrop>false</ScaleCrop>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Dreck</dc:creator>
  <cp:keywords/>
  <dc:description/>
  <cp:lastModifiedBy>Dreck </cp:lastModifiedBy>
  <cp:revision>2</cp:revision>
  <dcterms:created xsi:type="dcterms:W3CDTF">2026-06-17T14:26:00Z</dcterms:created>
  <dcterms:modified xsi:type="dcterms:W3CDTF">2026-06-17T14:30:00Z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4cfed95a-3a1f-4b9c-b2d8-befaf9cca34a</vt:lpwstr>
  </property>
</Properties>
</file>