
<file path=[Content_Types].xml><?xml version="1.0" encoding="utf-8"?>
<Types xmlns="http://schemas.openxmlformats.org/package/2006/content-types">
  <Default Extension="tiff" ContentType="image/tif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B4E79D">
      <w:pPr>
        <w:rPr>
          <w:rFonts w:hint="default" w:ascii="Times New Roman" w:hAnsi="Times New Roman" w:cs="Times New Roman"/>
          <w:b/>
          <w:bCs/>
          <w:sz w:val="28"/>
          <w:szCs w:val="36"/>
          <w:lang w:val="en-US" w:eastAsia="zh-CN"/>
        </w:rPr>
      </w:pPr>
      <w:r>
        <w:rPr>
          <w:rFonts w:hint="default" w:ascii="Times New Roman" w:hAnsi="Times New Roman" w:cs="Times New Roman"/>
          <w:b/>
          <w:bCs/>
          <w:sz w:val="28"/>
          <w:szCs w:val="36"/>
          <w:lang w:val="en-US" w:eastAsia="zh-CN"/>
        </w:rPr>
        <w:t>Supplementary information</w:t>
      </w:r>
    </w:p>
    <w:p w14:paraId="1161E642">
      <w:pPr>
        <w:spacing w:line="360" w:lineRule="auto"/>
        <w:jc w:val="both"/>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Rising transnational economic risks of potential flood-induced outages at global fossil-fuelled power plants in the past decade</w:t>
      </w:r>
    </w:p>
    <w:p w14:paraId="69F53373">
      <w:pPr>
        <w:spacing w:line="360" w:lineRule="auto"/>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Jiaju Lin</w:t>
      </w:r>
      <w:r>
        <w:rPr>
          <w:rFonts w:hint="default" w:ascii="Times New Roman" w:hAnsi="Times New Roman" w:cs="Times New Roman"/>
          <w:sz w:val="24"/>
          <w:szCs w:val="24"/>
          <w:vertAlign w:val="superscript"/>
          <w:lang w:val="en-US" w:eastAsia="zh-CN"/>
        </w:rPr>
        <w:t>1,*</w:t>
      </w:r>
      <w:r>
        <w:rPr>
          <w:rFonts w:hint="default" w:ascii="Times New Roman" w:hAnsi="Times New Roman" w:cs="Times New Roman"/>
          <w:sz w:val="24"/>
          <w:szCs w:val="24"/>
          <w:lang w:val="en-US" w:eastAsia="zh-CN"/>
        </w:rPr>
        <w:t>, Shuo Wang</w:t>
      </w:r>
      <w:r>
        <w:rPr>
          <w:rFonts w:hint="default" w:ascii="Times New Roman" w:hAnsi="Times New Roman" w:cs="Times New Roman"/>
          <w:sz w:val="24"/>
          <w:szCs w:val="24"/>
          <w:vertAlign w:val="superscript"/>
          <w:lang w:val="en-US" w:eastAsia="zh-CN"/>
        </w:rPr>
        <w:t>2</w:t>
      </w:r>
      <w:r>
        <w:rPr>
          <w:rFonts w:hint="default" w:ascii="Times New Roman" w:hAnsi="Times New Roman" w:cs="Times New Roman"/>
          <w:sz w:val="24"/>
          <w:szCs w:val="24"/>
          <w:lang w:val="en-US" w:eastAsia="zh-CN"/>
        </w:rPr>
        <w:t>, Bingkun Wang</w:t>
      </w:r>
      <w:r>
        <w:rPr>
          <w:rFonts w:hint="default" w:ascii="Times New Roman" w:hAnsi="Times New Roman" w:cs="Times New Roman"/>
          <w:sz w:val="24"/>
          <w:szCs w:val="24"/>
          <w:vertAlign w:val="superscript"/>
          <w:lang w:val="en-US" w:eastAsia="zh-CN"/>
        </w:rPr>
        <w:t>1</w:t>
      </w:r>
      <w:r>
        <w:rPr>
          <w:rFonts w:hint="default" w:ascii="Times New Roman" w:hAnsi="Times New Roman" w:cs="Times New Roman"/>
          <w:sz w:val="24"/>
          <w:szCs w:val="24"/>
          <w:lang w:val="en-US" w:eastAsia="zh-CN"/>
        </w:rPr>
        <w:t>, Miming Zhang</w:t>
      </w:r>
      <w:r>
        <w:rPr>
          <w:rFonts w:hint="default" w:ascii="Times New Roman" w:hAnsi="Times New Roman" w:cs="Times New Roman"/>
          <w:sz w:val="24"/>
          <w:szCs w:val="24"/>
          <w:vertAlign w:val="superscript"/>
          <w:lang w:val="en-US" w:eastAsia="zh-CN"/>
        </w:rPr>
        <w:t>1</w:t>
      </w:r>
      <w:r>
        <w:rPr>
          <w:rFonts w:hint="default" w:ascii="Times New Roman" w:hAnsi="Times New Roman" w:cs="Times New Roman"/>
          <w:sz w:val="24"/>
          <w:szCs w:val="24"/>
          <w:lang w:val="en-US" w:eastAsia="zh-CN"/>
        </w:rPr>
        <w:t>, Chao Zhang</w:t>
      </w:r>
      <w:r>
        <w:rPr>
          <w:rFonts w:hint="default" w:ascii="Times New Roman" w:hAnsi="Times New Roman" w:cs="Times New Roman"/>
          <w:sz w:val="24"/>
          <w:szCs w:val="24"/>
          <w:vertAlign w:val="superscript"/>
          <w:lang w:val="en-US" w:eastAsia="zh-CN"/>
        </w:rPr>
        <w:t>1</w:t>
      </w:r>
      <w:r>
        <w:rPr>
          <w:rFonts w:hint="default" w:ascii="Times New Roman" w:hAnsi="Times New Roman" w:cs="Times New Roman"/>
          <w:sz w:val="24"/>
          <w:szCs w:val="24"/>
          <w:lang w:val="en-US" w:eastAsia="zh-CN"/>
        </w:rPr>
        <w:t>, Yurong Ouyang</w:t>
      </w:r>
      <w:r>
        <w:rPr>
          <w:rFonts w:hint="default" w:ascii="Times New Roman" w:hAnsi="Times New Roman" w:cs="Times New Roman"/>
          <w:sz w:val="24"/>
          <w:szCs w:val="24"/>
          <w:vertAlign w:val="superscript"/>
          <w:lang w:val="en-US" w:eastAsia="zh-CN"/>
        </w:rPr>
        <w:t>1</w:t>
      </w:r>
      <w:r>
        <w:rPr>
          <w:rFonts w:hint="default" w:ascii="Times New Roman" w:hAnsi="Times New Roman" w:cs="Times New Roman"/>
          <w:sz w:val="24"/>
          <w:szCs w:val="24"/>
          <w:lang w:val="en-US" w:eastAsia="zh-CN"/>
        </w:rPr>
        <w:t>, Xiongzhi Xue</w:t>
      </w:r>
      <w:r>
        <w:rPr>
          <w:rFonts w:hint="default" w:ascii="Times New Roman" w:hAnsi="Times New Roman" w:cs="Times New Roman"/>
          <w:sz w:val="24"/>
          <w:szCs w:val="24"/>
          <w:vertAlign w:val="superscript"/>
          <w:lang w:val="en-US" w:eastAsia="zh-CN"/>
        </w:rPr>
        <w:t>2,3</w:t>
      </w:r>
    </w:p>
    <w:p w14:paraId="397ED92E">
      <w:pPr>
        <w:spacing w:line="360" w:lineRule="auto"/>
        <w:ind w:left="0" w:leftChars="0" w:firstLine="0" w:firstLineChars="0"/>
        <w:jc w:val="both"/>
        <w:rPr>
          <w:rFonts w:hint="default" w:ascii="Times New Roman" w:hAnsi="Times New Roman" w:eastAsia="黑体" w:cs="Times New Roman"/>
          <w:i/>
          <w:iCs/>
          <w:sz w:val="24"/>
          <w:szCs w:val="24"/>
          <w:vertAlign w:val="baseline"/>
        </w:rPr>
      </w:pPr>
      <w:r>
        <w:rPr>
          <w:rFonts w:hint="default" w:ascii="Times New Roman" w:hAnsi="Times New Roman" w:eastAsia="黑体" w:cs="Times New Roman"/>
          <w:i/>
          <w:iCs/>
          <w:sz w:val="24"/>
          <w:szCs w:val="24"/>
          <w:vertAlign w:val="superscript"/>
        </w:rPr>
        <w:t>1</w:t>
      </w:r>
      <w:r>
        <w:rPr>
          <w:rFonts w:hint="default" w:ascii="Times New Roman" w:hAnsi="Times New Roman" w:eastAsia="黑体" w:cs="Times New Roman"/>
          <w:i/>
          <w:iCs/>
          <w:sz w:val="24"/>
          <w:szCs w:val="24"/>
          <w:vertAlign w:val="superscript"/>
          <w:lang w:val="en-US" w:eastAsia="zh-CN"/>
        </w:rPr>
        <w:t xml:space="preserve"> </w:t>
      </w:r>
      <w:r>
        <w:rPr>
          <w:rFonts w:hint="default" w:ascii="Times New Roman" w:hAnsi="Times New Roman" w:eastAsia="黑体" w:cs="Times New Roman"/>
          <w:i/>
          <w:iCs/>
          <w:sz w:val="24"/>
          <w:szCs w:val="24"/>
          <w:vertAlign w:val="baseline"/>
        </w:rPr>
        <w:t>Third Institute of Oceanography</w:t>
      </w:r>
      <w:r>
        <w:rPr>
          <w:rFonts w:hint="default" w:ascii="Times New Roman" w:hAnsi="Times New Roman" w:eastAsia="黑体" w:cs="Times New Roman"/>
          <w:i/>
          <w:iCs/>
          <w:sz w:val="24"/>
          <w:szCs w:val="24"/>
          <w:vertAlign w:val="baseline"/>
          <w:lang w:val="en-US" w:eastAsia="zh-CN"/>
        </w:rPr>
        <w:t>,</w:t>
      </w:r>
      <w:r>
        <w:rPr>
          <w:rFonts w:hint="default" w:ascii="Times New Roman" w:hAnsi="Times New Roman" w:eastAsia="黑体" w:cs="Times New Roman"/>
          <w:i/>
          <w:iCs/>
          <w:sz w:val="24"/>
          <w:szCs w:val="24"/>
          <w:vertAlign w:val="baseline"/>
        </w:rPr>
        <w:t xml:space="preserve"> Ministry of Natural Resources, Xiamen</w:t>
      </w:r>
      <w:r>
        <w:rPr>
          <w:rFonts w:hint="default" w:ascii="Times New Roman" w:hAnsi="Times New Roman" w:eastAsia="黑体" w:cs="Times New Roman"/>
          <w:i/>
          <w:iCs/>
          <w:sz w:val="24"/>
          <w:szCs w:val="24"/>
          <w:vertAlign w:val="baseline"/>
          <w:lang w:val="en-US" w:eastAsia="zh-CN"/>
        </w:rPr>
        <w:t>,</w:t>
      </w:r>
      <w:r>
        <w:rPr>
          <w:rFonts w:hint="default" w:ascii="Times New Roman" w:hAnsi="Times New Roman" w:eastAsia="黑体" w:cs="Times New Roman"/>
          <w:i/>
          <w:iCs/>
          <w:sz w:val="24"/>
          <w:szCs w:val="24"/>
          <w:vertAlign w:val="baseline"/>
        </w:rPr>
        <w:t xml:space="preserve"> 361005, China</w:t>
      </w:r>
    </w:p>
    <w:p w14:paraId="14BD6321">
      <w:pPr>
        <w:spacing w:line="360" w:lineRule="auto"/>
        <w:ind w:left="0" w:leftChars="0" w:firstLine="0" w:firstLineChars="0"/>
        <w:jc w:val="both"/>
        <w:rPr>
          <w:rFonts w:hint="default" w:ascii="Times New Roman" w:hAnsi="Times New Roman" w:eastAsia="黑体" w:cs="Times New Roman"/>
          <w:i/>
          <w:iCs/>
          <w:sz w:val="24"/>
          <w:szCs w:val="24"/>
        </w:rPr>
      </w:pPr>
      <w:r>
        <w:rPr>
          <w:rFonts w:hint="default" w:ascii="Times New Roman" w:hAnsi="Times New Roman" w:eastAsia="黑体" w:cs="Times New Roman"/>
          <w:i/>
          <w:iCs/>
          <w:sz w:val="24"/>
          <w:szCs w:val="24"/>
          <w:vertAlign w:val="superscript"/>
        </w:rPr>
        <w:t>2</w:t>
      </w:r>
      <w:r>
        <w:rPr>
          <w:rFonts w:hint="default" w:ascii="Times New Roman" w:hAnsi="Times New Roman" w:eastAsia="黑体" w:cs="Times New Roman"/>
          <w:i/>
          <w:iCs/>
          <w:sz w:val="24"/>
          <w:szCs w:val="24"/>
        </w:rPr>
        <w:t xml:space="preserve"> </w:t>
      </w:r>
      <w:r>
        <w:rPr>
          <w:rFonts w:hint="default" w:ascii="Times New Roman" w:hAnsi="Times New Roman" w:eastAsia="黑体" w:cs="Times New Roman"/>
          <w:i/>
          <w:iCs/>
          <w:sz w:val="24"/>
          <w:szCs w:val="24"/>
          <w:lang w:val="en-US" w:eastAsia="zh-CN"/>
        </w:rPr>
        <w:t>College of environment and ecology</w:t>
      </w:r>
      <w:r>
        <w:rPr>
          <w:rFonts w:hint="default" w:ascii="Times New Roman" w:hAnsi="Times New Roman" w:eastAsia="黑体" w:cs="Times New Roman"/>
          <w:i/>
          <w:iCs/>
          <w:sz w:val="24"/>
          <w:szCs w:val="24"/>
        </w:rPr>
        <w:t xml:space="preserve">, Xiamen University, </w:t>
      </w:r>
      <w:r>
        <w:rPr>
          <w:rFonts w:hint="default" w:ascii="Times New Roman" w:hAnsi="Times New Roman" w:eastAsia="黑体" w:cs="Times New Roman"/>
          <w:i/>
          <w:iCs/>
          <w:sz w:val="24"/>
          <w:szCs w:val="24"/>
          <w:vertAlign w:val="baseline"/>
        </w:rPr>
        <w:t>Xiamen</w:t>
      </w:r>
      <w:r>
        <w:rPr>
          <w:rFonts w:hint="default" w:ascii="Times New Roman" w:hAnsi="Times New Roman" w:eastAsia="黑体" w:cs="Times New Roman"/>
          <w:i/>
          <w:iCs/>
          <w:sz w:val="24"/>
          <w:szCs w:val="24"/>
          <w:vertAlign w:val="baseline"/>
          <w:lang w:val="en-US" w:eastAsia="zh-CN"/>
        </w:rPr>
        <w:t xml:space="preserve">, </w:t>
      </w:r>
      <w:r>
        <w:rPr>
          <w:rFonts w:hint="default" w:ascii="Times New Roman" w:hAnsi="Times New Roman" w:eastAsia="黑体" w:cs="Times New Roman"/>
          <w:i/>
          <w:iCs/>
          <w:sz w:val="24"/>
          <w:szCs w:val="24"/>
        </w:rPr>
        <w:t>361102, China</w:t>
      </w:r>
    </w:p>
    <w:p w14:paraId="5F6ED04E">
      <w:pPr>
        <w:spacing w:line="360" w:lineRule="auto"/>
        <w:ind w:left="0" w:leftChars="0" w:firstLine="0" w:firstLineChars="0"/>
        <w:jc w:val="both"/>
        <w:rPr>
          <w:rFonts w:hint="default" w:ascii="Times New Roman" w:hAnsi="Times New Roman" w:cs="Times New Roman"/>
          <w:b/>
          <w:bCs/>
          <w:sz w:val="24"/>
          <w:szCs w:val="24"/>
          <w:lang w:val="en-US" w:eastAsia="zh-CN"/>
        </w:rPr>
      </w:pPr>
      <w:r>
        <w:rPr>
          <w:rFonts w:hint="default" w:ascii="Times New Roman" w:hAnsi="Times New Roman" w:eastAsia="黑体" w:cs="Times New Roman"/>
          <w:i/>
          <w:iCs/>
          <w:sz w:val="24"/>
          <w:szCs w:val="24"/>
          <w:vertAlign w:val="superscript"/>
          <w:lang w:val="en-US" w:eastAsia="zh-CN"/>
        </w:rPr>
        <w:t>3</w:t>
      </w:r>
      <w:r>
        <w:rPr>
          <w:rFonts w:hint="default" w:ascii="Times New Roman" w:hAnsi="Times New Roman" w:eastAsia="黑体" w:cs="Times New Roman"/>
          <w:i/>
          <w:iCs/>
          <w:sz w:val="24"/>
          <w:szCs w:val="24"/>
        </w:rPr>
        <w:t xml:space="preserve"> Fujian Institute for Sustainable Oceans, Xiamen University,</w:t>
      </w:r>
      <w:r>
        <w:rPr>
          <w:rFonts w:hint="default" w:ascii="Times New Roman" w:hAnsi="Times New Roman" w:eastAsia="黑体" w:cs="Times New Roman"/>
          <w:i/>
          <w:iCs/>
          <w:sz w:val="24"/>
          <w:szCs w:val="24"/>
          <w:lang w:val="en-US" w:eastAsia="zh-CN"/>
        </w:rPr>
        <w:t xml:space="preserve"> </w:t>
      </w:r>
      <w:r>
        <w:rPr>
          <w:rFonts w:hint="default" w:ascii="Times New Roman" w:hAnsi="Times New Roman" w:eastAsia="黑体" w:cs="Times New Roman"/>
          <w:i/>
          <w:iCs/>
          <w:sz w:val="24"/>
          <w:szCs w:val="24"/>
          <w:vertAlign w:val="baseline"/>
        </w:rPr>
        <w:t>Xiamen</w:t>
      </w:r>
      <w:r>
        <w:rPr>
          <w:rFonts w:hint="default" w:ascii="Times New Roman" w:hAnsi="Times New Roman" w:eastAsia="黑体" w:cs="Times New Roman"/>
          <w:i/>
          <w:iCs/>
          <w:sz w:val="24"/>
          <w:szCs w:val="24"/>
          <w:vertAlign w:val="baseline"/>
          <w:lang w:val="en-US" w:eastAsia="zh-CN"/>
        </w:rPr>
        <w:t>,</w:t>
      </w:r>
      <w:r>
        <w:rPr>
          <w:rFonts w:hint="default" w:ascii="Times New Roman" w:hAnsi="Times New Roman" w:eastAsia="黑体" w:cs="Times New Roman"/>
          <w:i/>
          <w:iCs/>
          <w:sz w:val="24"/>
          <w:szCs w:val="24"/>
        </w:rPr>
        <w:t xml:space="preserve"> 361102, China</w:t>
      </w:r>
    </w:p>
    <w:p w14:paraId="11D6CF39">
      <w:pPr>
        <w:rPr>
          <w:rFonts w:hint="default" w:ascii="Times New Roman" w:hAnsi="Times New Roman" w:cs="Times New Roman"/>
          <w:b/>
          <w:bCs/>
          <w:sz w:val="28"/>
          <w:szCs w:val="36"/>
          <w:lang w:val="en-US" w:eastAsia="zh-CN"/>
        </w:rPr>
        <w:sectPr>
          <w:pgSz w:w="11906" w:h="16838"/>
          <w:pgMar w:top="1440" w:right="1800" w:bottom="1440" w:left="1800" w:header="851" w:footer="992" w:gutter="0"/>
          <w:cols w:space="425" w:num="1"/>
          <w:docGrid w:type="lines" w:linePitch="312" w:charSpace="0"/>
        </w:sectPr>
      </w:pPr>
    </w:p>
    <w:p w14:paraId="66CE2997">
      <w:pPr>
        <w:rPr>
          <w:rFonts w:hint="default" w:ascii="Times New Roman" w:hAnsi="Times New Roman" w:cs="Times New Roman"/>
          <w:lang w:val="en-US" w:eastAsia="zh-CN"/>
        </w:rPr>
      </w:pPr>
      <w:r>
        <w:rPr>
          <w:rFonts w:hint="default" w:ascii="Times New Roman" w:hAnsi="Times New Roman" w:cs="Times New Roman"/>
          <w:b/>
          <w:bCs/>
          <w:sz w:val="28"/>
          <w:szCs w:val="36"/>
          <w:lang w:val="en-US" w:eastAsia="zh-CN"/>
        </w:rPr>
        <w:drawing>
          <wp:inline distT="0" distB="0" distL="114300" distR="114300">
            <wp:extent cx="5266690" cy="3950335"/>
            <wp:effectExtent l="0" t="0" r="3810" b="12065"/>
            <wp:docPr id="1" name="图片 1" descr="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ramework"/>
                    <pic:cNvPicPr>
                      <a:picLocks noChangeAspect="1"/>
                    </pic:cNvPicPr>
                  </pic:nvPicPr>
                  <pic:blipFill>
                    <a:blip r:embed="rId4"/>
                    <a:stretch>
                      <a:fillRect/>
                    </a:stretch>
                  </pic:blipFill>
                  <pic:spPr>
                    <a:xfrm>
                      <a:off x="0" y="0"/>
                      <a:ext cx="5266690" cy="3950335"/>
                    </a:xfrm>
                    <a:prstGeom prst="rect">
                      <a:avLst/>
                    </a:prstGeom>
                  </pic:spPr>
                </pic:pic>
              </a:graphicData>
            </a:graphic>
          </wp:inline>
        </w:drawing>
      </w:r>
    </w:p>
    <w:p w14:paraId="615F4B7C">
      <w:pPr>
        <w:spacing w:line="360" w:lineRule="auto"/>
        <w:jc w:val="both"/>
        <w:rPr>
          <w:rFonts w:hint="default" w:ascii="Times New Roman" w:hAnsi="Times New Roman" w:cs="Times New Roman"/>
          <w:b w:val="0"/>
          <w:bCs w:val="0"/>
          <w:lang w:val="en-US" w:eastAsia="zh-CN"/>
        </w:rPr>
      </w:pPr>
      <w:r>
        <w:rPr>
          <w:rFonts w:hint="default" w:ascii="Times New Roman" w:hAnsi="Times New Roman" w:cs="Times New Roman"/>
          <w:b/>
          <w:bCs/>
          <w:sz w:val="24"/>
          <w:szCs w:val="24"/>
          <w:highlight w:val="none"/>
          <w:lang w:val="en-US" w:eastAsia="zh-CN"/>
        </w:rPr>
        <w:t xml:space="preserve">Supplementary Fig. </w:t>
      </w:r>
      <w:r>
        <w:rPr>
          <w:rFonts w:hint="eastAsia" w:ascii="Times New Roman" w:hAnsi="Times New Roman" w:cs="Times New Roman"/>
          <w:b/>
          <w:bCs/>
          <w:sz w:val="24"/>
          <w:szCs w:val="24"/>
          <w:highlight w:val="none"/>
          <w:lang w:val="en-US" w:eastAsia="zh-CN"/>
        </w:rPr>
        <w:t xml:space="preserve">1 | Framework for assessing flood-induced outage risks and cascading economic losses of FPPs. </w:t>
      </w:r>
      <w:r>
        <w:rPr>
          <w:rFonts w:hint="eastAsia" w:ascii="Times New Roman" w:hAnsi="Times New Roman" w:cs="Times New Roman"/>
          <w:b w:val="0"/>
          <w:bCs w:val="0"/>
          <w:sz w:val="24"/>
          <w:szCs w:val="24"/>
          <w:highlight w:val="none"/>
          <w:lang w:val="en-US" w:eastAsia="zh-CN"/>
        </w:rPr>
        <w:t>The framework links plant-level fossil-fuelled power plant (FPP) data, flood-hazard exposure, outage-duration estimation and MRIO-based economic impact modelling. Global coal-, gas- and oil-fired FPPs are first matched to return-period-specific riverine flood maps after accounting for administrative and plant-level flood protection. Flood depths at exposed plants are then translated into outage durations and assigned as shocks to the corresponding fuel-specific electricity sectors. These shocks are propagated through the global production network using a dynamic inoperability input-output model based on EXIOBASE, allowing domestic and foreign business interruption costs to be quantified. Based on different flood scenarios, all economic losses are calculated into expected annual damage (EAD). Changes in losses between 2015 and 2024 are further decomposed into exposure, power-sector structure, economic scale and supply-chain propagation effects.</w:t>
      </w:r>
    </w:p>
    <w:p w14:paraId="03CB5905">
      <w:pPr>
        <w:rPr>
          <w:rFonts w:hint="default" w:ascii="Times New Roman" w:hAnsi="Times New Roman" w:cs="Times New Roman"/>
          <w:b/>
          <w:bCs/>
          <w:sz w:val="28"/>
          <w:szCs w:val="36"/>
          <w:lang w:val="en-US" w:eastAsia="zh-CN"/>
        </w:rPr>
        <w:sectPr>
          <w:pgSz w:w="11906" w:h="16838"/>
          <w:pgMar w:top="1440" w:right="1800" w:bottom="1440" w:left="1800" w:header="851" w:footer="992" w:gutter="0"/>
          <w:cols w:space="425" w:num="1"/>
          <w:docGrid w:type="lines" w:linePitch="312" w:charSpace="0"/>
        </w:sectPr>
      </w:pPr>
    </w:p>
    <w:p w14:paraId="1438A085">
      <w:pPr>
        <w:spacing w:line="360" w:lineRule="auto"/>
        <w:jc w:val="both"/>
        <w:rPr>
          <w:rFonts w:hint="eastAsia" w:ascii="Times New Roman" w:hAnsi="Times New Roman" w:cs="Times New Roman"/>
          <w:b/>
          <w:bCs/>
          <w:sz w:val="24"/>
          <w:szCs w:val="24"/>
          <w:highlight w:val="none"/>
          <w:lang w:val="en-US" w:eastAsia="zh-CN"/>
        </w:rPr>
      </w:pPr>
      <w:r>
        <w:rPr>
          <w:rFonts w:hint="default" w:ascii="Times New Roman" w:hAnsi="Times New Roman" w:cs="Times New Roman"/>
          <w:b/>
          <w:bCs/>
          <w:sz w:val="24"/>
          <w:szCs w:val="24"/>
          <w:highlight w:val="none"/>
          <w:lang w:val="en-US" w:eastAsia="zh-CN"/>
        </w:rPr>
        <w:t xml:space="preserve">Supplementary </w:t>
      </w:r>
      <w:r>
        <w:rPr>
          <w:rFonts w:hint="eastAsia" w:ascii="Times New Roman" w:hAnsi="Times New Roman" w:cs="Times New Roman"/>
          <w:b/>
          <w:bCs/>
          <w:sz w:val="24"/>
          <w:szCs w:val="24"/>
          <w:highlight w:val="none"/>
          <w:lang w:val="en-US" w:eastAsia="zh-CN"/>
        </w:rPr>
        <w:t>Table</w:t>
      </w:r>
      <w:r>
        <w:rPr>
          <w:rFonts w:hint="default" w:ascii="Times New Roman" w:hAnsi="Times New Roman" w:cs="Times New Roman"/>
          <w:b/>
          <w:bCs/>
          <w:sz w:val="24"/>
          <w:szCs w:val="24"/>
          <w:highlight w:val="none"/>
          <w:lang w:val="en-US" w:eastAsia="zh-CN"/>
        </w:rPr>
        <w:t xml:space="preserve">. </w:t>
      </w:r>
      <w:r>
        <w:rPr>
          <w:rFonts w:hint="eastAsia" w:ascii="Times New Roman" w:hAnsi="Times New Roman" w:cs="Times New Roman"/>
          <w:b/>
          <w:bCs/>
          <w:sz w:val="24"/>
          <w:szCs w:val="24"/>
          <w:highlight w:val="none"/>
          <w:lang w:val="en-US" w:eastAsia="zh-CN"/>
        </w:rPr>
        <w:t>1 | Plant-level flood-protection standards for FPPs across EXIOBASE regions.</w:t>
      </w:r>
    </w:p>
    <w:tbl>
      <w:tblPr>
        <w:tblStyle w:val="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9"/>
        <w:gridCol w:w="992"/>
        <w:gridCol w:w="1199"/>
        <w:gridCol w:w="4962"/>
      </w:tblGrid>
      <w:tr w14:paraId="0CDCB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03" w:type="pct"/>
            <w:vAlign w:val="center"/>
          </w:tcPr>
          <w:p w14:paraId="659E4237">
            <w:pPr>
              <w:widowControl w:val="0"/>
              <w:snapToGrid w:val="0"/>
              <w:spacing w:line="240" w:lineRule="auto"/>
              <w:ind w:left="0" w:leftChars="0" w:right="0" w:rightChars="0" w:firstLine="0" w:firstLineChars="0"/>
              <w:jc w:val="center"/>
              <w:rPr>
                <w:rFonts w:hint="default" w:ascii="Times New Roman" w:hAnsi="Times New Roman" w:eastAsia="宋体" w:cs="Times New Roman"/>
                <w:b/>
                <w:bCs w:val="0"/>
                <w:sz w:val="24"/>
                <w:szCs w:val="24"/>
                <w:highlight w:val="none"/>
                <w:vertAlign w:val="baseline"/>
                <w:lang w:val="en-US" w:eastAsia="zh-CN"/>
              </w:rPr>
            </w:pPr>
            <w:r>
              <w:rPr>
                <w:rFonts w:hint="eastAsia" w:ascii="Times New Roman" w:hAnsi="Times New Roman" w:eastAsia="宋体" w:cs="Times New Roman"/>
                <w:b/>
                <w:bCs w:val="0"/>
                <w:sz w:val="22"/>
                <w:szCs w:val="22"/>
                <w:highlight w:val="none"/>
                <w:vertAlign w:val="baseline"/>
                <w:lang w:val="en-US" w:eastAsia="zh-CN"/>
              </w:rPr>
              <w:t>EXIOBASE code</w:t>
            </w:r>
          </w:p>
        </w:tc>
        <w:tc>
          <w:tcPr>
            <w:tcW w:w="582" w:type="pct"/>
            <w:vAlign w:val="center"/>
          </w:tcPr>
          <w:p w14:paraId="6911E9B1">
            <w:pPr>
              <w:widowControl w:val="0"/>
              <w:snapToGrid w:val="0"/>
              <w:spacing w:line="240" w:lineRule="auto"/>
              <w:ind w:left="0" w:leftChars="0" w:right="0" w:rightChars="0" w:firstLine="0" w:firstLineChars="0"/>
              <w:jc w:val="center"/>
              <w:rPr>
                <w:rFonts w:hint="default" w:ascii="Times New Roman" w:hAnsi="Times New Roman" w:eastAsia="宋体" w:cs="Times New Roman"/>
                <w:b/>
                <w:bCs w:val="0"/>
                <w:sz w:val="24"/>
                <w:szCs w:val="24"/>
                <w:highlight w:val="none"/>
                <w:vertAlign w:val="baseline"/>
                <w:lang w:val="en-US" w:eastAsia="zh-CN"/>
              </w:rPr>
            </w:pPr>
            <w:r>
              <w:rPr>
                <w:rFonts w:hint="eastAsia" w:ascii="Times New Roman" w:hAnsi="Times New Roman" w:eastAsia="宋体" w:cs="Times New Roman"/>
                <w:b/>
                <w:bCs w:val="0"/>
                <w:sz w:val="22"/>
                <w:szCs w:val="22"/>
                <w:highlight w:val="none"/>
                <w:vertAlign w:val="baseline"/>
                <w:lang w:val="en-US" w:eastAsia="zh-CN"/>
              </w:rPr>
              <w:t>Region</w:t>
            </w:r>
          </w:p>
        </w:tc>
        <w:tc>
          <w:tcPr>
            <w:tcW w:w="703" w:type="pct"/>
            <w:vAlign w:val="center"/>
          </w:tcPr>
          <w:p w14:paraId="4157DE51">
            <w:pPr>
              <w:widowControl w:val="0"/>
              <w:snapToGrid w:val="0"/>
              <w:spacing w:line="240" w:lineRule="auto"/>
              <w:ind w:left="0" w:leftChars="0" w:right="0" w:rightChars="0" w:firstLine="0" w:firstLineChars="0"/>
              <w:jc w:val="center"/>
              <w:rPr>
                <w:rFonts w:hint="default" w:ascii="Times New Roman" w:hAnsi="Times New Roman" w:eastAsia="宋体" w:cs="Times New Roman"/>
                <w:b/>
                <w:bCs w:val="0"/>
                <w:sz w:val="24"/>
                <w:szCs w:val="24"/>
                <w:highlight w:val="none"/>
                <w:vertAlign w:val="baseline"/>
                <w:lang w:val="en-US" w:eastAsia="zh-CN"/>
              </w:rPr>
            </w:pPr>
            <w:r>
              <w:rPr>
                <w:rFonts w:hint="eastAsia" w:ascii="Times New Roman" w:hAnsi="Times New Roman" w:eastAsia="宋体" w:cs="Times New Roman"/>
                <w:b/>
                <w:bCs w:val="0"/>
                <w:sz w:val="21"/>
                <w:szCs w:val="20"/>
                <w:highlight w:val="none"/>
                <w:vertAlign w:val="baseline"/>
                <w:lang w:val="en-US" w:eastAsia="zh-CN"/>
              </w:rPr>
              <w:t>Protection standard</w:t>
            </w:r>
          </w:p>
        </w:tc>
        <w:tc>
          <w:tcPr>
            <w:tcW w:w="2911" w:type="pct"/>
            <w:vAlign w:val="center"/>
          </w:tcPr>
          <w:p w14:paraId="11568CFE">
            <w:pPr>
              <w:widowControl w:val="0"/>
              <w:snapToGrid w:val="0"/>
              <w:spacing w:line="240" w:lineRule="auto"/>
              <w:ind w:left="0" w:leftChars="0" w:right="0" w:rightChars="0" w:firstLine="0" w:firstLineChars="0"/>
              <w:jc w:val="center"/>
              <w:rPr>
                <w:rFonts w:hint="default" w:ascii="Times New Roman" w:hAnsi="Times New Roman" w:eastAsia="宋体" w:cs="Times New Roman"/>
                <w:b/>
                <w:bCs w:val="0"/>
                <w:sz w:val="24"/>
                <w:szCs w:val="24"/>
                <w:highlight w:val="none"/>
                <w:vertAlign w:val="baseline"/>
                <w:lang w:val="en-US" w:eastAsia="zh-CN"/>
              </w:rPr>
            </w:pPr>
            <w:r>
              <w:rPr>
                <w:rFonts w:hint="eastAsia" w:ascii="Times New Roman" w:hAnsi="Times New Roman" w:eastAsia="宋体" w:cs="Times New Roman"/>
                <w:b/>
                <w:bCs w:val="0"/>
                <w:sz w:val="24"/>
                <w:szCs w:val="24"/>
                <w:highlight w:val="none"/>
                <w:vertAlign w:val="baseline"/>
                <w:lang w:val="en-US" w:eastAsia="zh-CN"/>
              </w:rPr>
              <w:t>Source</w:t>
            </w:r>
          </w:p>
        </w:tc>
      </w:tr>
      <w:tr w14:paraId="2B297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pct"/>
            <w:vAlign w:val="center"/>
          </w:tcPr>
          <w:p w14:paraId="6BC45AA4">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AT</w:t>
            </w:r>
          </w:p>
        </w:tc>
        <w:tc>
          <w:tcPr>
            <w:tcW w:w="582" w:type="pct"/>
            <w:vAlign w:val="center"/>
          </w:tcPr>
          <w:p w14:paraId="4FF7625F">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default" w:ascii="Times New Roman" w:hAnsi="Times New Roman" w:cs="Times New Roman"/>
                <w:b w:val="0"/>
                <w:bCs w:val="0"/>
                <w:sz w:val="18"/>
                <w:szCs w:val="18"/>
                <w:highlight w:val="none"/>
                <w:vertAlign w:val="baseline"/>
                <w:lang w:val="en-US" w:eastAsia="zh-CN"/>
              </w:rPr>
              <w:t>Austria</w:t>
            </w:r>
          </w:p>
        </w:tc>
        <w:tc>
          <w:tcPr>
            <w:tcW w:w="703" w:type="pct"/>
            <w:vAlign w:val="center"/>
          </w:tcPr>
          <w:p w14:paraId="7A077302">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RP250</w:t>
            </w:r>
          </w:p>
        </w:tc>
        <w:tc>
          <w:tcPr>
            <w:tcW w:w="2911" w:type="pct"/>
            <w:vAlign w:val="center"/>
          </w:tcPr>
          <w:p w14:paraId="19CC1823">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Luo et al.</w:t>
            </w:r>
          </w:p>
        </w:tc>
      </w:tr>
      <w:tr w14:paraId="43715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pct"/>
            <w:vAlign w:val="center"/>
          </w:tcPr>
          <w:p w14:paraId="1C5990EA">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BE</w:t>
            </w:r>
          </w:p>
        </w:tc>
        <w:tc>
          <w:tcPr>
            <w:tcW w:w="582" w:type="pct"/>
            <w:vAlign w:val="center"/>
          </w:tcPr>
          <w:p w14:paraId="591CB9C4">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default" w:ascii="Times New Roman" w:hAnsi="Times New Roman" w:cs="Times New Roman"/>
                <w:b w:val="0"/>
                <w:bCs w:val="0"/>
                <w:sz w:val="18"/>
                <w:szCs w:val="18"/>
                <w:highlight w:val="none"/>
                <w:vertAlign w:val="baseline"/>
                <w:lang w:val="en-US" w:eastAsia="zh-CN"/>
              </w:rPr>
              <w:t>Belgium</w:t>
            </w:r>
          </w:p>
        </w:tc>
        <w:tc>
          <w:tcPr>
            <w:tcW w:w="703" w:type="pct"/>
            <w:vAlign w:val="center"/>
          </w:tcPr>
          <w:p w14:paraId="29B51498">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RP250</w:t>
            </w:r>
          </w:p>
        </w:tc>
        <w:tc>
          <w:tcPr>
            <w:tcW w:w="2911" w:type="pct"/>
            <w:vAlign w:val="center"/>
          </w:tcPr>
          <w:p w14:paraId="67E6B23A">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Luo et al.</w:t>
            </w:r>
          </w:p>
        </w:tc>
      </w:tr>
      <w:tr w14:paraId="5F537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pct"/>
            <w:vAlign w:val="center"/>
          </w:tcPr>
          <w:p w14:paraId="057BC541">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BG</w:t>
            </w:r>
          </w:p>
        </w:tc>
        <w:tc>
          <w:tcPr>
            <w:tcW w:w="582" w:type="pct"/>
            <w:vAlign w:val="center"/>
          </w:tcPr>
          <w:p w14:paraId="646249A2">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Bulgaria</w:t>
            </w:r>
          </w:p>
        </w:tc>
        <w:tc>
          <w:tcPr>
            <w:tcW w:w="703" w:type="pct"/>
            <w:vAlign w:val="center"/>
          </w:tcPr>
          <w:p w14:paraId="2BE0A537">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RP250</w:t>
            </w:r>
          </w:p>
        </w:tc>
        <w:tc>
          <w:tcPr>
            <w:tcW w:w="2911" w:type="pct"/>
            <w:vAlign w:val="center"/>
          </w:tcPr>
          <w:p w14:paraId="6463E9DA">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Luo et al.</w:t>
            </w:r>
          </w:p>
        </w:tc>
      </w:tr>
      <w:tr w14:paraId="2447F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pct"/>
            <w:vAlign w:val="center"/>
          </w:tcPr>
          <w:p w14:paraId="32BDC2F0">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CY</w:t>
            </w:r>
          </w:p>
        </w:tc>
        <w:tc>
          <w:tcPr>
            <w:tcW w:w="582" w:type="pct"/>
            <w:vAlign w:val="center"/>
          </w:tcPr>
          <w:p w14:paraId="272E77B3">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Cyprus</w:t>
            </w:r>
          </w:p>
        </w:tc>
        <w:tc>
          <w:tcPr>
            <w:tcW w:w="703" w:type="pct"/>
            <w:vAlign w:val="center"/>
          </w:tcPr>
          <w:p w14:paraId="32BF0B14">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RP250</w:t>
            </w:r>
          </w:p>
        </w:tc>
        <w:tc>
          <w:tcPr>
            <w:tcW w:w="2911" w:type="pct"/>
            <w:vAlign w:val="center"/>
          </w:tcPr>
          <w:p w14:paraId="2AE91C12">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Luo et al.</w:t>
            </w:r>
          </w:p>
        </w:tc>
      </w:tr>
      <w:tr w14:paraId="0DE3E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pct"/>
            <w:vAlign w:val="center"/>
          </w:tcPr>
          <w:p w14:paraId="013683AD">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CZ</w:t>
            </w:r>
          </w:p>
        </w:tc>
        <w:tc>
          <w:tcPr>
            <w:tcW w:w="582" w:type="pct"/>
            <w:vAlign w:val="center"/>
          </w:tcPr>
          <w:p w14:paraId="035AB7A1">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default" w:ascii="Times New Roman" w:hAnsi="Times New Roman" w:cs="Times New Roman"/>
                <w:b w:val="0"/>
                <w:bCs w:val="0"/>
                <w:sz w:val="18"/>
                <w:szCs w:val="18"/>
                <w:highlight w:val="none"/>
                <w:vertAlign w:val="baseline"/>
                <w:lang w:val="en-US" w:eastAsia="zh-CN"/>
              </w:rPr>
              <w:t>Czech Republic</w:t>
            </w:r>
          </w:p>
        </w:tc>
        <w:tc>
          <w:tcPr>
            <w:tcW w:w="703" w:type="pct"/>
            <w:vAlign w:val="center"/>
          </w:tcPr>
          <w:p w14:paraId="75034BEB">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RP250</w:t>
            </w:r>
          </w:p>
        </w:tc>
        <w:tc>
          <w:tcPr>
            <w:tcW w:w="2911" w:type="pct"/>
            <w:vAlign w:val="center"/>
          </w:tcPr>
          <w:p w14:paraId="1463ECC8">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Luo et al.</w:t>
            </w:r>
          </w:p>
        </w:tc>
      </w:tr>
      <w:tr w14:paraId="09353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pct"/>
            <w:vAlign w:val="center"/>
          </w:tcPr>
          <w:p w14:paraId="1F607352">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DE</w:t>
            </w:r>
          </w:p>
        </w:tc>
        <w:tc>
          <w:tcPr>
            <w:tcW w:w="582" w:type="pct"/>
            <w:vAlign w:val="center"/>
          </w:tcPr>
          <w:p w14:paraId="36A27477">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default" w:ascii="Times New Roman" w:hAnsi="Times New Roman" w:cs="Times New Roman"/>
                <w:b w:val="0"/>
                <w:bCs w:val="0"/>
                <w:sz w:val="18"/>
                <w:szCs w:val="18"/>
                <w:highlight w:val="none"/>
                <w:vertAlign w:val="baseline"/>
                <w:lang w:val="en-US" w:eastAsia="zh-CN"/>
              </w:rPr>
              <w:t>Germany</w:t>
            </w:r>
          </w:p>
        </w:tc>
        <w:tc>
          <w:tcPr>
            <w:tcW w:w="703" w:type="pct"/>
            <w:vAlign w:val="center"/>
          </w:tcPr>
          <w:p w14:paraId="1A5D967B">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RP250</w:t>
            </w:r>
          </w:p>
        </w:tc>
        <w:tc>
          <w:tcPr>
            <w:tcW w:w="2911" w:type="pct"/>
            <w:vAlign w:val="center"/>
          </w:tcPr>
          <w:p w14:paraId="39B2B10A">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Luo et al.</w:t>
            </w:r>
          </w:p>
        </w:tc>
      </w:tr>
      <w:tr w14:paraId="296E7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pct"/>
            <w:vAlign w:val="center"/>
          </w:tcPr>
          <w:p w14:paraId="1244E5FF">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DK</w:t>
            </w:r>
          </w:p>
        </w:tc>
        <w:tc>
          <w:tcPr>
            <w:tcW w:w="582" w:type="pct"/>
            <w:vAlign w:val="center"/>
          </w:tcPr>
          <w:p w14:paraId="32C5F327">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Denmark</w:t>
            </w:r>
          </w:p>
        </w:tc>
        <w:tc>
          <w:tcPr>
            <w:tcW w:w="703" w:type="pct"/>
            <w:vAlign w:val="center"/>
          </w:tcPr>
          <w:p w14:paraId="1D2EE98E">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RP250</w:t>
            </w:r>
          </w:p>
        </w:tc>
        <w:tc>
          <w:tcPr>
            <w:tcW w:w="2911" w:type="pct"/>
            <w:vAlign w:val="center"/>
          </w:tcPr>
          <w:p w14:paraId="4624BD4A">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Luo et al.</w:t>
            </w:r>
          </w:p>
        </w:tc>
      </w:tr>
      <w:tr w14:paraId="7A31A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pct"/>
            <w:vAlign w:val="center"/>
          </w:tcPr>
          <w:p w14:paraId="1911D87B">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EE</w:t>
            </w:r>
          </w:p>
        </w:tc>
        <w:tc>
          <w:tcPr>
            <w:tcW w:w="582" w:type="pct"/>
            <w:vAlign w:val="center"/>
          </w:tcPr>
          <w:p w14:paraId="5AFAFDA6">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Estonia</w:t>
            </w:r>
          </w:p>
        </w:tc>
        <w:tc>
          <w:tcPr>
            <w:tcW w:w="703" w:type="pct"/>
            <w:vAlign w:val="center"/>
          </w:tcPr>
          <w:p w14:paraId="605EDC4E">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RP250</w:t>
            </w:r>
          </w:p>
        </w:tc>
        <w:tc>
          <w:tcPr>
            <w:tcW w:w="2911" w:type="pct"/>
            <w:vAlign w:val="center"/>
          </w:tcPr>
          <w:p w14:paraId="50FF2A1A">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Luo et al.</w:t>
            </w:r>
          </w:p>
        </w:tc>
      </w:tr>
      <w:tr w14:paraId="6BE5E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pct"/>
            <w:vAlign w:val="center"/>
          </w:tcPr>
          <w:p w14:paraId="23093147">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ES</w:t>
            </w:r>
          </w:p>
        </w:tc>
        <w:tc>
          <w:tcPr>
            <w:tcW w:w="582" w:type="pct"/>
            <w:vAlign w:val="center"/>
          </w:tcPr>
          <w:p w14:paraId="4AC5228A">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Spain</w:t>
            </w:r>
          </w:p>
        </w:tc>
        <w:tc>
          <w:tcPr>
            <w:tcW w:w="703" w:type="pct"/>
            <w:vAlign w:val="center"/>
          </w:tcPr>
          <w:p w14:paraId="241DD2C9">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RP250</w:t>
            </w:r>
          </w:p>
        </w:tc>
        <w:tc>
          <w:tcPr>
            <w:tcW w:w="2911" w:type="pct"/>
            <w:vAlign w:val="center"/>
          </w:tcPr>
          <w:p w14:paraId="284E6FE7">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Luo et al.</w:t>
            </w:r>
          </w:p>
        </w:tc>
      </w:tr>
      <w:tr w14:paraId="23EBF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pct"/>
            <w:vAlign w:val="center"/>
          </w:tcPr>
          <w:p w14:paraId="1F77C5CC">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FI</w:t>
            </w:r>
          </w:p>
        </w:tc>
        <w:tc>
          <w:tcPr>
            <w:tcW w:w="582" w:type="pct"/>
            <w:vAlign w:val="center"/>
          </w:tcPr>
          <w:p w14:paraId="7950769A">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Finland</w:t>
            </w:r>
          </w:p>
        </w:tc>
        <w:tc>
          <w:tcPr>
            <w:tcW w:w="703" w:type="pct"/>
            <w:vAlign w:val="center"/>
          </w:tcPr>
          <w:p w14:paraId="78FB296D">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RP250</w:t>
            </w:r>
          </w:p>
        </w:tc>
        <w:tc>
          <w:tcPr>
            <w:tcW w:w="2911" w:type="pct"/>
            <w:vAlign w:val="center"/>
          </w:tcPr>
          <w:p w14:paraId="2C2FBF4D">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Luo et al.</w:t>
            </w:r>
          </w:p>
        </w:tc>
      </w:tr>
      <w:tr w14:paraId="2040E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pct"/>
            <w:vAlign w:val="center"/>
          </w:tcPr>
          <w:p w14:paraId="1BCFF6DA">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FR</w:t>
            </w:r>
          </w:p>
        </w:tc>
        <w:tc>
          <w:tcPr>
            <w:tcW w:w="582" w:type="pct"/>
            <w:vAlign w:val="center"/>
          </w:tcPr>
          <w:p w14:paraId="4F979FE4">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France</w:t>
            </w:r>
          </w:p>
        </w:tc>
        <w:tc>
          <w:tcPr>
            <w:tcW w:w="703" w:type="pct"/>
            <w:vAlign w:val="center"/>
          </w:tcPr>
          <w:p w14:paraId="6C76EBC9">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RP250</w:t>
            </w:r>
          </w:p>
        </w:tc>
        <w:tc>
          <w:tcPr>
            <w:tcW w:w="2911" w:type="pct"/>
            <w:vAlign w:val="center"/>
          </w:tcPr>
          <w:p w14:paraId="7D4FE117">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Luo et al.</w:t>
            </w:r>
          </w:p>
        </w:tc>
      </w:tr>
      <w:tr w14:paraId="2D64D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pct"/>
            <w:vAlign w:val="center"/>
          </w:tcPr>
          <w:p w14:paraId="09F32462">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GR</w:t>
            </w:r>
          </w:p>
        </w:tc>
        <w:tc>
          <w:tcPr>
            <w:tcW w:w="582" w:type="pct"/>
            <w:vAlign w:val="center"/>
          </w:tcPr>
          <w:p w14:paraId="546FB592">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Greece</w:t>
            </w:r>
          </w:p>
        </w:tc>
        <w:tc>
          <w:tcPr>
            <w:tcW w:w="703" w:type="pct"/>
            <w:vAlign w:val="center"/>
          </w:tcPr>
          <w:p w14:paraId="1A9090F2">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RP250</w:t>
            </w:r>
          </w:p>
        </w:tc>
        <w:tc>
          <w:tcPr>
            <w:tcW w:w="2911" w:type="pct"/>
            <w:vAlign w:val="center"/>
          </w:tcPr>
          <w:p w14:paraId="3062CE50">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Luo et al.</w:t>
            </w:r>
          </w:p>
        </w:tc>
      </w:tr>
      <w:tr w14:paraId="7E765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pct"/>
            <w:vAlign w:val="center"/>
          </w:tcPr>
          <w:p w14:paraId="04681272">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HR</w:t>
            </w:r>
          </w:p>
        </w:tc>
        <w:tc>
          <w:tcPr>
            <w:tcW w:w="582" w:type="pct"/>
            <w:vAlign w:val="center"/>
          </w:tcPr>
          <w:p w14:paraId="736B07CF">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Croatia</w:t>
            </w:r>
          </w:p>
        </w:tc>
        <w:tc>
          <w:tcPr>
            <w:tcW w:w="703" w:type="pct"/>
            <w:vAlign w:val="center"/>
          </w:tcPr>
          <w:p w14:paraId="1A547639">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RP250</w:t>
            </w:r>
          </w:p>
        </w:tc>
        <w:tc>
          <w:tcPr>
            <w:tcW w:w="2911" w:type="pct"/>
            <w:vAlign w:val="center"/>
          </w:tcPr>
          <w:p w14:paraId="5F00DE4E">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Luo et al.</w:t>
            </w:r>
          </w:p>
        </w:tc>
      </w:tr>
      <w:tr w14:paraId="361BD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pct"/>
            <w:vAlign w:val="center"/>
          </w:tcPr>
          <w:p w14:paraId="4B155674">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HU</w:t>
            </w:r>
          </w:p>
        </w:tc>
        <w:tc>
          <w:tcPr>
            <w:tcW w:w="582" w:type="pct"/>
            <w:vAlign w:val="center"/>
          </w:tcPr>
          <w:p w14:paraId="6C1505B7">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Hungary</w:t>
            </w:r>
          </w:p>
        </w:tc>
        <w:tc>
          <w:tcPr>
            <w:tcW w:w="703" w:type="pct"/>
            <w:vAlign w:val="center"/>
          </w:tcPr>
          <w:p w14:paraId="55CC172B">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RP250</w:t>
            </w:r>
          </w:p>
        </w:tc>
        <w:tc>
          <w:tcPr>
            <w:tcW w:w="2911" w:type="pct"/>
            <w:vAlign w:val="center"/>
          </w:tcPr>
          <w:p w14:paraId="7323BF45">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Luo et al.</w:t>
            </w:r>
          </w:p>
        </w:tc>
      </w:tr>
      <w:tr w14:paraId="03C6E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pct"/>
            <w:vAlign w:val="center"/>
          </w:tcPr>
          <w:p w14:paraId="1D7DEFC8">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IE</w:t>
            </w:r>
          </w:p>
        </w:tc>
        <w:tc>
          <w:tcPr>
            <w:tcW w:w="582" w:type="pct"/>
            <w:vAlign w:val="center"/>
          </w:tcPr>
          <w:p w14:paraId="4BB81475">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Ireland</w:t>
            </w:r>
          </w:p>
        </w:tc>
        <w:tc>
          <w:tcPr>
            <w:tcW w:w="703" w:type="pct"/>
            <w:vAlign w:val="center"/>
          </w:tcPr>
          <w:p w14:paraId="1409EAEA">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RP250</w:t>
            </w:r>
          </w:p>
        </w:tc>
        <w:tc>
          <w:tcPr>
            <w:tcW w:w="2911" w:type="pct"/>
            <w:vAlign w:val="center"/>
          </w:tcPr>
          <w:p w14:paraId="79E0DEA4">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Luo et al.</w:t>
            </w:r>
          </w:p>
        </w:tc>
      </w:tr>
      <w:tr w14:paraId="73086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pct"/>
            <w:vAlign w:val="center"/>
          </w:tcPr>
          <w:p w14:paraId="57687864">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IT</w:t>
            </w:r>
          </w:p>
        </w:tc>
        <w:tc>
          <w:tcPr>
            <w:tcW w:w="582" w:type="pct"/>
            <w:vAlign w:val="center"/>
          </w:tcPr>
          <w:p w14:paraId="65F0CE61">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Italy</w:t>
            </w:r>
          </w:p>
        </w:tc>
        <w:tc>
          <w:tcPr>
            <w:tcW w:w="703" w:type="pct"/>
            <w:vAlign w:val="center"/>
          </w:tcPr>
          <w:p w14:paraId="5AF89111">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RP250</w:t>
            </w:r>
          </w:p>
        </w:tc>
        <w:tc>
          <w:tcPr>
            <w:tcW w:w="2911" w:type="pct"/>
            <w:vAlign w:val="center"/>
          </w:tcPr>
          <w:p w14:paraId="233581E0">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Luo et al.</w:t>
            </w:r>
          </w:p>
        </w:tc>
      </w:tr>
      <w:tr w14:paraId="4B727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pct"/>
            <w:vAlign w:val="center"/>
          </w:tcPr>
          <w:p w14:paraId="156DAF1F">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LT</w:t>
            </w:r>
          </w:p>
        </w:tc>
        <w:tc>
          <w:tcPr>
            <w:tcW w:w="582" w:type="pct"/>
            <w:vAlign w:val="center"/>
          </w:tcPr>
          <w:p w14:paraId="73653321">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Lithuania</w:t>
            </w:r>
          </w:p>
        </w:tc>
        <w:tc>
          <w:tcPr>
            <w:tcW w:w="703" w:type="pct"/>
            <w:vAlign w:val="center"/>
          </w:tcPr>
          <w:p w14:paraId="392BB744">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RP250</w:t>
            </w:r>
          </w:p>
        </w:tc>
        <w:tc>
          <w:tcPr>
            <w:tcW w:w="2911" w:type="pct"/>
            <w:vAlign w:val="center"/>
          </w:tcPr>
          <w:p w14:paraId="70AE0D43">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Luo et al.</w:t>
            </w:r>
          </w:p>
        </w:tc>
      </w:tr>
      <w:tr w14:paraId="5BA3C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pct"/>
            <w:vAlign w:val="center"/>
          </w:tcPr>
          <w:p w14:paraId="0F67DB69">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LU</w:t>
            </w:r>
          </w:p>
        </w:tc>
        <w:tc>
          <w:tcPr>
            <w:tcW w:w="582" w:type="pct"/>
            <w:vAlign w:val="center"/>
          </w:tcPr>
          <w:p w14:paraId="142FB3EE">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default" w:ascii="Times New Roman" w:hAnsi="Times New Roman" w:cs="Times New Roman"/>
                <w:b w:val="0"/>
                <w:bCs w:val="0"/>
                <w:sz w:val="18"/>
                <w:szCs w:val="18"/>
                <w:highlight w:val="none"/>
                <w:vertAlign w:val="baseline"/>
                <w:lang w:val="en-US" w:eastAsia="zh-CN"/>
              </w:rPr>
              <w:t>Luxembourg</w:t>
            </w:r>
          </w:p>
        </w:tc>
        <w:tc>
          <w:tcPr>
            <w:tcW w:w="703" w:type="pct"/>
            <w:vAlign w:val="center"/>
          </w:tcPr>
          <w:p w14:paraId="245B77C0">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RP250</w:t>
            </w:r>
          </w:p>
        </w:tc>
        <w:tc>
          <w:tcPr>
            <w:tcW w:w="2911" w:type="pct"/>
            <w:vAlign w:val="center"/>
          </w:tcPr>
          <w:p w14:paraId="29D1E76D">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Luo et al.</w:t>
            </w:r>
          </w:p>
        </w:tc>
      </w:tr>
      <w:tr w14:paraId="04715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pct"/>
            <w:vAlign w:val="center"/>
          </w:tcPr>
          <w:p w14:paraId="676370D9">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LV</w:t>
            </w:r>
          </w:p>
        </w:tc>
        <w:tc>
          <w:tcPr>
            <w:tcW w:w="582" w:type="pct"/>
            <w:vAlign w:val="center"/>
          </w:tcPr>
          <w:p w14:paraId="6D6DB437">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default" w:ascii="Times New Roman" w:hAnsi="Times New Roman" w:cs="Times New Roman"/>
                <w:b w:val="0"/>
                <w:bCs w:val="0"/>
                <w:sz w:val="18"/>
                <w:szCs w:val="18"/>
                <w:highlight w:val="none"/>
                <w:vertAlign w:val="baseline"/>
                <w:lang w:val="en-US" w:eastAsia="zh-CN"/>
              </w:rPr>
              <w:t>Latvia</w:t>
            </w:r>
          </w:p>
        </w:tc>
        <w:tc>
          <w:tcPr>
            <w:tcW w:w="703" w:type="pct"/>
            <w:vAlign w:val="center"/>
          </w:tcPr>
          <w:p w14:paraId="1B664548">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RP250</w:t>
            </w:r>
          </w:p>
        </w:tc>
        <w:tc>
          <w:tcPr>
            <w:tcW w:w="2911" w:type="pct"/>
            <w:vAlign w:val="center"/>
          </w:tcPr>
          <w:p w14:paraId="483F62C1">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Luo et al.</w:t>
            </w:r>
          </w:p>
        </w:tc>
      </w:tr>
      <w:tr w14:paraId="51F4E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pct"/>
            <w:vAlign w:val="center"/>
          </w:tcPr>
          <w:p w14:paraId="28AA9955">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MT</w:t>
            </w:r>
          </w:p>
        </w:tc>
        <w:tc>
          <w:tcPr>
            <w:tcW w:w="582" w:type="pct"/>
            <w:vAlign w:val="center"/>
          </w:tcPr>
          <w:p w14:paraId="5AEE133A">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default" w:ascii="Times New Roman" w:hAnsi="Times New Roman" w:cs="Times New Roman"/>
                <w:b w:val="0"/>
                <w:bCs w:val="0"/>
                <w:sz w:val="18"/>
                <w:szCs w:val="18"/>
                <w:highlight w:val="none"/>
                <w:vertAlign w:val="baseline"/>
                <w:lang w:val="en-US" w:eastAsia="zh-CN"/>
              </w:rPr>
              <w:t>Malta</w:t>
            </w:r>
          </w:p>
        </w:tc>
        <w:tc>
          <w:tcPr>
            <w:tcW w:w="703" w:type="pct"/>
            <w:vAlign w:val="center"/>
          </w:tcPr>
          <w:p w14:paraId="1C041F26">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RP250</w:t>
            </w:r>
          </w:p>
        </w:tc>
        <w:tc>
          <w:tcPr>
            <w:tcW w:w="2911" w:type="pct"/>
            <w:vAlign w:val="center"/>
          </w:tcPr>
          <w:p w14:paraId="28E66298">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Luo et al.</w:t>
            </w:r>
          </w:p>
        </w:tc>
      </w:tr>
      <w:tr w14:paraId="1413C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pct"/>
            <w:vAlign w:val="center"/>
          </w:tcPr>
          <w:p w14:paraId="269006D4">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NL</w:t>
            </w:r>
          </w:p>
        </w:tc>
        <w:tc>
          <w:tcPr>
            <w:tcW w:w="582" w:type="pct"/>
            <w:vAlign w:val="center"/>
          </w:tcPr>
          <w:p w14:paraId="328F24B6">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default" w:ascii="Times New Roman" w:hAnsi="Times New Roman" w:cs="Times New Roman"/>
                <w:b w:val="0"/>
                <w:bCs w:val="0"/>
                <w:sz w:val="18"/>
                <w:szCs w:val="18"/>
                <w:highlight w:val="none"/>
                <w:vertAlign w:val="baseline"/>
                <w:lang w:val="en-US" w:eastAsia="zh-CN"/>
              </w:rPr>
              <w:t>Netherlands</w:t>
            </w:r>
          </w:p>
        </w:tc>
        <w:tc>
          <w:tcPr>
            <w:tcW w:w="703" w:type="pct"/>
            <w:vAlign w:val="center"/>
          </w:tcPr>
          <w:p w14:paraId="6E917D55">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RP250</w:t>
            </w:r>
          </w:p>
        </w:tc>
        <w:tc>
          <w:tcPr>
            <w:tcW w:w="2911" w:type="pct"/>
            <w:vAlign w:val="center"/>
          </w:tcPr>
          <w:p w14:paraId="73CDBB50">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Luo et al.</w:t>
            </w:r>
          </w:p>
        </w:tc>
      </w:tr>
      <w:tr w14:paraId="6CA4A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pct"/>
            <w:vAlign w:val="center"/>
          </w:tcPr>
          <w:p w14:paraId="7684EDC6">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PL</w:t>
            </w:r>
          </w:p>
        </w:tc>
        <w:tc>
          <w:tcPr>
            <w:tcW w:w="582" w:type="pct"/>
            <w:vAlign w:val="center"/>
          </w:tcPr>
          <w:p w14:paraId="77B044A7">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default" w:ascii="Times New Roman" w:hAnsi="Times New Roman" w:cs="Times New Roman"/>
                <w:b w:val="0"/>
                <w:bCs w:val="0"/>
                <w:sz w:val="18"/>
                <w:szCs w:val="18"/>
                <w:highlight w:val="none"/>
                <w:vertAlign w:val="baseline"/>
                <w:lang w:val="en-US" w:eastAsia="zh-CN"/>
              </w:rPr>
              <w:t>Poland</w:t>
            </w:r>
          </w:p>
        </w:tc>
        <w:tc>
          <w:tcPr>
            <w:tcW w:w="703" w:type="pct"/>
            <w:vAlign w:val="center"/>
          </w:tcPr>
          <w:p w14:paraId="0FD6DFE8">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RP250</w:t>
            </w:r>
          </w:p>
        </w:tc>
        <w:tc>
          <w:tcPr>
            <w:tcW w:w="2911" w:type="pct"/>
            <w:vAlign w:val="center"/>
          </w:tcPr>
          <w:p w14:paraId="21C2CA02">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Luo et al.</w:t>
            </w:r>
          </w:p>
        </w:tc>
      </w:tr>
      <w:tr w14:paraId="0E551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pct"/>
            <w:vAlign w:val="center"/>
          </w:tcPr>
          <w:p w14:paraId="6E056577">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PT</w:t>
            </w:r>
          </w:p>
        </w:tc>
        <w:tc>
          <w:tcPr>
            <w:tcW w:w="582" w:type="pct"/>
            <w:vAlign w:val="center"/>
          </w:tcPr>
          <w:p w14:paraId="51854DA2">
            <w:pPr>
              <w:widowControl w:val="0"/>
              <w:tabs>
                <w:tab w:val="left" w:pos="354"/>
              </w:tabs>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Portugal</w:t>
            </w:r>
          </w:p>
        </w:tc>
        <w:tc>
          <w:tcPr>
            <w:tcW w:w="703" w:type="pct"/>
            <w:vAlign w:val="center"/>
          </w:tcPr>
          <w:p w14:paraId="07B9CEF3">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RP250</w:t>
            </w:r>
          </w:p>
        </w:tc>
        <w:tc>
          <w:tcPr>
            <w:tcW w:w="2911" w:type="pct"/>
            <w:vAlign w:val="center"/>
          </w:tcPr>
          <w:p w14:paraId="3A00E89C">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Luo et al.</w:t>
            </w:r>
          </w:p>
        </w:tc>
      </w:tr>
      <w:tr w14:paraId="13B58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pct"/>
            <w:vAlign w:val="center"/>
          </w:tcPr>
          <w:p w14:paraId="6A904154">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RO</w:t>
            </w:r>
          </w:p>
        </w:tc>
        <w:tc>
          <w:tcPr>
            <w:tcW w:w="582" w:type="pct"/>
            <w:vAlign w:val="center"/>
          </w:tcPr>
          <w:p w14:paraId="411069D6">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default" w:ascii="Times New Roman" w:hAnsi="Times New Roman" w:cs="Times New Roman"/>
                <w:b w:val="0"/>
                <w:bCs w:val="0"/>
                <w:sz w:val="18"/>
                <w:szCs w:val="18"/>
                <w:highlight w:val="none"/>
                <w:vertAlign w:val="baseline"/>
                <w:lang w:val="en-US" w:eastAsia="zh-CN"/>
              </w:rPr>
              <w:t>Romania</w:t>
            </w:r>
          </w:p>
        </w:tc>
        <w:tc>
          <w:tcPr>
            <w:tcW w:w="703" w:type="pct"/>
            <w:vAlign w:val="center"/>
          </w:tcPr>
          <w:p w14:paraId="44B3A81E">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RP250</w:t>
            </w:r>
          </w:p>
        </w:tc>
        <w:tc>
          <w:tcPr>
            <w:tcW w:w="2911" w:type="pct"/>
            <w:vAlign w:val="center"/>
          </w:tcPr>
          <w:p w14:paraId="0EEB1DD4">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Luo et al.</w:t>
            </w:r>
          </w:p>
        </w:tc>
      </w:tr>
      <w:tr w14:paraId="69F85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pct"/>
            <w:vAlign w:val="center"/>
          </w:tcPr>
          <w:p w14:paraId="6B7E7C58">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SE</w:t>
            </w:r>
          </w:p>
        </w:tc>
        <w:tc>
          <w:tcPr>
            <w:tcW w:w="582" w:type="pct"/>
            <w:vAlign w:val="center"/>
          </w:tcPr>
          <w:p w14:paraId="6759FF36">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default" w:ascii="Times New Roman" w:hAnsi="Times New Roman" w:cs="Times New Roman"/>
                <w:b w:val="0"/>
                <w:bCs w:val="0"/>
                <w:sz w:val="18"/>
                <w:szCs w:val="18"/>
                <w:highlight w:val="none"/>
                <w:vertAlign w:val="baseline"/>
                <w:lang w:val="en-US" w:eastAsia="zh-CN"/>
              </w:rPr>
              <w:t>Sweden</w:t>
            </w:r>
          </w:p>
        </w:tc>
        <w:tc>
          <w:tcPr>
            <w:tcW w:w="703" w:type="pct"/>
            <w:vAlign w:val="center"/>
          </w:tcPr>
          <w:p w14:paraId="1A268989">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RP250</w:t>
            </w:r>
          </w:p>
        </w:tc>
        <w:tc>
          <w:tcPr>
            <w:tcW w:w="2911" w:type="pct"/>
            <w:vAlign w:val="center"/>
          </w:tcPr>
          <w:p w14:paraId="150E0B96">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Luo et al.</w:t>
            </w:r>
          </w:p>
        </w:tc>
      </w:tr>
      <w:tr w14:paraId="7123B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pct"/>
            <w:vAlign w:val="center"/>
          </w:tcPr>
          <w:p w14:paraId="4F160620">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SI</w:t>
            </w:r>
          </w:p>
        </w:tc>
        <w:tc>
          <w:tcPr>
            <w:tcW w:w="582" w:type="pct"/>
            <w:vAlign w:val="center"/>
          </w:tcPr>
          <w:p w14:paraId="3778A72A">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default" w:ascii="Times New Roman" w:hAnsi="Times New Roman" w:cs="Times New Roman"/>
                <w:b w:val="0"/>
                <w:bCs w:val="0"/>
                <w:sz w:val="18"/>
                <w:szCs w:val="18"/>
                <w:highlight w:val="none"/>
                <w:vertAlign w:val="baseline"/>
                <w:lang w:val="en-US" w:eastAsia="zh-CN"/>
              </w:rPr>
              <w:t>Slovenia</w:t>
            </w:r>
          </w:p>
        </w:tc>
        <w:tc>
          <w:tcPr>
            <w:tcW w:w="703" w:type="pct"/>
            <w:vAlign w:val="center"/>
          </w:tcPr>
          <w:p w14:paraId="1B630E60">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RP250</w:t>
            </w:r>
          </w:p>
        </w:tc>
        <w:tc>
          <w:tcPr>
            <w:tcW w:w="2911" w:type="pct"/>
            <w:vAlign w:val="center"/>
          </w:tcPr>
          <w:p w14:paraId="763074EC">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Luo et al.</w:t>
            </w:r>
          </w:p>
        </w:tc>
      </w:tr>
      <w:tr w14:paraId="71074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pct"/>
            <w:vAlign w:val="center"/>
          </w:tcPr>
          <w:p w14:paraId="00F17880">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SK</w:t>
            </w:r>
          </w:p>
        </w:tc>
        <w:tc>
          <w:tcPr>
            <w:tcW w:w="582" w:type="pct"/>
            <w:vAlign w:val="center"/>
          </w:tcPr>
          <w:p w14:paraId="6185C02F">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default" w:ascii="Times New Roman" w:hAnsi="Times New Roman" w:cs="Times New Roman"/>
                <w:b w:val="0"/>
                <w:bCs w:val="0"/>
                <w:sz w:val="18"/>
                <w:szCs w:val="18"/>
                <w:highlight w:val="none"/>
                <w:vertAlign w:val="baseline"/>
                <w:lang w:val="en-US" w:eastAsia="zh-CN"/>
              </w:rPr>
              <w:t>Slovakia</w:t>
            </w:r>
          </w:p>
        </w:tc>
        <w:tc>
          <w:tcPr>
            <w:tcW w:w="703" w:type="pct"/>
            <w:vAlign w:val="center"/>
          </w:tcPr>
          <w:p w14:paraId="3255A9CF">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RP250</w:t>
            </w:r>
          </w:p>
        </w:tc>
        <w:tc>
          <w:tcPr>
            <w:tcW w:w="2911" w:type="pct"/>
            <w:vAlign w:val="center"/>
          </w:tcPr>
          <w:p w14:paraId="2FF2C052">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Luo et al.</w:t>
            </w:r>
          </w:p>
        </w:tc>
      </w:tr>
      <w:tr w14:paraId="531C2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pct"/>
            <w:vAlign w:val="center"/>
          </w:tcPr>
          <w:p w14:paraId="52D0F1E3">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GB</w:t>
            </w:r>
          </w:p>
        </w:tc>
        <w:tc>
          <w:tcPr>
            <w:tcW w:w="582" w:type="pct"/>
            <w:vAlign w:val="center"/>
          </w:tcPr>
          <w:p w14:paraId="644D358D">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default" w:ascii="Times New Roman" w:hAnsi="Times New Roman" w:cs="Times New Roman"/>
                <w:b w:val="0"/>
                <w:bCs w:val="0"/>
                <w:sz w:val="18"/>
                <w:szCs w:val="18"/>
                <w:highlight w:val="none"/>
                <w:vertAlign w:val="baseline"/>
                <w:lang w:val="en-US" w:eastAsia="zh-CN"/>
              </w:rPr>
              <w:t>United Kingdom</w:t>
            </w:r>
          </w:p>
        </w:tc>
        <w:tc>
          <w:tcPr>
            <w:tcW w:w="703" w:type="pct"/>
            <w:vAlign w:val="center"/>
          </w:tcPr>
          <w:p w14:paraId="65FF707B">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RP250</w:t>
            </w:r>
          </w:p>
        </w:tc>
        <w:tc>
          <w:tcPr>
            <w:tcW w:w="2911" w:type="pct"/>
            <w:vAlign w:val="center"/>
          </w:tcPr>
          <w:p w14:paraId="606424BB">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Luo et al.</w:t>
            </w:r>
          </w:p>
        </w:tc>
      </w:tr>
      <w:tr w14:paraId="1F2F2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pct"/>
            <w:vAlign w:val="center"/>
          </w:tcPr>
          <w:p w14:paraId="3149D7D1">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CH</w:t>
            </w:r>
          </w:p>
        </w:tc>
        <w:tc>
          <w:tcPr>
            <w:tcW w:w="582" w:type="pct"/>
            <w:vAlign w:val="center"/>
          </w:tcPr>
          <w:p w14:paraId="439A9703">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default" w:ascii="Times New Roman" w:hAnsi="Times New Roman" w:cs="Times New Roman"/>
                <w:b w:val="0"/>
                <w:bCs w:val="0"/>
                <w:sz w:val="18"/>
                <w:szCs w:val="18"/>
                <w:highlight w:val="none"/>
                <w:vertAlign w:val="baseline"/>
                <w:lang w:val="en-US" w:eastAsia="zh-CN"/>
              </w:rPr>
              <w:t>Switzerland</w:t>
            </w:r>
          </w:p>
        </w:tc>
        <w:tc>
          <w:tcPr>
            <w:tcW w:w="703" w:type="pct"/>
            <w:vAlign w:val="center"/>
          </w:tcPr>
          <w:p w14:paraId="747FE9EA">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RP250</w:t>
            </w:r>
          </w:p>
        </w:tc>
        <w:tc>
          <w:tcPr>
            <w:tcW w:w="2911" w:type="pct"/>
            <w:vAlign w:val="center"/>
          </w:tcPr>
          <w:p w14:paraId="6D4DC425">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Luo et al.</w:t>
            </w:r>
          </w:p>
        </w:tc>
      </w:tr>
      <w:tr w14:paraId="361F4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pct"/>
            <w:vAlign w:val="center"/>
          </w:tcPr>
          <w:p w14:paraId="417D232F">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NO</w:t>
            </w:r>
          </w:p>
        </w:tc>
        <w:tc>
          <w:tcPr>
            <w:tcW w:w="582" w:type="pct"/>
            <w:vAlign w:val="center"/>
          </w:tcPr>
          <w:p w14:paraId="276FE084">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Norway</w:t>
            </w:r>
          </w:p>
        </w:tc>
        <w:tc>
          <w:tcPr>
            <w:tcW w:w="703" w:type="pct"/>
            <w:vAlign w:val="center"/>
          </w:tcPr>
          <w:p w14:paraId="147D13B5">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RP250</w:t>
            </w:r>
          </w:p>
        </w:tc>
        <w:tc>
          <w:tcPr>
            <w:tcW w:w="2911" w:type="pct"/>
            <w:vAlign w:val="center"/>
          </w:tcPr>
          <w:p w14:paraId="6094E5F3">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Luo et al.</w:t>
            </w:r>
          </w:p>
        </w:tc>
      </w:tr>
      <w:tr w14:paraId="4214F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pct"/>
            <w:vAlign w:val="center"/>
          </w:tcPr>
          <w:p w14:paraId="43ACBBF3">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TR</w:t>
            </w:r>
          </w:p>
        </w:tc>
        <w:tc>
          <w:tcPr>
            <w:tcW w:w="582" w:type="pct"/>
            <w:vAlign w:val="center"/>
          </w:tcPr>
          <w:p w14:paraId="4B1F96AF">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Turkey</w:t>
            </w:r>
          </w:p>
        </w:tc>
        <w:tc>
          <w:tcPr>
            <w:tcW w:w="703" w:type="pct"/>
            <w:vAlign w:val="center"/>
          </w:tcPr>
          <w:p w14:paraId="486BD011">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FLOPROS</w:t>
            </w:r>
          </w:p>
        </w:tc>
        <w:tc>
          <w:tcPr>
            <w:tcW w:w="2911" w:type="pct"/>
            <w:vAlign w:val="center"/>
          </w:tcPr>
          <w:p w14:paraId="02F45DA4">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default" w:ascii="Times New Roman" w:hAnsi="Times New Roman" w:cs="Times New Roman"/>
                <w:b w:val="0"/>
                <w:bCs w:val="0"/>
                <w:sz w:val="18"/>
                <w:szCs w:val="18"/>
                <w:highlight w:val="none"/>
                <w:vertAlign w:val="baseline"/>
                <w:lang w:val="en-US" w:eastAsia="zh-CN"/>
              </w:rPr>
              <w:t>Scussolini</w:t>
            </w:r>
            <w:r>
              <w:rPr>
                <w:rFonts w:hint="eastAsia" w:ascii="Times New Roman" w:hAnsi="Times New Roman" w:cs="Times New Roman"/>
                <w:b w:val="0"/>
                <w:bCs w:val="0"/>
                <w:sz w:val="18"/>
                <w:szCs w:val="18"/>
                <w:highlight w:val="none"/>
                <w:vertAlign w:val="baseline"/>
                <w:lang w:val="en-US" w:eastAsia="zh-CN"/>
              </w:rPr>
              <w:t xml:space="preserve"> et al.</w:t>
            </w:r>
          </w:p>
        </w:tc>
      </w:tr>
      <w:tr w14:paraId="63DC1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pct"/>
            <w:vAlign w:val="center"/>
          </w:tcPr>
          <w:p w14:paraId="3EBEBA68">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RU</w:t>
            </w:r>
          </w:p>
        </w:tc>
        <w:tc>
          <w:tcPr>
            <w:tcW w:w="582" w:type="pct"/>
            <w:vAlign w:val="center"/>
          </w:tcPr>
          <w:p w14:paraId="2FEC6038">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Russia</w:t>
            </w:r>
          </w:p>
        </w:tc>
        <w:tc>
          <w:tcPr>
            <w:tcW w:w="703" w:type="pct"/>
            <w:vAlign w:val="center"/>
          </w:tcPr>
          <w:p w14:paraId="7B249C79">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FLOPROS</w:t>
            </w:r>
          </w:p>
        </w:tc>
        <w:tc>
          <w:tcPr>
            <w:tcW w:w="2911" w:type="pct"/>
            <w:vAlign w:val="center"/>
          </w:tcPr>
          <w:p w14:paraId="0591BEE4">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default" w:ascii="Times New Roman" w:hAnsi="Times New Roman" w:cs="Times New Roman"/>
                <w:b w:val="0"/>
                <w:bCs w:val="0"/>
                <w:sz w:val="18"/>
                <w:szCs w:val="18"/>
                <w:highlight w:val="none"/>
                <w:vertAlign w:val="baseline"/>
                <w:lang w:val="en-US" w:eastAsia="zh-CN"/>
              </w:rPr>
              <w:t>Scussolini</w:t>
            </w:r>
            <w:r>
              <w:rPr>
                <w:rFonts w:hint="eastAsia" w:ascii="Times New Roman" w:hAnsi="Times New Roman" w:cs="Times New Roman"/>
                <w:b w:val="0"/>
                <w:bCs w:val="0"/>
                <w:sz w:val="18"/>
                <w:szCs w:val="18"/>
                <w:highlight w:val="none"/>
                <w:vertAlign w:val="baseline"/>
                <w:lang w:val="en-US" w:eastAsia="zh-CN"/>
              </w:rPr>
              <w:t xml:space="preserve"> et al.</w:t>
            </w:r>
          </w:p>
        </w:tc>
      </w:tr>
      <w:tr w14:paraId="10A98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pct"/>
            <w:vAlign w:val="center"/>
          </w:tcPr>
          <w:p w14:paraId="56016878">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US</w:t>
            </w:r>
          </w:p>
        </w:tc>
        <w:tc>
          <w:tcPr>
            <w:tcW w:w="582" w:type="pct"/>
            <w:vAlign w:val="center"/>
          </w:tcPr>
          <w:p w14:paraId="57360626">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default" w:ascii="Times New Roman" w:hAnsi="Times New Roman" w:cs="Times New Roman"/>
                <w:b w:val="0"/>
                <w:bCs w:val="0"/>
                <w:sz w:val="18"/>
                <w:szCs w:val="18"/>
                <w:highlight w:val="none"/>
                <w:vertAlign w:val="baseline"/>
                <w:lang w:val="en-US" w:eastAsia="zh-CN"/>
              </w:rPr>
              <w:t>United States</w:t>
            </w:r>
          </w:p>
        </w:tc>
        <w:tc>
          <w:tcPr>
            <w:tcW w:w="703" w:type="pct"/>
            <w:vAlign w:val="center"/>
          </w:tcPr>
          <w:p w14:paraId="4846377B">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default" w:ascii="Times New Roman" w:hAnsi="Times New Roman" w:cs="Times New Roman"/>
                <w:b w:val="0"/>
                <w:bCs w:val="0"/>
                <w:sz w:val="18"/>
                <w:szCs w:val="18"/>
                <w:highlight w:val="none"/>
                <w:vertAlign w:val="baseline"/>
                <w:lang w:val="en-US" w:eastAsia="zh-CN"/>
              </w:rPr>
              <w:t>&lt;400 MW: RP100; ≥400 MW: RP500</w:t>
            </w:r>
          </w:p>
        </w:tc>
        <w:tc>
          <w:tcPr>
            <w:tcW w:w="2911" w:type="pct"/>
            <w:vAlign w:val="center"/>
          </w:tcPr>
          <w:p w14:paraId="650BB658">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default" w:ascii="Times New Roman" w:hAnsi="Times New Roman" w:cs="Times New Roman"/>
                <w:b w:val="0"/>
                <w:bCs w:val="0"/>
                <w:sz w:val="18"/>
                <w:szCs w:val="18"/>
                <w:highlight w:val="none"/>
                <w:vertAlign w:val="baseline"/>
                <w:lang w:val="en-US" w:eastAsia="zh-CN"/>
              </w:rPr>
              <w:t>https://www.ecfr.gov/current/title-44/chapter-I/subchapter-A/part-9/section-9.4</w:t>
            </w:r>
          </w:p>
        </w:tc>
      </w:tr>
      <w:tr w14:paraId="6AFA6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pct"/>
            <w:vAlign w:val="center"/>
          </w:tcPr>
          <w:p w14:paraId="2703C582">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CA</w:t>
            </w:r>
          </w:p>
        </w:tc>
        <w:tc>
          <w:tcPr>
            <w:tcW w:w="582" w:type="pct"/>
            <w:vAlign w:val="center"/>
          </w:tcPr>
          <w:p w14:paraId="2BDF96C4">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Canada</w:t>
            </w:r>
          </w:p>
        </w:tc>
        <w:tc>
          <w:tcPr>
            <w:tcW w:w="703" w:type="pct"/>
            <w:vAlign w:val="center"/>
          </w:tcPr>
          <w:p w14:paraId="660D6E65">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default" w:ascii="Times New Roman" w:hAnsi="Times New Roman" w:cs="Times New Roman"/>
                <w:b w:val="0"/>
                <w:bCs w:val="0"/>
                <w:sz w:val="18"/>
                <w:szCs w:val="18"/>
                <w:highlight w:val="none"/>
                <w:vertAlign w:val="baseline"/>
                <w:lang w:val="en-US" w:eastAsia="zh-CN"/>
              </w:rPr>
              <w:t>&lt;400 MW: RP100; ≥400 MW: RP500</w:t>
            </w:r>
          </w:p>
        </w:tc>
        <w:tc>
          <w:tcPr>
            <w:tcW w:w="2911" w:type="pct"/>
            <w:vAlign w:val="center"/>
          </w:tcPr>
          <w:p w14:paraId="6B752FA5">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default" w:ascii="Times New Roman" w:hAnsi="Times New Roman" w:cs="Times New Roman"/>
                <w:b w:val="0"/>
                <w:bCs w:val="0"/>
                <w:sz w:val="18"/>
                <w:szCs w:val="18"/>
                <w:highlight w:val="none"/>
                <w:vertAlign w:val="baseline"/>
                <w:lang w:val="en-US" w:eastAsia="zh-CN"/>
              </w:rPr>
              <w:t>https://www.genevaassociation.org/sites/default/files/frm_canada_web.pdf</w:t>
            </w:r>
          </w:p>
        </w:tc>
      </w:tr>
      <w:tr w14:paraId="7B310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pct"/>
            <w:vAlign w:val="center"/>
          </w:tcPr>
          <w:p w14:paraId="5A02CCD3">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CN</w:t>
            </w:r>
          </w:p>
        </w:tc>
        <w:tc>
          <w:tcPr>
            <w:tcW w:w="582" w:type="pct"/>
            <w:vAlign w:val="center"/>
          </w:tcPr>
          <w:p w14:paraId="4B0A5721">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China</w:t>
            </w:r>
          </w:p>
        </w:tc>
        <w:tc>
          <w:tcPr>
            <w:tcW w:w="703" w:type="pct"/>
            <w:vAlign w:val="center"/>
          </w:tcPr>
          <w:p w14:paraId="04BD22B5">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default" w:ascii="Times New Roman" w:hAnsi="Times New Roman" w:cs="Times New Roman"/>
                <w:b w:val="0"/>
                <w:bCs w:val="0"/>
                <w:sz w:val="18"/>
                <w:szCs w:val="18"/>
                <w:highlight w:val="none"/>
                <w:vertAlign w:val="baseline"/>
                <w:lang w:val="en-US" w:eastAsia="zh-CN"/>
              </w:rPr>
              <w:t>&lt;400 MW: RP50; ≥400 MW: RP100</w:t>
            </w:r>
          </w:p>
        </w:tc>
        <w:tc>
          <w:tcPr>
            <w:tcW w:w="2911" w:type="pct"/>
            <w:vAlign w:val="center"/>
          </w:tcPr>
          <w:p w14:paraId="1D2EDC98">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default" w:ascii="Times New Roman" w:hAnsi="Times New Roman" w:cs="Times New Roman"/>
                <w:b w:val="0"/>
                <w:bCs w:val="0"/>
                <w:sz w:val="18"/>
                <w:szCs w:val="18"/>
                <w:highlight w:val="none"/>
                <w:vertAlign w:val="baseline"/>
                <w:lang w:val="en-US" w:eastAsia="zh-CN"/>
              </w:rPr>
              <w:t>https://www.mohurd.gov.cn/gongkai/zc/wjk/art/2015/art_17339_224218.html</w:t>
            </w:r>
          </w:p>
        </w:tc>
      </w:tr>
      <w:tr w14:paraId="1AF52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pct"/>
            <w:vAlign w:val="center"/>
          </w:tcPr>
          <w:p w14:paraId="042CD8CD">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IN</w:t>
            </w:r>
          </w:p>
        </w:tc>
        <w:tc>
          <w:tcPr>
            <w:tcW w:w="582" w:type="pct"/>
            <w:vAlign w:val="center"/>
          </w:tcPr>
          <w:p w14:paraId="3403050A">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India</w:t>
            </w:r>
          </w:p>
        </w:tc>
        <w:tc>
          <w:tcPr>
            <w:tcW w:w="703" w:type="pct"/>
            <w:vAlign w:val="center"/>
          </w:tcPr>
          <w:p w14:paraId="7EBBB9CA">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RP50</w:t>
            </w:r>
          </w:p>
        </w:tc>
        <w:tc>
          <w:tcPr>
            <w:tcW w:w="2911" w:type="pct"/>
            <w:vAlign w:val="center"/>
          </w:tcPr>
          <w:p w14:paraId="33A16A5C">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default" w:ascii="Times New Roman" w:hAnsi="Times New Roman" w:cs="Times New Roman"/>
                <w:b w:val="0"/>
                <w:bCs w:val="0"/>
                <w:sz w:val="18"/>
                <w:szCs w:val="18"/>
                <w:highlight w:val="none"/>
                <w:vertAlign w:val="baseline"/>
                <w:lang w:val="en-US" w:eastAsia="zh-CN"/>
              </w:rPr>
              <w:t>https://www.cbip.org/cearegulations/CEA%20DATA/ConstructionRegulations/ConstructionRegulation%20Cons.pdf</w:t>
            </w:r>
          </w:p>
        </w:tc>
      </w:tr>
      <w:tr w14:paraId="78F44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pct"/>
            <w:vAlign w:val="center"/>
          </w:tcPr>
          <w:p w14:paraId="3A7E765D">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JP</w:t>
            </w:r>
          </w:p>
        </w:tc>
        <w:tc>
          <w:tcPr>
            <w:tcW w:w="582" w:type="pct"/>
            <w:vAlign w:val="center"/>
          </w:tcPr>
          <w:p w14:paraId="5BFF15B8">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Japan</w:t>
            </w:r>
          </w:p>
        </w:tc>
        <w:tc>
          <w:tcPr>
            <w:tcW w:w="703" w:type="pct"/>
            <w:shd w:val="clear" w:color="auto" w:fill="auto"/>
            <w:vAlign w:val="center"/>
          </w:tcPr>
          <w:p w14:paraId="79C27BF6">
            <w:pPr>
              <w:widowControl w:val="0"/>
              <w:snapToGrid w:val="0"/>
              <w:spacing w:line="240" w:lineRule="auto"/>
              <w:ind w:left="0" w:leftChars="0" w:right="0" w:rightChars="0" w:firstLine="0" w:firstLineChars="0"/>
              <w:jc w:val="center"/>
              <w:rPr>
                <w:rFonts w:hint="default" w:ascii="Times New Roman" w:hAnsi="Times New Roman" w:cs="Times New Roman" w:eastAsiaTheme="minorEastAsia"/>
                <w:b w:val="0"/>
                <w:bCs w:val="0"/>
                <w:kern w:val="0"/>
                <w:sz w:val="18"/>
                <w:szCs w:val="18"/>
                <w:highlight w:val="none"/>
                <w:vertAlign w:val="baseline"/>
                <w:lang w:val="en-US" w:eastAsia="zh-CN" w:bidi="ar"/>
              </w:rPr>
            </w:pPr>
            <w:r>
              <w:rPr>
                <w:rFonts w:hint="eastAsia" w:ascii="Times New Roman" w:hAnsi="Times New Roman" w:cs="Times New Roman"/>
                <w:b w:val="0"/>
                <w:bCs w:val="0"/>
                <w:sz w:val="18"/>
                <w:szCs w:val="18"/>
                <w:highlight w:val="none"/>
                <w:vertAlign w:val="baseline"/>
                <w:lang w:val="en-US" w:eastAsia="zh-CN"/>
              </w:rPr>
              <w:t>FLOPROS</w:t>
            </w:r>
          </w:p>
        </w:tc>
        <w:tc>
          <w:tcPr>
            <w:tcW w:w="2911" w:type="pct"/>
            <w:shd w:val="clear" w:color="auto" w:fill="auto"/>
            <w:vAlign w:val="center"/>
          </w:tcPr>
          <w:p w14:paraId="5523ABFD">
            <w:pPr>
              <w:widowControl w:val="0"/>
              <w:snapToGrid w:val="0"/>
              <w:spacing w:line="240" w:lineRule="auto"/>
              <w:ind w:left="0" w:leftChars="0" w:right="0" w:rightChars="0" w:firstLine="0" w:firstLineChars="0"/>
              <w:jc w:val="center"/>
              <w:rPr>
                <w:rFonts w:hint="default" w:ascii="Times New Roman" w:hAnsi="Times New Roman" w:cs="Times New Roman" w:eastAsiaTheme="minorEastAsia"/>
                <w:b w:val="0"/>
                <w:bCs w:val="0"/>
                <w:kern w:val="0"/>
                <w:sz w:val="18"/>
                <w:szCs w:val="18"/>
                <w:highlight w:val="none"/>
                <w:vertAlign w:val="baseline"/>
                <w:lang w:val="en-US" w:eastAsia="zh-CN" w:bidi="ar"/>
              </w:rPr>
            </w:pPr>
            <w:r>
              <w:rPr>
                <w:rFonts w:hint="default" w:ascii="Times New Roman" w:hAnsi="Times New Roman" w:cs="Times New Roman"/>
                <w:b w:val="0"/>
                <w:bCs w:val="0"/>
                <w:sz w:val="18"/>
                <w:szCs w:val="18"/>
                <w:highlight w:val="none"/>
                <w:vertAlign w:val="baseline"/>
                <w:lang w:val="en-US" w:eastAsia="zh-CN"/>
              </w:rPr>
              <w:t>Scussolini</w:t>
            </w:r>
            <w:r>
              <w:rPr>
                <w:rFonts w:hint="eastAsia" w:ascii="Times New Roman" w:hAnsi="Times New Roman" w:cs="Times New Roman"/>
                <w:b w:val="0"/>
                <w:bCs w:val="0"/>
                <w:sz w:val="18"/>
                <w:szCs w:val="18"/>
                <w:highlight w:val="none"/>
                <w:vertAlign w:val="baseline"/>
                <w:lang w:val="en-US" w:eastAsia="zh-CN"/>
              </w:rPr>
              <w:t xml:space="preserve"> et al.</w:t>
            </w:r>
          </w:p>
        </w:tc>
      </w:tr>
      <w:tr w14:paraId="4C7D7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pct"/>
            <w:vAlign w:val="center"/>
          </w:tcPr>
          <w:p w14:paraId="454D0C61">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KR</w:t>
            </w:r>
          </w:p>
        </w:tc>
        <w:tc>
          <w:tcPr>
            <w:tcW w:w="582" w:type="pct"/>
            <w:vAlign w:val="center"/>
          </w:tcPr>
          <w:p w14:paraId="7AFB1669">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South Korea</w:t>
            </w:r>
          </w:p>
        </w:tc>
        <w:tc>
          <w:tcPr>
            <w:tcW w:w="703" w:type="pct"/>
            <w:shd w:val="clear" w:color="auto" w:fill="auto"/>
            <w:vAlign w:val="center"/>
          </w:tcPr>
          <w:p w14:paraId="5A28DEA4">
            <w:pPr>
              <w:widowControl w:val="0"/>
              <w:snapToGrid w:val="0"/>
              <w:spacing w:line="240" w:lineRule="auto"/>
              <w:ind w:left="0" w:leftChars="0" w:right="0" w:rightChars="0" w:firstLine="0" w:firstLineChars="0"/>
              <w:jc w:val="center"/>
              <w:rPr>
                <w:rFonts w:hint="default" w:ascii="Times New Roman" w:hAnsi="Times New Roman" w:cs="Times New Roman" w:eastAsiaTheme="minorEastAsia"/>
                <w:b w:val="0"/>
                <w:bCs w:val="0"/>
                <w:kern w:val="0"/>
                <w:sz w:val="18"/>
                <w:szCs w:val="18"/>
                <w:highlight w:val="none"/>
                <w:vertAlign w:val="baseline"/>
                <w:lang w:val="en-US" w:eastAsia="zh-CN" w:bidi="ar"/>
              </w:rPr>
            </w:pPr>
            <w:r>
              <w:rPr>
                <w:rFonts w:hint="eastAsia" w:ascii="Times New Roman" w:hAnsi="Times New Roman" w:cs="Times New Roman"/>
                <w:b w:val="0"/>
                <w:bCs w:val="0"/>
                <w:sz w:val="18"/>
                <w:szCs w:val="18"/>
                <w:highlight w:val="none"/>
                <w:vertAlign w:val="baseline"/>
                <w:lang w:val="en-US" w:eastAsia="zh-CN"/>
              </w:rPr>
              <w:t>FLOPROS</w:t>
            </w:r>
          </w:p>
        </w:tc>
        <w:tc>
          <w:tcPr>
            <w:tcW w:w="2911" w:type="pct"/>
            <w:shd w:val="clear" w:color="auto" w:fill="auto"/>
            <w:vAlign w:val="center"/>
          </w:tcPr>
          <w:p w14:paraId="2C1253BF">
            <w:pPr>
              <w:widowControl w:val="0"/>
              <w:snapToGrid w:val="0"/>
              <w:spacing w:line="240" w:lineRule="auto"/>
              <w:ind w:left="0" w:leftChars="0" w:right="0" w:rightChars="0" w:firstLine="0" w:firstLineChars="0"/>
              <w:jc w:val="center"/>
              <w:rPr>
                <w:rFonts w:hint="default" w:ascii="Times New Roman" w:hAnsi="Times New Roman" w:cs="Times New Roman" w:eastAsiaTheme="minorEastAsia"/>
                <w:b w:val="0"/>
                <w:bCs w:val="0"/>
                <w:kern w:val="0"/>
                <w:sz w:val="18"/>
                <w:szCs w:val="18"/>
                <w:highlight w:val="none"/>
                <w:vertAlign w:val="baseline"/>
                <w:lang w:val="en-US" w:eastAsia="zh-CN" w:bidi="ar"/>
              </w:rPr>
            </w:pPr>
            <w:r>
              <w:rPr>
                <w:rFonts w:hint="default" w:ascii="Times New Roman" w:hAnsi="Times New Roman" w:cs="Times New Roman"/>
                <w:b w:val="0"/>
                <w:bCs w:val="0"/>
                <w:sz w:val="18"/>
                <w:szCs w:val="18"/>
                <w:highlight w:val="none"/>
                <w:vertAlign w:val="baseline"/>
                <w:lang w:val="en-US" w:eastAsia="zh-CN"/>
              </w:rPr>
              <w:t>Scussolini</w:t>
            </w:r>
            <w:r>
              <w:rPr>
                <w:rFonts w:hint="eastAsia" w:ascii="Times New Roman" w:hAnsi="Times New Roman" w:cs="Times New Roman"/>
                <w:b w:val="0"/>
                <w:bCs w:val="0"/>
                <w:sz w:val="18"/>
                <w:szCs w:val="18"/>
                <w:highlight w:val="none"/>
                <w:vertAlign w:val="baseline"/>
                <w:lang w:val="en-US" w:eastAsia="zh-CN"/>
              </w:rPr>
              <w:t xml:space="preserve"> et al.</w:t>
            </w:r>
          </w:p>
        </w:tc>
      </w:tr>
      <w:tr w14:paraId="1C388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pct"/>
            <w:vAlign w:val="center"/>
          </w:tcPr>
          <w:p w14:paraId="04A42B3B">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ID</w:t>
            </w:r>
          </w:p>
        </w:tc>
        <w:tc>
          <w:tcPr>
            <w:tcW w:w="582" w:type="pct"/>
            <w:vAlign w:val="center"/>
          </w:tcPr>
          <w:p w14:paraId="5655A943">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Indonesia</w:t>
            </w:r>
          </w:p>
        </w:tc>
        <w:tc>
          <w:tcPr>
            <w:tcW w:w="703" w:type="pct"/>
            <w:shd w:val="clear" w:color="auto" w:fill="auto"/>
            <w:vAlign w:val="center"/>
          </w:tcPr>
          <w:p w14:paraId="53D3B143">
            <w:pPr>
              <w:widowControl w:val="0"/>
              <w:snapToGrid w:val="0"/>
              <w:spacing w:line="240" w:lineRule="auto"/>
              <w:ind w:left="0" w:leftChars="0" w:right="0" w:rightChars="0" w:firstLine="0" w:firstLineChars="0"/>
              <w:jc w:val="center"/>
              <w:rPr>
                <w:rFonts w:hint="default" w:ascii="Times New Roman" w:hAnsi="Times New Roman" w:cs="Times New Roman" w:eastAsiaTheme="minorEastAsia"/>
                <w:b w:val="0"/>
                <w:bCs w:val="0"/>
                <w:kern w:val="0"/>
                <w:sz w:val="18"/>
                <w:szCs w:val="18"/>
                <w:highlight w:val="none"/>
                <w:vertAlign w:val="baseline"/>
                <w:lang w:val="en-US" w:eastAsia="zh-CN" w:bidi="ar"/>
              </w:rPr>
            </w:pPr>
            <w:r>
              <w:rPr>
                <w:rFonts w:hint="eastAsia" w:ascii="Times New Roman" w:hAnsi="Times New Roman" w:cs="Times New Roman"/>
                <w:b w:val="0"/>
                <w:bCs w:val="0"/>
                <w:sz w:val="18"/>
                <w:szCs w:val="18"/>
                <w:highlight w:val="none"/>
                <w:vertAlign w:val="baseline"/>
                <w:lang w:val="en-US" w:eastAsia="zh-CN"/>
              </w:rPr>
              <w:t>FLOPROS</w:t>
            </w:r>
          </w:p>
        </w:tc>
        <w:tc>
          <w:tcPr>
            <w:tcW w:w="2911" w:type="pct"/>
            <w:shd w:val="clear" w:color="auto" w:fill="auto"/>
            <w:vAlign w:val="center"/>
          </w:tcPr>
          <w:p w14:paraId="5322D3B4">
            <w:pPr>
              <w:widowControl w:val="0"/>
              <w:snapToGrid w:val="0"/>
              <w:spacing w:line="240" w:lineRule="auto"/>
              <w:ind w:left="0" w:leftChars="0" w:right="0" w:rightChars="0" w:firstLine="0" w:firstLineChars="0"/>
              <w:jc w:val="center"/>
              <w:rPr>
                <w:rFonts w:hint="default" w:ascii="Times New Roman" w:hAnsi="Times New Roman" w:cs="Times New Roman" w:eastAsiaTheme="minorEastAsia"/>
                <w:b w:val="0"/>
                <w:bCs w:val="0"/>
                <w:kern w:val="0"/>
                <w:sz w:val="18"/>
                <w:szCs w:val="18"/>
                <w:highlight w:val="none"/>
                <w:vertAlign w:val="baseline"/>
                <w:lang w:val="en-US" w:eastAsia="zh-CN" w:bidi="ar"/>
              </w:rPr>
            </w:pPr>
            <w:r>
              <w:rPr>
                <w:rFonts w:hint="default" w:ascii="Times New Roman" w:hAnsi="Times New Roman" w:cs="Times New Roman"/>
                <w:b w:val="0"/>
                <w:bCs w:val="0"/>
                <w:sz w:val="18"/>
                <w:szCs w:val="18"/>
                <w:highlight w:val="none"/>
                <w:vertAlign w:val="baseline"/>
                <w:lang w:val="en-US" w:eastAsia="zh-CN"/>
              </w:rPr>
              <w:t>Scussolini</w:t>
            </w:r>
            <w:r>
              <w:rPr>
                <w:rFonts w:hint="eastAsia" w:ascii="Times New Roman" w:hAnsi="Times New Roman" w:cs="Times New Roman"/>
                <w:b w:val="0"/>
                <w:bCs w:val="0"/>
                <w:sz w:val="18"/>
                <w:szCs w:val="18"/>
                <w:highlight w:val="none"/>
                <w:vertAlign w:val="baseline"/>
                <w:lang w:val="en-US" w:eastAsia="zh-CN"/>
              </w:rPr>
              <w:t xml:space="preserve"> et al.</w:t>
            </w:r>
          </w:p>
        </w:tc>
      </w:tr>
      <w:tr w14:paraId="0F3FB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pct"/>
            <w:vAlign w:val="center"/>
          </w:tcPr>
          <w:p w14:paraId="7E32B5AC">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TW</w:t>
            </w:r>
          </w:p>
        </w:tc>
        <w:tc>
          <w:tcPr>
            <w:tcW w:w="582" w:type="pct"/>
            <w:vAlign w:val="center"/>
          </w:tcPr>
          <w:p w14:paraId="1F5F889A">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Taiwan Province, China</w:t>
            </w:r>
          </w:p>
        </w:tc>
        <w:tc>
          <w:tcPr>
            <w:tcW w:w="703" w:type="pct"/>
            <w:shd w:val="clear" w:color="auto" w:fill="auto"/>
            <w:vAlign w:val="center"/>
          </w:tcPr>
          <w:p w14:paraId="106D85DD">
            <w:pPr>
              <w:widowControl w:val="0"/>
              <w:snapToGrid w:val="0"/>
              <w:spacing w:line="240" w:lineRule="auto"/>
              <w:ind w:left="0" w:leftChars="0" w:right="0" w:rightChars="0" w:firstLine="0" w:firstLineChars="0"/>
              <w:jc w:val="center"/>
              <w:rPr>
                <w:rFonts w:hint="default" w:ascii="Times New Roman" w:hAnsi="Times New Roman" w:cs="Times New Roman" w:eastAsiaTheme="minorEastAsia"/>
                <w:b w:val="0"/>
                <w:bCs w:val="0"/>
                <w:kern w:val="0"/>
                <w:sz w:val="18"/>
                <w:szCs w:val="18"/>
                <w:highlight w:val="none"/>
                <w:vertAlign w:val="baseline"/>
                <w:lang w:val="en-US" w:eastAsia="zh-CN" w:bidi="ar"/>
              </w:rPr>
            </w:pPr>
            <w:r>
              <w:rPr>
                <w:rFonts w:hint="eastAsia" w:ascii="Times New Roman" w:hAnsi="Times New Roman" w:cs="Times New Roman"/>
                <w:b w:val="0"/>
                <w:bCs w:val="0"/>
                <w:sz w:val="18"/>
                <w:szCs w:val="18"/>
                <w:highlight w:val="none"/>
                <w:vertAlign w:val="baseline"/>
                <w:lang w:val="en-US" w:eastAsia="zh-CN"/>
              </w:rPr>
              <w:t>FLOPROS</w:t>
            </w:r>
          </w:p>
        </w:tc>
        <w:tc>
          <w:tcPr>
            <w:tcW w:w="2911" w:type="pct"/>
            <w:shd w:val="clear" w:color="auto" w:fill="auto"/>
            <w:vAlign w:val="center"/>
          </w:tcPr>
          <w:p w14:paraId="0576F0B9">
            <w:pPr>
              <w:widowControl w:val="0"/>
              <w:snapToGrid w:val="0"/>
              <w:spacing w:line="240" w:lineRule="auto"/>
              <w:ind w:left="0" w:leftChars="0" w:right="0" w:rightChars="0" w:firstLine="0" w:firstLineChars="0"/>
              <w:jc w:val="center"/>
              <w:rPr>
                <w:rFonts w:hint="default" w:ascii="Times New Roman" w:hAnsi="Times New Roman" w:cs="Times New Roman" w:eastAsiaTheme="minorEastAsia"/>
                <w:b w:val="0"/>
                <w:bCs w:val="0"/>
                <w:kern w:val="0"/>
                <w:sz w:val="18"/>
                <w:szCs w:val="18"/>
                <w:highlight w:val="none"/>
                <w:vertAlign w:val="baseline"/>
                <w:lang w:val="en-US" w:eastAsia="zh-CN" w:bidi="ar"/>
              </w:rPr>
            </w:pPr>
            <w:r>
              <w:rPr>
                <w:rFonts w:hint="default" w:ascii="Times New Roman" w:hAnsi="Times New Roman" w:cs="Times New Roman"/>
                <w:b w:val="0"/>
                <w:bCs w:val="0"/>
                <w:sz w:val="18"/>
                <w:szCs w:val="18"/>
                <w:highlight w:val="none"/>
                <w:vertAlign w:val="baseline"/>
                <w:lang w:val="en-US" w:eastAsia="zh-CN"/>
              </w:rPr>
              <w:t>Scussolini</w:t>
            </w:r>
            <w:r>
              <w:rPr>
                <w:rFonts w:hint="eastAsia" w:ascii="Times New Roman" w:hAnsi="Times New Roman" w:cs="Times New Roman"/>
                <w:b w:val="0"/>
                <w:bCs w:val="0"/>
                <w:sz w:val="18"/>
                <w:szCs w:val="18"/>
                <w:highlight w:val="none"/>
                <w:vertAlign w:val="baseline"/>
                <w:lang w:val="en-US" w:eastAsia="zh-CN"/>
              </w:rPr>
              <w:t xml:space="preserve"> et al.</w:t>
            </w:r>
          </w:p>
        </w:tc>
      </w:tr>
      <w:tr w14:paraId="2AA13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pct"/>
            <w:vAlign w:val="center"/>
          </w:tcPr>
          <w:p w14:paraId="3C6E52C2">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AU</w:t>
            </w:r>
          </w:p>
        </w:tc>
        <w:tc>
          <w:tcPr>
            <w:tcW w:w="582" w:type="pct"/>
            <w:vAlign w:val="center"/>
          </w:tcPr>
          <w:p w14:paraId="1D112F50">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default" w:ascii="Times New Roman" w:hAnsi="Times New Roman" w:cs="Times New Roman"/>
                <w:b w:val="0"/>
                <w:bCs w:val="0"/>
                <w:sz w:val="18"/>
                <w:szCs w:val="18"/>
                <w:highlight w:val="none"/>
                <w:vertAlign w:val="baseline"/>
                <w:lang w:val="en-US" w:eastAsia="zh-CN"/>
              </w:rPr>
              <w:t>Australia</w:t>
            </w:r>
          </w:p>
        </w:tc>
        <w:tc>
          <w:tcPr>
            <w:tcW w:w="703" w:type="pct"/>
            <w:vAlign w:val="center"/>
          </w:tcPr>
          <w:p w14:paraId="043C6D8A">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RP200</w:t>
            </w:r>
          </w:p>
        </w:tc>
        <w:tc>
          <w:tcPr>
            <w:tcW w:w="2911" w:type="pct"/>
            <w:vAlign w:val="center"/>
          </w:tcPr>
          <w:p w14:paraId="2D32978A">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default" w:ascii="Times New Roman" w:hAnsi="Times New Roman" w:cs="Times New Roman"/>
                <w:b w:val="0"/>
                <w:bCs w:val="0"/>
                <w:sz w:val="18"/>
                <w:szCs w:val="18"/>
                <w:highlight w:val="none"/>
                <w:vertAlign w:val="baseline"/>
                <w:lang w:val="en-US" w:eastAsia="zh-CN"/>
              </w:rPr>
              <w:t>https://www.statedevelopment.qld.gov.au/__data/assets/pdf_file/0021/33663/planning-resilient-electrical-infrastructure.pdf</w:t>
            </w:r>
          </w:p>
        </w:tc>
      </w:tr>
      <w:tr w14:paraId="4CD2A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pct"/>
            <w:vAlign w:val="center"/>
          </w:tcPr>
          <w:p w14:paraId="7CE0B0D7">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BR</w:t>
            </w:r>
          </w:p>
        </w:tc>
        <w:tc>
          <w:tcPr>
            <w:tcW w:w="582" w:type="pct"/>
            <w:vAlign w:val="center"/>
          </w:tcPr>
          <w:p w14:paraId="6D766B6B">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default" w:ascii="Times New Roman" w:hAnsi="Times New Roman" w:cs="Times New Roman"/>
                <w:b w:val="0"/>
                <w:bCs w:val="0"/>
                <w:sz w:val="18"/>
                <w:szCs w:val="18"/>
                <w:highlight w:val="none"/>
                <w:vertAlign w:val="baseline"/>
                <w:lang w:val="en-US" w:eastAsia="zh-CN"/>
              </w:rPr>
              <w:t>Brazil</w:t>
            </w:r>
          </w:p>
        </w:tc>
        <w:tc>
          <w:tcPr>
            <w:tcW w:w="703" w:type="pct"/>
            <w:vAlign w:val="center"/>
          </w:tcPr>
          <w:p w14:paraId="18D47CEB">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RP100</w:t>
            </w:r>
          </w:p>
        </w:tc>
        <w:tc>
          <w:tcPr>
            <w:tcW w:w="2911" w:type="pct"/>
            <w:vAlign w:val="center"/>
          </w:tcPr>
          <w:p w14:paraId="6D26BCD8">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Sousa et al.</w:t>
            </w:r>
          </w:p>
        </w:tc>
      </w:tr>
      <w:tr w14:paraId="69639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pct"/>
            <w:vAlign w:val="center"/>
          </w:tcPr>
          <w:p w14:paraId="3DEA8116">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MX</w:t>
            </w:r>
          </w:p>
        </w:tc>
        <w:tc>
          <w:tcPr>
            <w:tcW w:w="582" w:type="pct"/>
            <w:vAlign w:val="center"/>
          </w:tcPr>
          <w:p w14:paraId="16F43284">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Mexico</w:t>
            </w:r>
          </w:p>
        </w:tc>
        <w:tc>
          <w:tcPr>
            <w:tcW w:w="703" w:type="pct"/>
            <w:shd w:val="clear" w:color="auto" w:fill="auto"/>
            <w:vAlign w:val="center"/>
          </w:tcPr>
          <w:p w14:paraId="6A8742F0">
            <w:pPr>
              <w:widowControl w:val="0"/>
              <w:snapToGrid w:val="0"/>
              <w:spacing w:line="240" w:lineRule="auto"/>
              <w:ind w:left="0" w:leftChars="0" w:right="0" w:rightChars="0" w:firstLine="0" w:firstLineChars="0"/>
              <w:jc w:val="center"/>
              <w:rPr>
                <w:rFonts w:hint="default" w:ascii="Times New Roman" w:hAnsi="Times New Roman" w:cs="Times New Roman" w:eastAsiaTheme="minorEastAsia"/>
                <w:b w:val="0"/>
                <w:bCs w:val="0"/>
                <w:kern w:val="0"/>
                <w:sz w:val="18"/>
                <w:szCs w:val="18"/>
                <w:highlight w:val="none"/>
                <w:vertAlign w:val="baseline"/>
                <w:lang w:val="en-US" w:eastAsia="zh-CN" w:bidi="ar"/>
              </w:rPr>
            </w:pPr>
            <w:r>
              <w:rPr>
                <w:rFonts w:hint="eastAsia" w:ascii="Times New Roman" w:hAnsi="Times New Roman" w:cs="Times New Roman"/>
                <w:b w:val="0"/>
                <w:bCs w:val="0"/>
                <w:sz w:val="18"/>
                <w:szCs w:val="18"/>
                <w:highlight w:val="none"/>
                <w:vertAlign w:val="baseline"/>
                <w:lang w:val="en-US" w:eastAsia="zh-CN"/>
              </w:rPr>
              <w:t>FLOPROS</w:t>
            </w:r>
          </w:p>
        </w:tc>
        <w:tc>
          <w:tcPr>
            <w:tcW w:w="2911" w:type="pct"/>
            <w:shd w:val="clear" w:color="auto" w:fill="auto"/>
            <w:vAlign w:val="center"/>
          </w:tcPr>
          <w:p w14:paraId="6ECA80CB">
            <w:pPr>
              <w:widowControl w:val="0"/>
              <w:snapToGrid w:val="0"/>
              <w:spacing w:line="240" w:lineRule="auto"/>
              <w:ind w:left="0" w:leftChars="0" w:right="0" w:rightChars="0" w:firstLine="0" w:firstLineChars="0"/>
              <w:jc w:val="center"/>
              <w:rPr>
                <w:rFonts w:hint="default" w:ascii="Times New Roman" w:hAnsi="Times New Roman" w:cs="Times New Roman" w:eastAsiaTheme="minorEastAsia"/>
                <w:b w:val="0"/>
                <w:bCs w:val="0"/>
                <w:kern w:val="0"/>
                <w:sz w:val="18"/>
                <w:szCs w:val="18"/>
                <w:highlight w:val="none"/>
                <w:vertAlign w:val="baseline"/>
                <w:lang w:val="en-US" w:eastAsia="zh-CN" w:bidi="ar"/>
              </w:rPr>
            </w:pPr>
            <w:r>
              <w:rPr>
                <w:rFonts w:hint="default" w:ascii="Times New Roman" w:hAnsi="Times New Roman" w:cs="Times New Roman"/>
                <w:b w:val="0"/>
                <w:bCs w:val="0"/>
                <w:sz w:val="18"/>
                <w:szCs w:val="18"/>
                <w:highlight w:val="none"/>
                <w:vertAlign w:val="baseline"/>
                <w:lang w:val="en-US" w:eastAsia="zh-CN"/>
              </w:rPr>
              <w:t>Scussolini</w:t>
            </w:r>
            <w:r>
              <w:rPr>
                <w:rFonts w:hint="eastAsia" w:ascii="Times New Roman" w:hAnsi="Times New Roman" w:cs="Times New Roman"/>
                <w:b w:val="0"/>
                <w:bCs w:val="0"/>
                <w:sz w:val="18"/>
                <w:szCs w:val="18"/>
                <w:highlight w:val="none"/>
                <w:vertAlign w:val="baseline"/>
                <w:lang w:val="en-US" w:eastAsia="zh-CN"/>
              </w:rPr>
              <w:t xml:space="preserve"> et al.</w:t>
            </w:r>
          </w:p>
        </w:tc>
      </w:tr>
      <w:tr w14:paraId="5F6AE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pct"/>
            <w:vAlign w:val="center"/>
          </w:tcPr>
          <w:p w14:paraId="71280745">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ZA</w:t>
            </w:r>
          </w:p>
        </w:tc>
        <w:tc>
          <w:tcPr>
            <w:tcW w:w="582" w:type="pct"/>
            <w:vAlign w:val="center"/>
          </w:tcPr>
          <w:p w14:paraId="646A2CEF">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South Africa</w:t>
            </w:r>
          </w:p>
        </w:tc>
        <w:tc>
          <w:tcPr>
            <w:tcW w:w="703" w:type="pct"/>
            <w:vAlign w:val="center"/>
          </w:tcPr>
          <w:p w14:paraId="7C86FCED">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RP100</w:t>
            </w:r>
          </w:p>
        </w:tc>
        <w:tc>
          <w:tcPr>
            <w:tcW w:w="2911" w:type="pct"/>
            <w:vAlign w:val="center"/>
          </w:tcPr>
          <w:p w14:paraId="55404101">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default" w:ascii="Times New Roman" w:hAnsi="Times New Roman" w:cs="Times New Roman"/>
                <w:b w:val="0"/>
                <w:bCs w:val="0"/>
                <w:sz w:val="18"/>
                <w:szCs w:val="18"/>
                <w:highlight w:val="none"/>
                <w:vertAlign w:val="baseline"/>
                <w:lang w:val="en-US" w:eastAsia="zh-CN"/>
              </w:rPr>
              <w:t>https://www.eskom.co.za/eia/gx/wp-content/uploads/migrated/Nuclear-1-EIA-Documentation/Env-Impact-Report-And-Env-Man-Plan-Doc/Nuc1Vol7/E9_Position_of_1in100Floodline.pdf</w:t>
            </w:r>
          </w:p>
        </w:tc>
      </w:tr>
      <w:tr w14:paraId="2B4EA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pct"/>
            <w:vAlign w:val="center"/>
          </w:tcPr>
          <w:p w14:paraId="3C1AB44B">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WA</w:t>
            </w:r>
          </w:p>
        </w:tc>
        <w:tc>
          <w:tcPr>
            <w:tcW w:w="582" w:type="pct"/>
            <w:vAlign w:val="center"/>
          </w:tcPr>
          <w:p w14:paraId="422B0F95">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Rest of Asia and Pacific</w:t>
            </w:r>
          </w:p>
        </w:tc>
        <w:tc>
          <w:tcPr>
            <w:tcW w:w="1199" w:type="dxa"/>
            <w:vAlign w:val="center"/>
          </w:tcPr>
          <w:p w14:paraId="0D4207F0">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FLOPROS</w:t>
            </w:r>
          </w:p>
        </w:tc>
        <w:tc>
          <w:tcPr>
            <w:tcW w:w="4962" w:type="dxa"/>
            <w:vAlign w:val="center"/>
          </w:tcPr>
          <w:p w14:paraId="5AC3E639">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default" w:ascii="Times New Roman" w:hAnsi="Times New Roman" w:cs="Times New Roman"/>
                <w:b w:val="0"/>
                <w:bCs w:val="0"/>
                <w:sz w:val="18"/>
                <w:szCs w:val="18"/>
                <w:highlight w:val="none"/>
                <w:vertAlign w:val="baseline"/>
                <w:lang w:val="en-US" w:eastAsia="zh-CN"/>
              </w:rPr>
              <w:t>Scussolini</w:t>
            </w:r>
            <w:r>
              <w:rPr>
                <w:rFonts w:hint="eastAsia" w:ascii="Times New Roman" w:hAnsi="Times New Roman" w:cs="Times New Roman"/>
                <w:b w:val="0"/>
                <w:bCs w:val="0"/>
                <w:sz w:val="18"/>
                <w:szCs w:val="18"/>
                <w:highlight w:val="none"/>
                <w:vertAlign w:val="baseline"/>
                <w:lang w:val="en-US" w:eastAsia="zh-CN"/>
              </w:rPr>
              <w:t xml:space="preserve"> et al.</w:t>
            </w:r>
          </w:p>
        </w:tc>
      </w:tr>
      <w:tr w14:paraId="2CBCA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pct"/>
            <w:vAlign w:val="center"/>
          </w:tcPr>
          <w:p w14:paraId="2488AA6A">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WE</w:t>
            </w:r>
          </w:p>
        </w:tc>
        <w:tc>
          <w:tcPr>
            <w:tcW w:w="582" w:type="pct"/>
            <w:vAlign w:val="center"/>
          </w:tcPr>
          <w:p w14:paraId="7812B124">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Rest of Europe</w:t>
            </w:r>
          </w:p>
        </w:tc>
        <w:tc>
          <w:tcPr>
            <w:tcW w:w="1199" w:type="dxa"/>
            <w:vAlign w:val="center"/>
          </w:tcPr>
          <w:p w14:paraId="29ABB0B7">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FLOPROS</w:t>
            </w:r>
          </w:p>
        </w:tc>
        <w:tc>
          <w:tcPr>
            <w:tcW w:w="4962" w:type="dxa"/>
            <w:vAlign w:val="center"/>
          </w:tcPr>
          <w:p w14:paraId="4E8C0D65">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default" w:ascii="Times New Roman" w:hAnsi="Times New Roman" w:cs="Times New Roman"/>
                <w:b w:val="0"/>
                <w:bCs w:val="0"/>
                <w:sz w:val="18"/>
                <w:szCs w:val="18"/>
                <w:highlight w:val="none"/>
                <w:vertAlign w:val="baseline"/>
                <w:lang w:val="en-US" w:eastAsia="zh-CN"/>
              </w:rPr>
              <w:t>Scussolini</w:t>
            </w:r>
            <w:r>
              <w:rPr>
                <w:rFonts w:hint="eastAsia" w:ascii="Times New Roman" w:hAnsi="Times New Roman" w:cs="Times New Roman"/>
                <w:b w:val="0"/>
                <w:bCs w:val="0"/>
                <w:sz w:val="18"/>
                <w:szCs w:val="18"/>
                <w:highlight w:val="none"/>
                <w:vertAlign w:val="baseline"/>
                <w:lang w:val="en-US" w:eastAsia="zh-CN"/>
              </w:rPr>
              <w:t xml:space="preserve"> et al.</w:t>
            </w:r>
          </w:p>
        </w:tc>
      </w:tr>
      <w:tr w14:paraId="001C5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pct"/>
            <w:vAlign w:val="center"/>
          </w:tcPr>
          <w:p w14:paraId="1BA2EDB3">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WL</w:t>
            </w:r>
          </w:p>
        </w:tc>
        <w:tc>
          <w:tcPr>
            <w:tcW w:w="582" w:type="pct"/>
            <w:vAlign w:val="center"/>
          </w:tcPr>
          <w:p w14:paraId="10C7C96F">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Rest of America</w:t>
            </w:r>
          </w:p>
        </w:tc>
        <w:tc>
          <w:tcPr>
            <w:tcW w:w="1199" w:type="dxa"/>
            <w:vAlign w:val="center"/>
          </w:tcPr>
          <w:p w14:paraId="4CC0E1C1">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FLOPROS</w:t>
            </w:r>
          </w:p>
        </w:tc>
        <w:tc>
          <w:tcPr>
            <w:tcW w:w="4962" w:type="dxa"/>
            <w:vAlign w:val="center"/>
          </w:tcPr>
          <w:p w14:paraId="4077DF64">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default" w:ascii="Times New Roman" w:hAnsi="Times New Roman" w:cs="Times New Roman"/>
                <w:b w:val="0"/>
                <w:bCs w:val="0"/>
                <w:sz w:val="18"/>
                <w:szCs w:val="18"/>
                <w:highlight w:val="none"/>
                <w:vertAlign w:val="baseline"/>
                <w:lang w:val="en-US" w:eastAsia="zh-CN"/>
              </w:rPr>
              <w:t>Scussolini</w:t>
            </w:r>
            <w:r>
              <w:rPr>
                <w:rFonts w:hint="eastAsia" w:ascii="Times New Roman" w:hAnsi="Times New Roman" w:cs="Times New Roman"/>
                <w:b w:val="0"/>
                <w:bCs w:val="0"/>
                <w:sz w:val="18"/>
                <w:szCs w:val="18"/>
                <w:highlight w:val="none"/>
                <w:vertAlign w:val="baseline"/>
                <w:lang w:val="en-US" w:eastAsia="zh-CN"/>
              </w:rPr>
              <w:t xml:space="preserve"> et al.</w:t>
            </w:r>
          </w:p>
        </w:tc>
      </w:tr>
      <w:tr w14:paraId="66385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pct"/>
            <w:vAlign w:val="center"/>
          </w:tcPr>
          <w:p w14:paraId="31BBC4A0">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WF</w:t>
            </w:r>
          </w:p>
        </w:tc>
        <w:tc>
          <w:tcPr>
            <w:tcW w:w="582" w:type="pct"/>
            <w:vAlign w:val="center"/>
          </w:tcPr>
          <w:p w14:paraId="0E16C501">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Rest of Africa</w:t>
            </w:r>
          </w:p>
        </w:tc>
        <w:tc>
          <w:tcPr>
            <w:tcW w:w="1199" w:type="dxa"/>
            <w:vAlign w:val="center"/>
          </w:tcPr>
          <w:p w14:paraId="3D4E19D3">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FLOPROS</w:t>
            </w:r>
          </w:p>
        </w:tc>
        <w:tc>
          <w:tcPr>
            <w:tcW w:w="4962" w:type="dxa"/>
            <w:vAlign w:val="center"/>
          </w:tcPr>
          <w:p w14:paraId="4C576896">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default" w:ascii="Times New Roman" w:hAnsi="Times New Roman" w:cs="Times New Roman"/>
                <w:b w:val="0"/>
                <w:bCs w:val="0"/>
                <w:sz w:val="18"/>
                <w:szCs w:val="18"/>
                <w:highlight w:val="none"/>
                <w:vertAlign w:val="baseline"/>
                <w:lang w:val="en-US" w:eastAsia="zh-CN"/>
              </w:rPr>
              <w:t>Scussolini</w:t>
            </w:r>
            <w:r>
              <w:rPr>
                <w:rFonts w:hint="eastAsia" w:ascii="Times New Roman" w:hAnsi="Times New Roman" w:cs="Times New Roman"/>
                <w:b w:val="0"/>
                <w:bCs w:val="0"/>
                <w:sz w:val="18"/>
                <w:szCs w:val="18"/>
                <w:highlight w:val="none"/>
                <w:vertAlign w:val="baseline"/>
                <w:lang w:val="en-US" w:eastAsia="zh-CN"/>
              </w:rPr>
              <w:t xml:space="preserve"> et al.</w:t>
            </w:r>
          </w:p>
        </w:tc>
      </w:tr>
      <w:tr w14:paraId="2832F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pct"/>
            <w:vAlign w:val="center"/>
          </w:tcPr>
          <w:p w14:paraId="0998AB41">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WM</w:t>
            </w:r>
          </w:p>
        </w:tc>
        <w:tc>
          <w:tcPr>
            <w:tcW w:w="582" w:type="pct"/>
            <w:vAlign w:val="center"/>
          </w:tcPr>
          <w:p w14:paraId="44880520">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Rest of Middle East</w:t>
            </w:r>
          </w:p>
        </w:tc>
        <w:tc>
          <w:tcPr>
            <w:tcW w:w="1199" w:type="dxa"/>
            <w:vAlign w:val="center"/>
          </w:tcPr>
          <w:p w14:paraId="39D4E6CE">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FLOPROS</w:t>
            </w:r>
          </w:p>
        </w:tc>
        <w:tc>
          <w:tcPr>
            <w:tcW w:w="4962" w:type="dxa"/>
            <w:vAlign w:val="center"/>
          </w:tcPr>
          <w:p w14:paraId="6FEF71A8">
            <w:pPr>
              <w:widowControl w:val="0"/>
              <w:snapToGrid w:val="0"/>
              <w:spacing w:line="240" w:lineRule="auto"/>
              <w:ind w:left="0" w:leftChars="0" w:right="0" w:rightChars="0" w:firstLine="0" w:firstLineChars="0"/>
              <w:jc w:val="center"/>
              <w:rPr>
                <w:rFonts w:hint="default" w:ascii="Times New Roman" w:hAnsi="Times New Roman" w:cs="Times New Roman"/>
                <w:b w:val="0"/>
                <w:bCs w:val="0"/>
                <w:sz w:val="18"/>
                <w:szCs w:val="18"/>
                <w:highlight w:val="none"/>
                <w:vertAlign w:val="baseline"/>
                <w:lang w:val="en-US" w:eastAsia="zh-CN"/>
              </w:rPr>
            </w:pPr>
            <w:r>
              <w:rPr>
                <w:rFonts w:hint="default" w:ascii="Times New Roman" w:hAnsi="Times New Roman" w:cs="Times New Roman"/>
                <w:b w:val="0"/>
                <w:bCs w:val="0"/>
                <w:sz w:val="18"/>
                <w:szCs w:val="18"/>
                <w:highlight w:val="none"/>
                <w:vertAlign w:val="baseline"/>
                <w:lang w:val="en-US" w:eastAsia="zh-CN"/>
              </w:rPr>
              <w:t>Scussolini</w:t>
            </w:r>
            <w:r>
              <w:rPr>
                <w:rFonts w:hint="eastAsia" w:ascii="Times New Roman" w:hAnsi="Times New Roman" w:cs="Times New Roman"/>
                <w:b w:val="0"/>
                <w:bCs w:val="0"/>
                <w:sz w:val="18"/>
                <w:szCs w:val="18"/>
                <w:highlight w:val="none"/>
                <w:vertAlign w:val="baseline"/>
                <w:lang w:val="en-US" w:eastAsia="zh-CN"/>
              </w:rPr>
              <w:t xml:space="preserve"> et al.</w:t>
            </w:r>
          </w:p>
        </w:tc>
      </w:tr>
    </w:tbl>
    <w:p w14:paraId="7B95E6B4">
      <w:pPr>
        <w:rPr>
          <w:rFonts w:hint="default" w:ascii="Times New Roman" w:hAnsi="Times New Roman" w:cs="Times New Roman"/>
          <w:b/>
          <w:bCs/>
          <w:sz w:val="28"/>
          <w:szCs w:val="36"/>
          <w:lang w:val="en-US" w:eastAsia="zh-CN"/>
        </w:rPr>
        <w:sectPr>
          <w:pgSz w:w="11906" w:h="16838"/>
          <w:pgMar w:top="1440" w:right="1800" w:bottom="1440" w:left="1800" w:header="851" w:footer="992" w:gutter="0"/>
          <w:cols w:space="425" w:num="1"/>
          <w:docGrid w:type="lines" w:linePitch="312" w:charSpace="0"/>
        </w:sectPr>
      </w:pPr>
    </w:p>
    <w:p w14:paraId="0A68105B">
      <w:pPr>
        <w:spacing w:line="360" w:lineRule="auto"/>
        <w:jc w:val="both"/>
        <w:rPr>
          <w:rFonts w:hint="eastAsia" w:ascii="Times New Roman" w:hAnsi="Times New Roman" w:cs="Times New Roman"/>
          <w:b/>
          <w:bCs/>
          <w:sz w:val="24"/>
          <w:szCs w:val="24"/>
          <w:highlight w:val="none"/>
          <w:lang w:val="en-US" w:eastAsia="zh-CN"/>
        </w:rPr>
      </w:pPr>
      <w:r>
        <w:rPr>
          <w:rFonts w:hint="default" w:ascii="Times New Roman" w:hAnsi="Times New Roman" w:cs="Times New Roman"/>
          <w:b/>
          <w:bCs/>
          <w:sz w:val="24"/>
          <w:szCs w:val="24"/>
          <w:highlight w:val="none"/>
          <w:lang w:val="en-US" w:eastAsia="zh-CN"/>
        </w:rPr>
        <w:t xml:space="preserve">Supplementary </w:t>
      </w:r>
      <w:r>
        <w:rPr>
          <w:rFonts w:hint="eastAsia" w:ascii="Times New Roman" w:hAnsi="Times New Roman" w:cs="Times New Roman"/>
          <w:b/>
          <w:bCs/>
          <w:sz w:val="24"/>
          <w:szCs w:val="24"/>
          <w:highlight w:val="none"/>
          <w:lang w:val="en-US" w:eastAsia="zh-CN"/>
        </w:rPr>
        <w:t>Table</w:t>
      </w:r>
      <w:r>
        <w:rPr>
          <w:rFonts w:hint="default" w:ascii="Times New Roman" w:hAnsi="Times New Roman" w:cs="Times New Roman"/>
          <w:b/>
          <w:bCs/>
          <w:sz w:val="24"/>
          <w:szCs w:val="24"/>
          <w:highlight w:val="none"/>
          <w:lang w:val="en-US" w:eastAsia="zh-CN"/>
        </w:rPr>
        <w:t xml:space="preserve">. </w:t>
      </w:r>
      <w:r>
        <w:rPr>
          <w:rFonts w:hint="eastAsia" w:ascii="Times New Roman" w:hAnsi="Times New Roman" w:cs="Times New Roman"/>
          <w:b/>
          <w:bCs/>
          <w:sz w:val="24"/>
          <w:szCs w:val="24"/>
          <w:highlight w:val="none"/>
          <w:lang w:val="en-US" w:eastAsia="zh-CN"/>
        </w:rPr>
        <w:t>2 | An empirical flood depth disruption function for FPPs.</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5E045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14:paraId="542D465F">
            <w:pPr>
              <w:widowControl w:val="0"/>
              <w:spacing w:line="360" w:lineRule="auto"/>
              <w:jc w:val="center"/>
              <w:rPr>
                <w:rFonts w:hint="default" w:ascii="Times New Roman" w:hAnsi="Times New Roman" w:cs="Times New Roman"/>
                <w:b/>
                <w:bCs/>
                <w:sz w:val="24"/>
                <w:szCs w:val="24"/>
                <w:vertAlign w:val="baseline"/>
                <w:lang w:val="en-US" w:eastAsia="zh-CN"/>
              </w:rPr>
            </w:pPr>
            <w:r>
              <w:rPr>
                <w:rFonts w:hint="eastAsia" w:ascii="Times New Roman" w:hAnsi="Times New Roman" w:cs="Times New Roman"/>
                <w:b/>
                <w:bCs/>
                <w:sz w:val="24"/>
                <w:szCs w:val="24"/>
                <w:vertAlign w:val="baseline"/>
                <w:lang w:val="en-US" w:eastAsia="zh-CN"/>
              </w:rPr>
              <w:t>Threshold</w:t>
            </w:r>
          </w:p>
        </w:tc>
        <w:tc>
          <w:tcPr>
            <w:tcW w:w="2130" w:type="dxa"/>
            <w:vAlign w:val="center"/>
          </w:tcPr>
          <w:p w14:paraId="77481AEB">
            <w:pPr>
              <w:widowControl w:val="0"/>
              <w:spacing w:line="360" w:lineRule="auto"/>
              <w:jc w:val="center"/>
              <w:rPr>
                <w:rFonts w:hint="default" w:ascii="Times New Roman" w:hAnsi="Times New Roman" w:cs="Times New Roman"/>
                <w:b/>
                <w:bCs/>
                <w:sz w:val="24"/>
                <w:szCs w:val="24"/>
                <w:vertAlign w:val="baseline"/>
                <w:lang w:val="en-US" w:eastAsia="zh-CN"/>
              </w:rPr>
            </w:pPr>
            <w:r>
              <w:rPr>
                <w:rFonts w:hint="eastAsia" w:ascii="Times New Roman" w:hAnsi="Times New Roman" w:cs="Times New Roman"/>
                <w:b/>
                <w:bCs/>
                <w:sz w:val="24"/>
                <w:szCs w:val="24"/>
                <w:vertAlign w:val="baseline"/>
                <w:lang w:val="en-US" w:eastAsia="zh-CN"/>
              </w:rPr>
              <w:t>Threshold notes</w:t>
            </w:r>
          </w:p>
        </w:tc>
        <w:tc>
          <w:tcPr>
            <w:tcW w:w="2131" w:type="dxa"/>
            <w:vAlign w:val="center"/>
          </w:tcPr>
          <w:p w14:paraId="1BC8A2AC">
            <w:pPr>
              <w:widowControl w:val="0"/>
              <w:spacing w:line="360" w:lineRule="auto"/>
              <w:jc w:val="center"/>
              <w:rPr>
                <w:rFonts w:hint="default" w:ascii="Times New Roman" w:hAnsi="Times New Roman" w:cs="Times New Roman"/>
                <w:b/>
                <w:bCs/>
                <w:sz w:val="24"/>
                <w:szCs w:val="24"/>
                <w:vertAlign w:val="baseline"/>
                <w:lang w:val="en-US" w:eastAsia="zh-CN"/>
              </w:rPr>
            </w:pPr>
            <w:r>
              <w:rPr>
                <w:rFonts w:hint="default" w:ascii="Times New Roman" w:hAnsi="Times New Roman" w:cs="Times New Roman"/>
                <w:b/>
                <w:bCs/>
                <w:sz w:val="24"/>
                <w:szCs w:val="24"/>
                <w:vertAlign w:val="baseline"/>
                <w:lang w:val="en-US" w:eastAsia="zh-CN"/>
              </w:rPr>
              <w:t>Vulnerability</w:t>
            </w:r>
          </w:p>
        </w:tc>
        <w:tc>
          <w:tcPr>
            <w:tcW w:w="2131" w:type="dxa"/>
            <w:vAlign w:val="center"/>
          </w:tcPr>
          <w:p w14:paraId="3A488BF1">
            <w:pPr>
              <w:widowControl w:val="0"/>
              <w:spacing w:line="360" w:lineRule="auto"/>
              <w:jc w:val="center"/>
              <w:rPr>
                <w:rFonts w:hint="default" w:ascii="Times New Roman" w:hAnsi="Times New Roman" w:cs="Times New Roman"/>
                <w:b/>
                <w:bCs/>
                <w:sz w:val="24"/>
                <w:szCs w:val="24"/>
                <w:vertAlign w:val="baseline"/>
                <w:lang w:val="en-US" w:eastAsia="zh-CN"/>
              </w:rPr>
            </w:pPr>
            <w:r>
              <w:rPr>
                <w:rFonts w:hint="default" w:ascii="Times New Roman" w:hAnsi="Times New Roman" w:cs="Times New Roman"/>
                <w:b/>
                <w:bCs/>
                <w:sz w:val="24"/>
                <w:szCs w:val="24"/>
                <w:vertAlign w:val="baseline"/>
                <w:lang w:val="en-US" w:eastAsia="zh-CN"/>
              </w:rPr>
              <w:t>Vulnerability</w:t>
            </w:r>
            <w:r>
              <w:rPr>
                <w:rFonts w:hint="eastAsia" w:ascii="Times New Roman" w:hAnsi="Times New Roman" w:cs="Times New Roman"/>
                <w:b/>
                <w:bCs/>
                <w:sz w:val="24"/>
                <w:szCs w:val="24"/>
                <w:vertAlign w:val="baseline"/>
                <w:lang w:val="en-US" w:eastAsia="zh-CN"/>
              </w:rPr>
              <w:t xml:space="preserve"> notes</w:t>
            </w:r>
          </w:p>
        </w:tc>
      </w:tr>
      <w:tr w14:paraId="0ED4F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14:paraId="1CD5A4D5">
            <w:pPr>
              <w:widowControl w:val="0"/>
              <w:spacing w:line="360" w:lineRule="auto"/>
              <w:jc w:val="center"/>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0</w:t>
            </w:r>
          </w:p>
        </w:tc>
        <w:tc>
          <w:tcPr>
            <w:tcW w:w="2130" w:type="dxa"/>
            <w:vAlign w:val="center"/>
          </w:tcPr>
          <w:p w14:paraId="3705570B">
            <w:pPr>
              <w:widowControl w:val="0"/>
              <w:spacing w:line="36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Flood water depth (meters)</w:t>
            </w:r>
          </w:p>
        </w:tc>
        <w:tc>
          <w:tcPr>
            <w:tcW w:w="2131" w:type="dxa"/>
            <w:vAlign w:val="center"/>
          </w:tcPr>
          <w:p w14:paraId="6A8F48AC">
            <w:pPr>
              <w:widowControl w:val="0"/>
              <w:spacing w:line="360" w:lineRule="auto"/>
              <w:jc w:val="center"/>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0</w:t>
            </w:r>
          </w:p>
        </w:tc>
        <w:tc>
          <w:tcPr>
            <w:tcW w:w="2131" w:type="dxa"/>
            <w:vAlign w:val="center"/>
          </w:tcPr>
          <w:p w14:paraId="0EDF93B3">
            <w:pPr>
              <w:widowControl w:val="0"/>
              <w:spacing w:line="36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days of disruption</w:t>
            </w:r>
          </w:p>
        </w:tc>
      </w:tr>
      <w:tr w14:paraId="57FC3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14:paraId="1DB9CF66">
            <w:pPr>
              <w:widowControl w:val="0"/>
              <w:spacing w:line="360" w:lineRule="auto"/>
              <w:jc w:val="center"/>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0.1</w:t>
            </w:r>
          </w:p>
        </w:tc>
        <w:tc>
          <w:tcPr>
            <w:tcW w:w="2130" w:type="dxa"/>
            <w:vAlign w:val="center"/>
          </w:tcPr>
          <w:p w14:paraId="2F1ADF3A">
            <w:pPr>
              <w:widowControl w:val="0"/>
              <w:spacing w:line="36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Flood water depth (meters)</w:t>
            </w:r>
          </w:p>
        </w:tc>
        <w:tc>
          <w:tcPr>
            <w:tcW w:w="2131" w:type="dxa"/>
            <w:vAlign w:val="center"/>
          </w:tcPr>
          <w:p w14:paraId="1B06C9CD">
            <w:pPr>
              <w:widowControl w:val="0"/>
              <w:spacing w:line="360" w:lineRule="auto"/>
              <w:jc w:val="center"/>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1</w:t>
            </w:r>
          </w:p>
        </w:tc>
        <w:tc>
          <w:tcPr>
            <w:tcW w:w="2131" w:type="dxa"/>
            <w:vAlign w:val="center"/>
          </w:tcPr>
          <w:p w14:paraId="2686ADAB">
            <w:pPr>
              <w:widowControl w:val="0"/>
              <w:spacing w:line="36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days of disruption</w:t>
            </w:r>
          </w:p>
        </w:tc>
      </w:tr>
      <w:tr w14:paraId="0A880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14:paraId="7E8B064A">
            <w:pPr>
              <w:widowControl w:val="0"/>
              <w:spacing w:line="360" w:lineRule="auto"/>
              <w:jc w:val="center"/>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0.2</w:t>
            </w:r>
          </w:p>
        </w:tc>
        <w:tc>
          <w:tcPr>
            <w:tcW w:w="2130" w:type="dxa"/>
            <w:vAlign w:val="center"/>
          </w:tcPr>
          <w:p w14:paraId="4CC91562">
            <w:pPr>
              <w:widowControl w:val="0"/>
              <w:spacing w:line="36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Flood water depth (meters)</w:t>
            </w:r>
          </w:p>
        </w:tc>
        <w:tc>
          <w:tcPr>
            <w:tcW w:w="2131" w:type="dxa"/>
            <w:vAlign w:val="center"/>
          </w:tcPr>
          <w:p w14:paraId="071E7409">
            <w:pPr>
              <w:widowControl w:val="0"/>
              <w:spacing w:line="360" w:lineRule="auto"/>
              <w:jc w:val="center"/>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2</w:t>
            </w:r>
          </w:p>
        </w:tc>
        <w:tc>
          <w:tcPr>
            <w:tcW w:w="2131" w:type="dxa"/>
            <w:vAlign w:val="center"/>
          </w:tcPr>
          <w:p w14:paraId="47AD2129">
            <w:pPr>
              <w:widowControl w:val="0"/>
              <w:spacing w:line="36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days of disruption</w:t>
            </w:r>
          </w:p>
        </w:tc>
      </w:tr>
      <w:tr w14:paraId="1C30C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14:paraId="00561056">
            <w:pPr>
              <w:widowControl w:val="0"/>
              <w:spacing w:line="360" w:lineRule="auto"/>
              <w:jc w:val="center"/>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0.3</w:t>
            </w:r>
          </w:p>
        </w:tc>
        <w:tc>
          <w:tcPr>
            <w:tcW w:w="2130" w:type="dxa"/>
            <w:vAlign w:val="center"/>
          </w:tcPr>
          <w:p w14:paraId="2859CEB4">
            <w:pPr>
              <w:widowControl w:val="0"/>
              <w:spacing w:line="36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Flood water depth (meters)</w:t>
            </w:r>
          </w:p>
        </w:tc>
        <w:tc>
          <w:tcPr>
            <w:tcW w:w="2131" w:type="dxa"/>
            <w:vAlign w:val="center"/>
          </w:tcPr>
          <w:p w14:paraId="0884F62E">
            <w:pPr>
              <w:widowControl w:val="0"/>
              <w:spacing w:line="360" w:lineRule="auto"/>
              <w:jc w:val="center"/>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7</w:t>
            </w:r>
          </w:p>
        </w:tc>
        <w:tc>
          <w:tcPr>
            <w:tcW w:w="2131" w:type="dxa"/>
            <w:vAlign w:val="center"/>
          </w:tcPr>
          <w:p w14:paraId="40260B0F">
            <w:pPr>
              <w:widowControl w:val="0"/>
              <w:spacing w:line="36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days of disruption</w:t>
            </w:r>
          </w:p>
        </w:tc>
      </w:tr>
      <w:tr w14:paraId="76BF7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14:paraId="463516BD">
            <w:pPr>
              <w:widowControl w:val="0"/>
              <w:spacing w:line="360" w:lineRule="auto"/>
              <w:jc w:val="center"/>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0.4</w:t>
            </w:r>
          </w:p>
        </w:tc>
        <w:tc>
          <w:tcPr>
            <w:tcW w:w="2130" w:type="dxa"/>
            <w:vAlign w:val="center"/>
          </w:tcPr>
          <w:p w14:paraId="365D6D04">
            <w:pPr>
              <w:widowControl w:val="0"/>
              <w:spacing w:line="36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Flood water depth (meters)</w:t>
            </w:r>
          </w:p>
        </w:tc>
        <w:tc>
          <w:tcPr>
            <w:tcW w:w="2131" w:type="dxa"/>
            <w:vAlign w:val="center"/>
          </w:tcPr>
          <w:p w14:paraId="0461E9D8">
            <w:pPr>
              <w:widowControl w:val="0"/>
              <w:spacing w:line="360" w:lineRule="auto"/>
              <w:jc w:val="center"/>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14</w:t>
            </w:r>
          </w:p>
        </w:tc>
        <w:tc>
          <w:tcPr>
            <w:tcW w:w="2131" w:type="dxa"/>
            <w:vAlign w:val="center"/>
          </w:tcPr>
          <w:p w14:paraId="210E902D">
            <w:pPr>
              <w:widowControl w:val="0"/>
              <w:spacing w:line="36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days of disruption</w:t>
            </w:r>
          </w:p>
        </w:tc>
      </w:tr>
      <w:tr w14:paraId="4C9B9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14:paraId="0898E5E1">
            <w:pPr>
              <w:widowControl w:val="0"/>
              <w:spacing w:line="360" w:lineRule="auto"/>
              <w:jc w:val="center"/>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0.5</w:t>
            </w:r>
          </w:p>
        </w:tc>
        <w:tc>
          <w:tcPr>
            <w:tcW w:w="2130" w:type="dxa"/>
            <w:vAlign w:val="center"/>
          </w:tcPr>
          <w:p w14:paraId="32E7D50A">
            <w:pPr>
              <w:widowControl w:val="0"/>
              <w:spacing w:line="36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Flood water depth (meters)</w:t>
            </w:r>
          </w:p>
        </w:tc>
        <w:tc>
          <w:tcPr>
            <w:tcW w:w="2131" w:type="dxa"/>
            <w:vAlign w:val="center"/>
          </w:tcPr>
          <w:p w14:paraId="60FF37C7">
            <w:pPr>
              <w:widowControl w:val="0"/>
              <w:spacing w:line="360" w:lineRule="auto"/>
              <w:jc w:val="center"/>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30</w:t>
            </w:r>
          </w:p>
        </w:tc>
        <w:tc>
          <w:tcPr>
            <w:tcW w:w="2131" w:type="dxa"/>
            <w:vAlign w:val="center"/>
          </w:tcPr>
          <w:p w14:paraId="0C59E92A">
            <w:pPr>
              <w:widowControl w:val="0"/>
              <w:spacing w:line="36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days of disruption</w:t>
            </w:r>
          </w:p>
        </w:tc>
      </w:tr>
      <w:tr w14:paraId="779E5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14:paraId="670330CB">
            <w:pPr>
              <w:widowControl w:val="0"/>
              <w:spacing w:line="360" w:lineRule="auto"/>
              <w:jc w:val="center"/>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0.6</w:t>
            </w:r>
          </w:p>
        </w:tc>
        <w:tc>
          <w:tcPr>
            <w:tcW w:w="2130" w:type="dxa"/>
            <w:vAlign w:val="center"/>
          </w:tcPr>
          <w:p w14:paraId="3F076DB8">
            <w:pPr>
              <w:widowControl w:val="0"/>
              <w:spacing w:line="36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Flood water depth (meters)</w:t>
            </w:r>
          </w:p>
        </w:tc>
        <w:tc>
          <w:tcPr>
            <w:tcW w:w="2131" w:type="dxa"/>
            <w:vAlign w:val="center"/>
          </w:tcPr>
          <w:p w14:paraId="33BFAE2B">
            <w:pPr>
              <w:widowControl w:val="0"/>
              <w:spacing w:line="360" w:lineRule="auto"/>
              <w:jc w:val="center"/>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60</w:t>
            </w:r>
          </w:p>
        </w:tc>
        <w:tc>
          <w:tcPr>
            <w:tcW w:w="2131" w:type="dxa"/>
            <w:vAlign w:val="center"/>
          </w:tcPr>
          <w:p w14:paraId="13D4D079">
            <w:pPr>
              <w:widowControl w:val="0"/>
              <w:spacing w:line="36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days of disruption</w:t>
            </w:r>
          </w:p>
        </w:tc>
      </w:tr>
      <w:tr w14:paraId="012AC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14:paraId="093DBDB2">
            <w:pPr>
              <w:widowControl w:val="0"/>
              <w:spacing w:line="360" w:lineRule="auto"/>
              <w:jc w:val="center"/>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0.7</w:t>
            </w:r>
          </w:p>
        </w:tc>
        <w:tc>
          <w:tcPr>
            <w:tcW w:w="2130" w:type="dxa"/>
            <w:vAlign w:val="center"/>
          </w:tcPr>
          <w:p w14:paraId="5D92E318">
            <w:pPr>
              <w:widowControl w:val="0"/>
              <w:spacing w:line="36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Flood water depth (meters)</w:t>
            </w:r>
          </w:p>
        </w:tc>
        <w:tc>
          <w:tcPr>
            <w:tcW w:w="2131" w:type="dxa"/>
            <w:vAlign w:val="center"/>
          </w:tcPr>
          <w:p w14:paraId="06072A1A">
            <w:pPr>
              <w:widowControl w:val="0"/>
              <w:spacing w:line="360" w:lineRule="auto"/>
              <w:jc w:val="center"/>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180</w:t>
            </w:r>
          </w:p>
        </w:tc>
        <w:tc>
          <w:tcPr>
            <w:tcW w:w="2131" w:type="dxa"/>
            <w:vAlign w:val="center"/>
          </w:tcPr>
          <w:p w14:paraId="75B9E77A">
            <w:pPr>
              <w:widowControl w:val="0"/>
              <w:spacing w:line="36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days of disruption</w:t>
            </w:r>
          </w:p>
        </w:tc>
      </w:tr>
      <w:tr w14:paraId="71428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14:paraId="3815F954">
            <w:pPr>
              <w:widowControl w:val="0"/>
              <w:spacing w:line="360" w:lineRule="auto"/>
              <w:jc w:val="center"/>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1</w:t>
            </w:r>
          </w:p>
        </w:tc>
        <w:tc>
          <w:tcPr>
            <w:tcW w:w="2130" w:type="dxa"/>
            <w:vAlign w:val="center"/>
          </w:tcPr>
          <w:p w14:paraId="0DC4EE01">
            <w:pPr>
              <w:widowControl w:val="0"/>
              <w:spacing w:line="36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Flood water depth (meters)</w:t>
            </w:r>
          </w:p>
        </w:tc>
        <w:tc>
          <w:tcPr>
            <w:tcW w:w="2131" w:type="dxa"/>
            <w:vAlign w:val="center"/>
          </w:tcPr>
          <w:p w14:paraId="03528EEA">
            <w:pPr>
              <w:widowControl w:val="0"/>
              <w:spacing w:line="360" w:lineRule="auto"/>
              <w:jc w:val="center"/>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365</w:t>
            </w:r>
          </w:p>
        </w:tc>
        <w:tc>
          <w:tcPr>
            <w:tcW w:w="2131" w:type="dxa"/>
            <w:vAlign w:val="center"/>
          </w:tcPr>
          <w:p w14:paraId="376E1663">
            <w:pPr>
              <w:widowControl w:val="0"/>
              <w:spacing w:line="36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days of disruption</w:t>
            </w:r>
          </w:p>
        </w:tc>
      </w:tr>
    </w:tbl>
    <w:p w14:paraId="0643D2B4">
      <w:pPr>
        <w:rPr>
          <w:rFonts w:hint="default" w:ascii="Times New Roman" w:hAnsi="Times New Roman" w:cs="Times New Roman"/>
          <w:b/>
          <w:bCs/>
          <w:sz w:val="28"/>
          <w:szCs w:val="36"/>
          <w:lang w:val="en-US" w:eastAsia="zh-CN"/>
        </w:rPr>
        <w:sectPr>
          <w:pgSz w:w="11906" w:h="16838"/>
          <w:pgMar w:top="1440" w:right="1800" w:bottom="1440" w:left="1800" w:header="851" w:footer="992" w:gutter="0"/>
          <w:cols w:space="425" w:num="1"/>
          <w:docGrid w:type="lines" w:linePitch="312" w:charSpace="0"/>
        </w:sectPr>
      </w:pPr>
    </w:p>
    <w:p w14:paraId="18D95C6E">
      <w:pPr>
        <w:spacing w:line="360" w:lineRule="auto"/>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5266690" cy="6320155"/>
            <wp:effectExtent l="0" t="0" r="3810" b="4445"/>
            <wp:docPr id="2" name="图片 2" descr="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11"/>
                    <pic:cNvPicPr>
                      <a:picLocks noChangeAspect="1"/>
                    </pic:cNvPicPr>
                  </pic:nvPicPr>
                  <pic:blipFill>
                    <a:blip r:embed="rId5"/>
                    <a:stretch>
                      <a:fillRect/>
                    </a:stretch>
                  </pic:blipFill>
                  <pic:spPr>
                    <a:xfrm>
                      <a:off x="0" y="0"/>
                      <a:ext cx="5266690" cy="6320155"/>
                    </a:xfrm>
                    <a:prstGeom prst="rect">
                      <a:avLst/>
                    </a:prstGeom>
                  </pic:spPr>
                </pic:pic>
              </a:graphicData>
            </a:graphic>
          </wp:inline>
        </w:drawing>
      </w:r>
    </w:p>
    <w:p w14:paraId="1AB81EA2">
      <w:pPr>
        <w:spacing w:line="360" w:lineRule="auto"/>
        <w:jc w:val="both"/>
        <w:rPr>
          <w:rFonts w:hint="default" w:ascii="Times New Roman" w:hAnsi="Times New Roman" w:cs="Times New Roman"/>
          <w:sz w:val="24"/>
          <w:szCs w:val="24"/>
          <w:lang w:val="en-US" w:eastAsia="zh-CN"/>
        </w:rPr>
      </w:pPr>
    </w:p>
    <w:p w14:paraId="38ED02C6">
      <w:pPr>
        <w:spacing w:line="360" w:lineRule="auto"/>
        <w:jc w:val="both"/>
        <w:rPr>
          <w:rFonts w:hint="default" w:ascii="Times New Roman" w:hAnsi="Times New Roman" w:cs="Times New Roman"/>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Times New Roman" w:hAnsi="Times New Roman" w:cs="Times New Roman"/>
          <w:b/>
          <w:bCs/>
          <w:sz w:val="24"/>
          <w:szCs w:val="24"/>
          <w:lang w:val="en-US" w:eastAsia="zh-CN"/>
        </w:rPr>
        <w:t>Supplementary</w:t>
      </w:r>
      <w:r>
        <w:rPr>
          <w:rFonts w:hint="default" w:ascii="Times New Roman" w:hAnsi="Times New Roman" w:cs="Times New Roman"/>
          <w:b/>
          <w:bCs/>
          <w:sz w:val="24"/>
          <w:szCs w:val="24"/>
          <w:lang w:val="en-US" w:eastAsia="zh-CN"/>
        </w:rPr>
        <w:t xml:space="preserve"> Fig. </w:t>
      </w:r>
      <w:r>
        <w:rPr>
          <w:rFonts w:hint="eastAsia" w:ascii="Times New Roman" w:hAnsi="Times New Roman" w:cs="Times New Roman"/>
          <w:b/>
          <w:bCs/>
          <w:sz w:val="24"/>
          <w:szCs w:val="24"/>
          <w:lang w:val="en-US" w:eastAsia="zh-CN"/>
        </w:rPr>
        <w:t>2</w:t>
      </w:r>
      <w:r>
        <w:rPr>
          <w:rFonts w:hint="default" w:ascii="Times New Roman" w:hAnsi="Times New Roman" w:cs="Times New Roman"/>
          <w:b/>
          <w:bCs/>
          <w:sz w:val="24"/>
          <w:szCs w:val="24"/>
          <w:lang w:val="en-US" w:eastAsia="zh-CN"/>
        </w:rPr>
        <w:t xml:space="preserve"> | Spatial distribution and regional aggregation of potential flood-induced FPP outage exposure in 2015.</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b/>
          <w:bCs/>
          <w:sz w:val="24"/>
          <w:szCs w:val="24"/>
          <w:lang w:val="en-US" w:eastAsia="zh-CN"/>
        </w:rPr>
        <w:t>a</w:t>
      </w:r>
      <w:r>
        <w:rPr>
          <w:rFonts w:hint="eastAsia" w:ascii="Times New Roman" w:hAnsi="Times New Roman" w:cs="Times New Roman"/>
          <w:b/>
          <w:bCs/>
          <w:sz w:val="24"/>
          <w:szCs w:val="24"/>
          <w:lang w:val="en-US" w:eastAsia="zh-CN"/>
        </w:rPr>
        <w:t>-</w:t>
      </w:r>
      <w:r>
        <w:rPr>
          <w:rFonts w:hint="default" w:ascii="Times New Roman" w:hAnsi="Times New Roman" w:cs="Times New Roman"/>
          <w:b/>
          <w:bCs/>
          <w:sz w:val="24"/>
          <w:szCs w:val="24"/>
          <w:lang w:val="en-US" w:eastAsia="zh-CN"/>
        </w:rPr>
        <w:t>c</w:t>
      </w:r>
      <w:r>
        <w:rPr>
          <w:rFonts w:hint="default" w:ascii="Times New Roman" w:hAnsi="Times New Roman" w:cs="Times New Roman"/>
          <w:sz w:val="24"/>
          <w:szCs w:val="24"/>
          <w:lang w:val="en-US" w:eastAsia="zh-CN"/>
        </w:rPr>
        <w:t>, Global distribution of potentially flood-impacted coal- (</w:t>
      </w:r>
      <w:r>
        <w:rPr>
          <w:rFonts w:hint="default" w:ascii="Times New Roman" w:hAnsi="Times New Roman" w:cs="Times New Roman"/>
          <w:b/>
          <w:bCs/>
          <w:sz w:val="24"/>
          <w:szCs w:val="24"/>
          <w:lang w:val="en-US" w:eastAsia="zh-CN"/>
        </w:rPr>
        <w:t>a</w:t>
      </w:r>
      <w:r>
        <w:rPr>
          <w:rFonts w:hint="default" w:ascii="Times New Roman" w:hAnsi="Times New Roman" w:cs="Times New Roman"/>
          <w:sz w:val="24"/>
          <w:szCs w:val="24"/>
          <w:lang w:val="en-US" w:eastAsia="zh-CN"/>
        </w:rPr>
        <w:t>), gas- (</w:t>
      </w:r>
      <w:r>
        <w:rPr>
          <w:rFonts w:hint="default" w:ascii="Times New Roman" w:hAnsi="Times New Roman" w:cs="Times New Roman"/>
          <w:b/>
          <w:bCs/>
          <w:sz w:val="24"/>
          <w:szCs w:val="24"/>
          <w:lang w:val="en-US" w:eastAsia="zh-CN"/>
        </w:rPr>
        <w:t>b</w:t>
      </w:r>
      <w:r>
        <w:rPr>
          <w:rFonts w:hint="default" w:ascii="Times New Roman" w:hAnsi="Times New Roman" w:cs="Times New Roman"/>
          <w:sz w:val="24"/>
          <w:szCs w:val="24"/>
          <w:lang w:val="en-US" w:eastAsia="zh-CN"/>
        </w:rPr>
        <w:t>) and oil-fired (</w:t>
      </w:r>
      <w:r>
        <w:rPr>
          <w:rFonts w:hint="default" w:ascii="Times New Roman" w:hAnsi="Times New Roman" w:cs="Times New Roman"/>
          <w:b/>
          <w:bCs/>
          <w:sz w:val="24"/>
          <w:szCs w:val="24"/>
          <w:lang w:val="en-US" w:eastAsia="zh-CN"/>
        </w:rPr>
        <w:t>c</w:t>
      </w:r>
      <w:r>
        <w:rPr>
          <w:rFonts w:hint="default" w:ascii="Times New Roman" w:hAnsi="Times New Roman" w:cs="Times New Roman"/>
          <w:sz w:val="24"/>
          <w:szCs w:val="24"/>
          <w:lang w:val="en-US" w:eastAsia="zh-CN"/>
        </w:rPr>
        <w:t>) FPPs in 2015 under 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in-100-year, 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in-250-year, 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 xml:space="preserve">in-500-year and 1-in-1000-year flood events. Points indicate affected FPPs, with point size representing installed capacity and colour indicating estimated outage duration. Grey points indicate FPPs not affected by flooding. </w:t>
      </w:r>
      <w:r>
        <w:rPr>
          <w:rFonts w:hint="eastAsia" w:ascii="Times New Roman" w:hAnsi="Times New Roman" w:cs="Times New Roman"/>
          <w:b/>
          <w:bCs/>
          <w:sz w:val="24"/>
          <w:szCs w:val="24"/>
          <w:lang w:val="en-US" w:eastAsia="zh-CN"/>
        </w:rPr>
        <w:t>d-</w:t>
      </w:r>
      <w:r>
        <w:rPr>
          <w:rFonts w:hint="default" w:ascii="Times New Roman" w:hAnsi="Times New Roman" w:cs="Times New Roman"/>
          <w:b/>
          <w:bCs/>
          <w:sz w:val="24"/>
          <w:szCs w:val="24"/>
          <w:lang w:val="en-US" w:eastAsia="zh-CN"/>
        </w:rPr>
        <w:t>f</w:t>
      </w:r>
      <w:r>
        <w:rPr>
          <w:rFonts w:hint="default" w:ascii="Times New Roman" w:hAnsi="Times New Roman" w:cs="Times New Roman"/>
          <w:sz w:val="24"/>
          <w:szCs w:val="24"/>
          <w:lang w:val="en-US" w:eastAsia="zh-CN"/>
        </w:rPr>
        <w:t>, Regional aggregation of potentially flood-impacted installed capacity for coal- (</w:t>
      </w:r>
      <w:r>
        <w:rPr>
          <w:rFonts w:hint="default" w:ascii="Times New Roman" w:hAnsi="Times New Roman" w:cs="Times New Roman"/>
          <w:b/>
          <w:bCs/>
          <w:sz w:val="24"/>
          <w:szCs w:val="24"/>
          <w:lang w:val="en-US" w:eastAsia="zh-CN"/>
        </w:rPr>
        <w:t>d</w:t>
      </w:r>
      <w:r>
        <w:rPr>
          <w:rFonts w:hint="default" w:ascii="Times New Roman" w:hAnsi="Times New Roman" w:cs="Times New Roman"/>
          <w:sz w:val="24"/>
          <w:szCs w:val="24"/>
          <w:lang w:val="en-US" w:eastAsia="zh-CN"/>
        </w:rPr>
        <w:t>), gas- (</w:t>
      </w:r>
      <w:r>
        <w:rPr>
          <w:rFonts w:hint="default" w:ascii="Times New Roman" w:hAnsi="Times New Roman" w:cs="Times New Roman"/>
          <w:b/>
          <w:bCs/>
          <w:sz w:val="24"/>
          <w:szCs w:val="24"/>
          <w:lang w:val="en-US" w:eastAsia="zh-CN"/>
        </w:rPr>
        <w:t>e</w:t>
      </w:r>
      <w:r>
        <w:rPr>
          <w:rFonts w:hint="default" w:ascii="Times New Roman" w:hAnsi="Times New Roman" w:cs="Times New Roman"/>
          <w:sz w:val="24"/>
          <w:szCs w:val="24"/>
          <w:lang w:val="en-US" w:eastAsia="zh-CN"/>
        </w:rPr>
        <w:t>) and oil-fired (</w:t>
      </w:r>
      <w:r>
        <w:rPr>
          <w:rFonts w:hint="default" w:ascii="Times New Roman" w:hAnsi="Times New Roman" w:cs="Times New Roman"/>
          <w:b/>
          <w:bCs/>
          <w:sz w:val="24"/>
          <w:szCs w:val="24"/>
          <w:lang w:val="en-US" w:eastAsia="zh-CN"/>
        </w:rPr>
        <w:t>f</w:t>
      </w:r>
      <w:r>
        <w:rPr>
          <w:rFonts w:hint="default" w:ascii="Times New Roman" w:hAnsi="Times New Roman" w:cs="Times New Roman"/>
          <w:sz w:val="24"/>
          <w:szCs w:val="24"/>
          <w:lang w:val="en-US" w:eastAsia="zh-CN"/>
        </w:rPr>
        <w:t>) FPPs across the same flood return periods. Polar bar charts show affected capacity by continent. All capacities are expressed in MW, and outage duration is expressed in days.</w:t>
      </w:r>
    </w:p>
    <w:p w14:paraId="7EED3FD1">
      <w:pPr>
        <w:spacing w:line="360" w:lineRule="auto"/>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5266690" cy="6320155"/>
            <wp:effectExtent l="0" t="0" r="3810" b="4445"/>
            <wp:docPr id="3" name="图片 3" descr="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4"/>
                    <pic:cNvPicPr>
                      <a:picLocks noChangeAspect="1"/>
                    </pic:cNvPicPr>
                  </pic:nvPicPr>
                  <pic:blipFill>
                    <a:blip r:embed="rId6"/>
                    <a:stretch>
                      <a:fillRect/>
                    </a:stretch>
                  </pic:blipFill>
                  <pic:spPr>
                    <a:xfrm>
                      <a:off x="0" y="0"/>
                      <a:ext cx="5266690" cy="6320155"/>
                    </a:xfrm>
                    <a:prstGeom prst="rect">
                      <a:avLst/>
                    </a:prstGeom>
                  </pic:spPr>
                </pic:pic>
              </a:graphicData>
            </a:graphic>
          </wp:inline>
        </w:drawing>
      </w:r>
    </w:p>
    <w:p w14:paraId="0DF6308A">
      <w:pPr>
        <w:spacing w:line="360" w:lineRule="auto"/>
        <w:jc w:val="both"/>
        <w:rPr>
          <w:rFonts w:hint="default" w:ascii="Times New Roman" w:hAnsi="Times New Roman" w:cs="Times New Roman"/>
          <w:sz w:val="24"/>
          <w:szCs w:val="24"/>
          <w:lang w:val="en-US" w:eastAsia="zh-CN"/>
        </w:rPr>
      </w:pPr>
    </w:p>
    <w:p w14:paraId="1F4C99B6">
      <w:pPr>
        <w:spacing w:line="360" w:lineRule="auto"/>
        <w:jc w:val="both"/>
        <w:rPr>
          <w:rFonts w:hint="default" w:ascii="Times New Roman" w:hAnsi="Times New Roman" w:cs="Times New Roman"/>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Times New Roman" w:hAnsi="Times New Roman" w:cs="Times New Roman"/>
          <w:b/>
          <w:bCs/>
          <w:sz w:val="24"/>
          <w:szCs w:val="24"/>
          <w:lang w:val="en-US" w:eastAsia="zh-CN"/>
        </w:rPr>
        <w:t>Supplementary</w:t>
      </w:r>
      <w:r>
        <w:rPr>
          <w:rFonts w:hint="default" w:ascii="Times New Roman" w:hAnsi="Times New Roman" w:cs="Times New Roman"/>
          <w:b/>
          <w:bCs/>
          <w:sz w:val="24"/>
          <w:szCs w:val="24"/>
          <w:lang w:val="en-US" w:eastAsia="zh-CN"/>
        </w:rPr>
        <w:t xml:space="preserve"> Fig. </w:t>
      </w:r>
      <w:r>
        <w:rPr>
          <w:rFonts w:hint="eastAsia" w:ascii="Times New Roman" w:hAnsi="Times New Roman" w:cs="Times New Roman"/>
          <w:b/>
          <w:bCs/>
          <w:sz w:val="24"/>
          <w:szCs w:val="24"/>
          <w:lang w:val="en-US" w:eastAsia="zh-CN"/>
        </w:rPr>
        <w:t>3</w:t>
      </w:r>
      <w:r>
        <w:rPr>
          <w:rFonts w:hint="default" w:ascii="Times New Roman" w:hAnsi="Times New Roman" w:cs="Times New Roman"/>
          <w:b/>
          <w:bCs/>
          <w:sz w:val="24"/>
          <w:szCs w:val="24"/>
          <w:lang w:val="en-US" w:eastAsia="zh-CN"/>
        </w:rPr>
        <w:t xml:space="preserve"> | Spatial distribution and regional aggregation of potential flood-induced FPP outage exposure in 20</w:t>
      </w:r>
      <w:r>
        <w:rPr>
          <w:rFonts w:hint="eastAsia" w:ascii="Times New Roman" w:hAnsi="Times New Roman" w:cs="Times New Roman"/>
          <w:b/>
          <w:bCs/>
          <w:sz w:val="24"/>
          <w:szCs w:val="24"/>
          <w:lang w:val="en-US" w:eastAsia="zh-CN"/>
        </w:rPr>
        <w:t>24</w:t>
      </w:r>
      <w:r>
        <w:rPr>
          <w:rFonts w:hint="default" w:ascii="Times New Roman" w:hAnsi="Times New Roman" w:cs="Times New Roman"/>
          <w:b/>
          <w:bCs/>
          <w:sz w:val="24"/>
          <w:szCs w:val="24"/>
          <w:lang w:val="en-US" w:eastAsia="zh-CN"/>
        </w:rPr>
        <w:t>.</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b/>
          <w:bCs/>
          <w:sz w:val="24"/>
          <w:szCs w:val="24"/>
          <w:lang w:val="en-US" w:eastAsia="zh-CN"/>
        </w:rPr>
        <w:t>a</w:t>
      </w:r>
      <w:r>
        <w:rPr>
          <w:rFonts w:hint="eastAsia" w:ascii="Times New Roman" w:hAnsi="Times New Roman" w:cs="Times New Roman"/>
          <w:b/>
          <w:bCs/>
          <w:sz w:val="24"/>
          <w:szCs w:val="24"/>
          <w:lang w:val="en-US" w:eastAsia="zh-CN"/>
        </w:rPr>
        <w:t>-</w:t>
      </w:r>
      <w:r>
        <w:rPr>
          <w:rFonts w:hint="default" w:ascii="Times New Roman" w:hAnsi="Times New Roman" w:cs="Times New Roman"/>
          <w:b/>
          <w:bCs/>
          <w:sz w:val="24"/>
          <w:szCs w:val="24"/>
          <w:lang w:val="en-US" w:eastAsia="zh-CN"/>
        </w:rPr>
        <w:t>c</w:t>
      </w:r>
      <w:r>
        <w:rPr>
          <w:rFonts w:hint="default" w:ascii="Times New Roman" w:hAnsi="Times New Roman" w:cs="Times New Roman"/>
          <w:sz w:val="24"/>
          <w:szCs w:val="24"/>
          <w:lang w:val="en-US" w:eastAsia="zh-CN"/>
        </w:rPr>
        <w:t>, Global distribution of potentially flood-impacted coal- (</w:t>
      </w:r>
      <w:r>
        <w:rPr>
          <w:rFonts w:hint="default" w:ascii="Times New Roman" w:hAnsi="Times New Roman" w:cs="Times New Roman"/>
          <w:b/>
          <w:bCs/>
          <w:sz w:val="24"/>
          <w:szCs w:val="24"/>
          <w:lang w:val="en-US" w:eastAsia="zh-CN"/>
        </w:rPr>
        <w:t>a</w:t>
      </w:r>
      <w:r>
        <w:rPr>
          <w:rFonts w:hint="default" w:ascii="Times New Roman" w:hAnsi="Times New Roman" w:cs="Times New Roman"/>
          <w:sz w:val="24"/>
          <w:szCs w:val="24"/>
          <w:lang w:val="en-US" w:eastAsia="zh-CN"/>
        </w:rPr>
        <w:t>), gas- (</w:t>
      </w:r>
      <w:r>
        <w:rPr>
          <w:rFonts w:hint="default" w:ascii="Times New Roman" w:hAnsi="Times New Roman" w:cs="Times New Roman"/>
          <w:b/>
          <w:bCs/>
          <w:sz w:val="24"/>
          <w:szCs w:val="24"/>
          <w:lang w:val="en-US" w:eastAsia="zh-CN"/>
        </w:rPr>
        <w:t>b</w:t>
      </w:r>
      <w:r>
        <w:rPr>
          <w:rFonts w:hint="default" w:ascii="Times New Roman" w:hAnsi="Times New Roman" w:cs="Times New Roman"/>
          <w:sz w:val="24"/>
          <w:szCs w:val="24"/>
          <w:lang w:val="en-US" w:eastAsia="zh-CN"/>
        </w:rPr>
        <w:t>) and oil-fired (</w:t>
      </w:r>
      <w:r>
        <w:rPr>
          <w:rFonts w:hint="default" w:ascii="Times New Roman" w:hAnsi="Times New Roman" w:cs="Times New Roman"/>
          <w:b/>
          <w:bCs/>
          <w:sz w:val="24"/>
          <w:szCs w:val="24"/>
          <w:lang w:val="en-US" w:eastAsia="zh-CN"/>
        </w:rPr>
        <w:t>c</w:t>
      </w:r>
      <w:r>
        <w:rPr>
          <w:rFonts w:hint="default" w:ascii="Times New Roman" w:hAnsi="Times New Roman" w:cs="Times New Roman"/>
          <w:sz w:val="24"/>
          <w:szCs w:val="24"/>
          <w:lang w:val="en-US" w:eastAsia="zh-CN"/>
        </w:rPr>
        <w:t>) FPPs in 20</w:t>
      </w:r>
      <w:r>
        <w:rPr>
          <w:rFonts w:hint="eastAsia" w:ascii="Times New Roman" w:hAnsi="Times New Roman" w:cs="Times New Roman"/>
          <w:sz w:val="24"/>
          <w:szCs w:val="24"/>
          <w:lang w:val="en-US" w:eastAsia="zh-CN"/>
        </w:rPr>
        <w:t>24</w:t>
      </w:r>
      <w:r>
        <w:rPr>
          <w:rFonts w:hint="default" w:ascii="Times New Roman" w:hAnsi="Times New Roman" w:cs="Times New Roman"/>
          <w:sz w:val="24"/>
          <w:szCs w:val="24"/>
          <w:lang w:val="en-US" w:eastAsia="zh-CN"/>
        </w:rPr>
        <w:t xml:space="preserve"> under 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in-100-year, 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in-250-year, 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 xml:space="preserve">in-500-year and 1-in-1000-year flood events. Points indicate affected FPPs, with point size representing installed capacity and colour indicating estimated outage duration. Grey points indicate FPPs not affected by flooding. </w:t>
      </w:r>
      <w:r>
        <w:rPr>
          <w:rFonts w:hint="eastAsia" w:ascii="Times New Roman" w:hAnsi="Times New Roman" w:cs="Times New Roman"/>
          <w:b/>
          <w:bCs/>
          <w:sz w:val="24"/>
          <w:szCs w:val="24"/>
          <w:lang w:val="en-US" w:eastAsia="zh-CN"/>
        </w:rPr>
        <w:t>d-</w:t>
      </w:r>
      <w:r>
        <w:rPr>
          <w:rFonts w:hint="default" w:ascii="Times New Roman" w:hAnsi="Times New Roman" w:cs="Times New Roman"/>
          <w:b/>
          <w:bCs/>
          <w:sz w:val="24"/>
          <w:szCs w:val="24"/>
          <w:lang w:val="en-US" w:eastAsia="zh-CN"/>
        </w:rPr>
        <w:t>f</w:t>
      </w:r>
      <w:r>
        <w:rPr>
          <w:rFonts w:hint="default" w:ascii="Times New Roman" w:hAnsi="Times New Roman" w:cs="Times New Roman"/>
          <w:sz w:val="24"/>
          <w:szCs w:val="24"/>
          <w:lang w:val="en-US" w:eastAsia="zh-CN"/>
        </w:rPr>
        <w:t>, Regional aggregation of potentially flood-impacted installed capacity for coal- (</w:t>
      </w:r>
      <w:r>
        <w:rPr>
          <w:rFonts w:hint="default" w:ascii="Times New Roman" w:hAnsi="Times New Roman" w:cs="Times New Roman"/>
          <w:b/>
          <w:bCs/>
          <w:sz w:val="24"/>
          <w:szCs w:val="24"/>
          <w:lang w:val="en-US" w:eastAsia="zh-CN"/>
        </w:rPr>
        <w:t>d</w:t>
      </w:r>
      <w:r>
        <w:rPr>
          <w:rFonts w:hint="default" w:ascii="Times New Roman" w:hAnsi="Times New Roman" w:cs="Times New Roman"/>
          <w:sz w:val="24"/>
          <w:szCs w:val="24"/>
          <w:lang w:val="en-US" w:eastAsia="zh-CN"/>
        </w:rPr>
        <w:t>), gas- (</w:t>
      </w:r>
      <w:r>
        <w:rPr>
          <w:rFonts w:hint="default" w:ascii="Times New Roman" w:hAnsi="Times New Roman" w:cs="Times New Roman"/>
          <w:b/>
          <w:bCs/>
          <w:sz w:val="24"/>
          <w:szCs w:val="24"/>
          <w:lang w:val="en-US" w:eastAsia="zh-CN"/>
        </w:rPr>
        <w:t>e</w:t>
      </w:r>
      <w:r>
        <w:rPr>
          <w:rFonts w:hint="default" w:ascii="Times New Roman" w:hAnsi="Times New Roman" w:cs="Times New Roman"/>
          <w:sz w:val="24"/>
          <w:szCs w:val="24"/>
          <w:lang w:val="en-US" w:eastAsia="zh-CN"/>
        </w:rPr>
        <w:t>) and oil-fired (</w:t>
      </w:r>
      <w:r>
        <w:rPr>
          <w:rFonts w:hint="default" w:ascii="Times New Roman" w:hAnsi="Times New Roman" w:cs="Times New Roman"/>
          <w:b/>
          <w:bCs/>
          <w:sz w:val="24"/>
          <w:szCs w:val="24"/>
          <w:lang w:val="en-US" w:eastAsia="zh-CN"/>
        </w:rPr>
        <w:t>f</w:t>
      </w:r>
      <w:r>
        <w:rPr>
          <w:rFonts w:hint="default" w:ascii="Times New Roman" w:hAnsi="Times New Roman" w:cs="Times New Roman"/>
          <w:sz w:val="24"/>
          <w:szCs w:val="24"/>
          <w:lang w:val="en-US" w:eastAsia="zh-CN"/>
        </w:rPr>
        <w:t>) FPPs across the same flood return periods. Polar bar charts show affected capacity by continent. All capacities are expressed in MW, and outage duration is expressed in days</w:t>
      </w:r>
      <w:r>
        <w:rPr>
          <w:rFonts w:hint="eastAsia" w:ascii="Times New Roman" w:hAnsi="Times New Roman" w:cs="Times New Roman"/>
          <w:sz w:val="24"/>
          <w:szCs w:val="24"/>
          <w:lang w:val="en-US" w:eastAsia="zh-CN"/>
        </w:rPr>
        <w:t>.</w:t>
      </w:r>
    </w:p>
    <w:p w14:paraId="41C51438">
      <w:pPr>
        <w:rPr>
          <w:rFonts w:hint="default" w:ascii="Times New Roman" w:hAnsi="Times New Roman" w:cs="Times New Roman"/>
          <w:b/>
          <w:bCs/>
          <w:sz w:val="28"/>
          <w:szCs w:val="36"/>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A950A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0</Words>
  <Characters>0</Characters>
  <Lines>0</Lines>
  <Paragraphs>0</Paragraphs>
  <TotalTime>0</TotalTime>
  <ScaleCrop>false</ScaleCrop>
  <LinksUpToDate>false</LinksUpToDate>
  <CharactersWithSpaces>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2026-06-25T03:11:37Z</dcterms:created>
  <dc:creator>huawei</dc:creator>
  <cp:lastModifiedBy>林家驹</cp:lastModifiedBy>
  <dcterms:modified xsi:type="dcterms:W3CDTF">2026-06-25T03:32:42Z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eyJoZGlkIjoiYTc2ZGZiNzZiNDVlOGViOWVmM2JhOTY0NGJkNjUyYzgiLCJ1c2VySWQiOiIyNzM5ODU1MzUifQ==</vt:lpwstr>
  </property>
  <property fmtid="{D5CDD505-2E9C-101B-9397-08002B2CF9AE}" pid="4" name="ICV">
    <vt:lpwstr>98C368CF1C5446549FC0547E09D10929_12</vt:lpwstr>
  </property>
</Properties>
</file>