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 w:line="252" w:lineRule="auto"/>
        <w:jc w:val="center"/>
      </w:pPr>
      <w:r>
        <w:rPr>
          <w:b/>
          <w:sz w:val="32"/>
        </w:rPr>
        <w:t>DATABASE LEGEND</w:t>
      </w:r>
    </w:p>
    <w:p>
      <w:pPr>
        <w:spacing w:before="160" w:after="60"/>
      </w:pPr>
      <w:r>
        <w:rPr>
          <w:b/>
          <w:sz w:val="26"/>
        </w:rPr>
        <w:t>1. Social Form</w:t>
      </w:r>
    </w:p>
    <w:p>
      <w:pPr>
        <w:spacing w:before="120" w:after="40"/>
      </w:pPr>
      <w:r>
        <w:rPr>
          <w:b/>
          <w:sz w:val="23"/>
        </w:rPr>
        <w:t>USER IDENTIFICATION</w:t>
      </w:r>
    </w:p>
    <w:p>
      <w:pPr>
        <w:spacing w:before="0" w:after="40" w:line="252" w:lineRule="auto"/>
      </w:pPr>
      <w:r>
        <w:rPr>
          <w:b w:val="0"/>
          <w:i w:val="0"/>
        </w:rPr>
        <w:t>Sex: Male (1); Female (2) *</w:t>
      </w:r>
    </w:p>
    <w:p>
      <w:pPr>
        <w:spacing w:before="0" w:after="40" w:line="252" w:lineRule="auto"/>
      </w:pPr>
      <w:r>
        <w:rPr>
          <w:b w:val="0"/>
          <w:i w:val="0"/>
        </w:rPr>
        <w:t>Age classification</w:t>
      </w:r>
    </w:p>
    <w:p>
      <w:pPr>
        <w:spacing w:before="0" w:after="40" w:line="252" w:lineRule="auto"/>
      </w:pPr>
      <w:r>
        <w:rPr>
          <w:b w:val="0"/>
          <w:i w:val="0"/>
        </w:rPr>
        <w:t>(2) Adults - Individuals aged 20 to 59 years; (3) Older adults - Individuals aged 60 years and older</w:t>
      </w:r>
    </w:p>
    <w:p>
      <w:pPr>
        <w:spacing w:before="120" w:after="40"/>
      </w:pPr>
      <w:r>
        <w:rPr>
          <w:b/>
          <w:sz w:val="23"/>
        </w:rPr>
        <w:t>USER HEALTH DATA</w:t>
      </w:r>
    </w:p>
    <w:p>
      <w:pPr>
        <w:spacing w:before="0" w:after="40" w:line="252" w:lineRule="auto"/>
      </w:pPr>
      <w:r>
        <w:rPr>
          <w:b w:val="0"/>
          <w:i w:val="0"/>
        </w:rPr>
        <w:t>Diagnosis*: (1) Obesity; (2) Metabolic diseases: DM, SAH, metabolic syndrome, dyslipidemia; (3) Liver disease; (4) Glomerulopathies: CGN; (5) Kidney/liver/heart transplant recipient; (6) Familial diseases; (7) Autoimmune diseases: SLE; (8) Heart diseases: CAD; (9) Bone problems; (10) Respiratory complications; (11) Gastrointestinal disorders: inflammatory bowel diseases; (12) Neurogenic bladder; (13) Treatment of secondary hyperparathyroidism (SHPT); (14) CANCER: ALL or AML, breast cancer, prostate cancer, intestinal cancer; (15) Infectious diseases: PNC; (16) OTHERS: myelomeningocele.</w:t>
      </w:r>
    </w:p>
    <w:p>
      <w:pPr>
        <w:spacing w:before="0" w:after="40" w:line="252" w:lineRule="auto"/>
      </w:pPr>
      <w:r>
        <w:rPr>
          <w:b w:val="0"/>
          <w:i w:val="0"/>
        </w:rPr>
        <w:t>(1) YES; (2) NO</w:t>
      </w:r>
    </w:p>
    <w:p>
      <w:pPr>
        <w:spacing w:before="0" w:after="40" w:line="252" w:lineRule="auto"/>
      </w:pPr>
      <w:r>
        <w:rPr>
          <w:b w:val="0"/>
          <w:i w:val="0"/>
        </w:rPr>
        <w:t>Underlying disease*</w:t>
      </w:r>
    </w:p>
    <w:p>
      <w:pPr>
        <w:spacing w:before="0" w:after="40" w:line="252" w:lineRule="auto"/>
      </w:pPr>
      <w:r>
        <w:rPr>
          <w:b w:val="0"/>
          <w:i w:val="0"/>
        </w:rPr>
        <w:t>0-Indeterminate; 1-Metabolic diseases: DM, hepatology and heart disease; 2-SAH; 3-Glomerulopathies; 4-Familial and autoimmune diseases; 5-Infectious diseases.</w:t>
      </w:r>
    </w:p>
    <w:p>
      <w:pPr>
        <w:spacing w:before="0" w:after="40" w:line="252" w:lineRule="auto"/>
      </w:pPr>
      <w:r>
        <w:rPr>
          <w:b w:val="0"/>
          <w:i w:val="0"/>
        </w:rPr>
        <w:t>Duration of HD follow-up</w:t>
      </w:r>
    </w:p>
    <w:p>
      <w:pPr>
        <w:spacing w:before="0" w:after="40" w:line="252" w:lineRule="auto"/>
      </w:pPr>
      <w:r>
        <w:rPr>
          <w:b w:val="0"/>
          <w:i w:val="0"/>
        </w:rPr>
        <w:t>0-Adaptation phase: up to 6 months;</w:t>
      </w:r>
    </w:p>
    <w:p>
      <w:pPr>
        <w:spacing w:before="0" w:after="40" w:line="252" w:lineRule="auto"/>
      </w:pPr>
      <w:r>
        <w:rPr>
          <w:b w:val="0"/>
          <w:i w:val="0"/>
        </w:rPr>
        <w:t>1-New patient: up to 4 years;</w:t>
      </w:r>
    </w:p>
    <w:p>
      <w:pPr>
        <w:spacing w:before="0" w:after="40" w:line="252" w:lineRule="auto"/>
      </w:pPr>
      <w:r>
        <w:rPr>
          <w:b w:val="0"/>
          <w:i w:val="0"/>
        </w:rPr>
        <w:t>2-Veteran: from 5 years onward.</w:t>
      </w:r>
    </w:p>
    <w:p>
      <w:pPr>
        <w:spacing w:before="0" w:after="40" w:line="252" w:lineRule="auto"/>
      </w:pPr>
      <w:r>
        <w:rPr>
          <w:b w:val="0"/>
          <w:i w:val="0"/>
        </w:rPr>
        <w:t>Does the participant have any disability? (2) No; (1) Yes.</w:t>
      </w:r>
    </w:p>
    <w:p>
      <w:pPr>
        <w:spacing w:before="0" w:after="40" w:line="252" w:lineRule="auto"/>
      </w:pPr>
      <w:r>
        <w:rPr>
          <w:b w:val="0"/>
          <w:i w:val="0"/>
        </w:rPr>
        <w:t>SAH: (1) Yes; (2) No.</w:t>
      </w:r>
    </w:p>
    <w:p>
      <w:pPr>
        <w:spacing w:before="0" w:after="40" w:line="252" w:lineRule="auto"/>
      </w:pPr>
      <w:r>
        <w:rPr>
          <w:b w:val="0"/>
          <w:i w:val="0"/>
        </w:rPr>
        <w:t>Diabetes: (1) Yes; (2) No.</w:t>
      </w:r>
    </w:p>
    <w:p>
      <w:pPr>
        <w:spacing w:before="0" w:after="40" w:line="252" w:lineRule="auto"/>
      </w:pPr>
      <w:r>
        <w:rPr>
          <w:b w:val="0"/>
          <w:i w:val="0"/>
        </w:rPr>
        <w:t>History of psychiatric disease: (1) Yes; (2) No.</w:t>
      </w:r>
    </w:p>
    <w:p>
      <w:pPr>
        <w:spacing w:before="120" w:after="40"/>
      </w:pPr>
      <w:r>
        <w:rPr>
          <w:b/>
          <w:sz w:val="23"/>
        </w:rPr>
        <w:t>FAMILY COMPOSITION</w:t>
      </w:r>
    </w:p>
    <w:p>
      <w:pPr>
        <w:spacing w:before="0" w:after="40" w:line="252" w:lineRule="auto"/>
      </w:pPr>
      <w:r>
        <w:rPr>
          <w:b w:val="0"/>
          <w:i w:val="0"/>
        </w:rPr>
        <w:t>Has a family support network: (1) Yes; (2) No.</w:t>
      </w:r>
    </w:p>
    <w:p>
      <w:pPr>
        <w:spacing w:before="120" w:after="40"/>
      </w:pPr>
      <w:r>
        <w:rPr>
          <w:b/>
          <w:sz w:val="23"/>
        </w:rPr>
        <w:t>WORK STATUS, FAMILY INCOME, AND ACCESS TO SOCIAL SECURITY PROGRAMS AND BENEFITS:</w:t>
      </w:r>
    </w:p>
    <w:p>
      <w:pPr>
        <w:spacing w:before="0" w:after="40" w:line="252" w:lineRule="auto"/>
      </w:pPr>
      <w:r>
        <w:rPr>
          <w:b w:val="0"/>
          <w:i w:val="0"/>
        </w:rPr>
        <w:t>Occupation: Employed (1); Unemployed (2); Retired (3)</w:t>
      </w:r>
    </w:p>
    <w:p>
      <w:pPr>
        <w:spacing w:before="0" w:after="40" w:line="252" w:lineRule="auto"/>
      </w:pPr>
      <w:r>
        <w:rPr>
          <w:b w:val="0"/>
          <w:i w:val="0"/>
        </w:rPr>
        <w:t>Income:*</w:t>
      </w:r>
    </w:p>
    <w:p>
      <w:pPr>
        <w:spacing w:before="0" w:after="40" w:line="252" w:lineRule="auto"/>
      </w:pPr>
      <w:r>
        <w:rPr>
          <w:b w:val="0"/>
          <w:i w:val="0"/>
        </w:rPr>
        <w:t>0-No income;</w:t>
      </w:r>
    </w:p>
    <w:p>
      <w:pPr>
        <w:spacing w:before="0" w:after="40" w:line="252" w:lineRule="auto"/>
      </w:pPr>
      <w:r>
        <w:rPr>
          <w:b w:val="0"/>
          <w:i w:val="0"/>
        </w:rPr>
        <w:t>1-Sporadic income;</w:t>
      </w:r>
    </w:p>
    <w:p>
      <w:pPr>
        <w:spacing w:before="0" w:after="40" w:line="252" w:lineRule="auto"/>
      </w:pPr>
      <w:r>
        <w:rPr>
          <w:b w:val="0"/>
          <w:i w:val="0"/>
        </w:rPr>
        <w:t>2-From 1 to 2 minimum wages;</w:t>
      </w:r>
    </w:p>
    <w:p>
      <w:pPr>
        <w:spacing w:before="0" w:after="40" w:line="252" w:lineRule="auto"/>
      </w:pPr>
      <w:r>
        <w:rPr>
          <w:b w:val="0"/>
          <w:i w:val="0"/>
        </w:rPr>
        <w:t>3-From 2 to 5 minimum wages.</w:t>
      </w:r>
    </w:p>
    <w:p>
      <w:pPr>
        <w:spacing w:before="0" w:after="40" w:line="252" w:lineRule="auto"/>
      </w:pPr>
      <w:r>
        <w:rPr>
          <w:b w:val="0"/>
          <w:i w:val="0"/>
        </w:rPr>
        <w:t>Exclusive family income? (1) Yes; (2) No;</w:t>
      </w:r>
    </w:p>
    <w:p>
      <w:pPr>
        <w:spacing w:before="0" w:after="40" w:line="252" w:lineRule="auto"/>
      </w:pPr>
      <w:r>
        <w:rPr>
          <w:b w:val="0"/>
          <w:i w:val="0"/>
        </w:rPr>
        <w:t>Temporary benefit*: (1) Yes; (2) No;</w:t>
      </w:r>
    </w:p>
    <w:p>
      <w:pPr>
        <w:spacing w:before="120" w:after="40"/>
      </w:pPr>
      <w:r>
        <w:rPr>
          <w:b/>
          <w:sz w:val="23"/>
        </w:rPr>
        <w:t>HOUSING AND COMMUNITY SITUATION</w:t>
      </w:r>
    </w:p>
    <w:p>
      <w:pPr>
        <w:spacing w:before="0" w:after="40" w:line="252" w:lineRule="auto"/>
      </w:pPr>
      <w:r>
        <w:rPr>
          <w:b w:val="0"/>
          <w:i w:val="0"/>
        </w:rPr>
        <w:t>Type of housing: Own home (1); Rented (2); Loaned housing and occupation (3);</w:t>
      </w:r>
    </w:p>
    <w:p>
      <w:pPr>
        <w:spacing w:before="160" w:after="60"/>
      </w:pPr>
      <w:r>
        <w:rPr>
          <w:b/>
          <w:sz w:val="26"/>
        </w:rPr>
        <w:t>2. Hemodialysis Follow-up Form</w:t>
      </w:r>
    </w:p>
    <w:p>
      <w:pPr>
        <w:spacing w:before="0" w:after="40" w:line="252" w:lineRule="auto"/>
      </w:pPr>
      <w:r>
        <w:rPr>
          <w:b w:val="0"/>
          <w:i w:val="0"/>
        </w:rPr>
        <w:t>BMI classification (adult):</w:t>
      </w:r>
    </w:p>
    <w:p>
      <w:pPr>
        <w:spacing w:before="0" w:after="40" w:line="252" w:lineRule="auto"/>
      </w:pPr>
      <w:r>
        <w:rPr>
          <w:b w:val="0"/>
          <w:i w:val="0"/>
        </w:rPr>
        <w:t>0-Underweight</w:t>
      </w:r>
    </w:p>
    <w:p>
      <w:pPr>
        <w:spacing w:before="0" w:after="40" w:line="252" w:lineRule="auto"/>
      </w:pPr>
      <w:r>
        <w:rPr>
          <w:b w:val="0"/>
          <w:i w:val="0"/>
        </w:rPr>
        <w:t>1-Normal weight;</w:t>
      </w:r>
    </w:p>
    <w:p>
      <w:pPr>
        <w:spacing w:before="0" w:after="40" w:line="252" w:lineRule="auto"/>
      </w:pPr>
      <w:r>
        <w:rPr>
          <w:b w:val="0"/>
          <w:i w:val="0"/>
        </w:rPr>
        <w:t>2-Overweight/Obesity</w:t>
      </w:r>
    </w:p>
    <w:p>
      <w:pPr>
        <w:spacing w:before="0" w:after="40" w:line="252" w:lineRule="auto"/>
      </w:pPr>
      <w:r>
        <w:rPr>
          <w:b w:val="0"/>
          <w:i w:val="0"/>
        </w:rPr>
        <w:t>BMI classification (older adults):</w:t>
      </w:r>
    </w:p>
    <w:p>
      <w:pPr>
        <w:spacing w:before="0" w:after="40" w:line="252" w:lineRule="auto"/>
      </w:pPr>
      <w:r>
        <w:rPr>
          <w:b w:val="0"/>
          <w:i w:val="0"/>
        </w:rPr>
        <w:t>0-Underweight;</w:t>
      </w:r>
    </w:p>
    <w:p>
      <w:pPr>
        <w:spacing w:before="0" w:after="40" w:line="252" w:lineRule="auto"/>
      </w:pPr>
      <w:r>
        <w:rPr>
          <w:b w:val="0"/>
          <w:i w:val="0"/>
        </w:rPr>
        <w:t>1-Normal weight;</w:t>
      </w:r>
    </w:p>
    <w:p>
      <w:pPr>
        <w:spacing w:before="0" w:after="40" w:line="252" w:lineRule="auto"/>
      </w:pPr>
      <w:r>
        <w:rPr>
          <w:b w:val="0"/>
          <w:i w:val="0"/>
        </w:rPr>
        <w:t>2-Overweight/Obesity</w:t>
      </w:r>
    </w:p>
    <w:p>
      <w:pPr>
        <w:spacing w:before="0" w:after="40" w:line="252" w:lineRule="auto"/>
      </w:pPr>
      <w:r>
        <w:rPr>
          <w:b w:val="0"/>
          <w:i w:val="0"/>
        </w:rPr>
        <w:t>AC adequacy:</w:t>
      </w:r>
    </w:p>
    <w:p>
      <w:pPr>
        <w:spacing w:before="0" w:after="40" w:line="252" w:lineRule="auto"/>
      </w:pPr>
      <w:r>
        <w:rPr>
          <w:b w:val="0"/>
          <w:i w:val="0"/>
        </w:rPr>
        <w:t>0-Malnutrition</w:t>
      </w:r>
    </w:p>
    <w:p>
      <w:pPr>
        <w:spacing w:before="0" w:after="40" w:line="252" w:lineRule="auto"/>
      </w:pPr>
      <w:r>
        <w:rPr>
          <w:b w:val="0"/>
          <w:i w:val="0"/>
        </w:rPr>
        <w:t>1-Normal nutritional status;</w:t>
      </w:r>
    </w:p>
    <w:p>
      <w:pPr>
        <w:spacing w:before="0" w:after="40" w:line="252" w:lineRule="auto"/>
      </w:pPr>
      <w:r>
        <w:rPr>
          <w:b w:val="0"/>
          <w:i w:val="0"/>
        </w:rPr>
        <w:t>2-Overweight;</w:t>
      </w:r>
    </w:p>
    <w:p>
      <w:pPr>
        <w:spacing w:before="0" w:after="40" w:line="252" w:lineRule="auto"/>
      </w:pPr>
      <w:r>
        <w:rPr>
          <w:b w:val="0"/>
          <w:i w:val="0"/>
        </w:rPr>
        <w:t>3-Obese.</w:t>
      </w:r>
    </w:p>
    <w:p>
      <w:pPr>
        <w:spacing w:before="0" w:after="40" w:line="252" w:lineRule="auto"/>
      </w:pPr>
      <w:r>
        <w:rPr>
          <w:b w:val="0"/>
          <w:i w:val="0"/>
        </w:rPr>
        <w:t>IDWG (%):</w:t>
      </w:r>
    </w:p>
    <w:p>
      <w:pPr>
        <w:spacing w:before="0" w:after="40" w:line="252" w:lineRule="auto"/>
      </w:pPr>
      <w:r>
        <w:rPr>
          <w:b w:val="0"/>
          <w:i w:val="0"/>
        </w:rPr>
        <w:t>Adequate (1);</w:t>
      </w:r>
    </w:p>
    <w:p>
      <w:pPr>
        <w:spacing w:before="0" w:after="40" w:line="252" w:lineRule="auto"/>
      </w:pPr>
      <w:r>
        <w:rPr>
          <w:b w:val="0"/>
          <w:i w:val="0"/>
        </w:rPr>
        <w:t>High risk, above 5% (2)</w:t>
      </w:r>
    </w:p>
    <w:p>
      <w:pPr>
        <w:spacing w:before="0" w:after="40" w:line="252" w:lineRule="auto"/>
      </w:pPr>
      <w:r>
        <w:rPr>
          <w:b w:val="0"/>
          <w:i w:val="0"/>
        </w:rPr>
        <w:t>CC classification (older adults):</w:t>
      </w:r>
    </w:p>
    <w:p>
      <w:pPr>
        <w:spacing w:before="0" w:after="40" w:line="252" w:lineRule="auto"/>
      </w:pPr>
      <w:r>
        <w:rPr>
          <w:b w:val="0"/>
          <w:i w:val="0"/>
        </w:rPr>
        <w:t>CC &gt;31 cm - Adequate (1)</w:t>
      </w:r>
    </w:p>
    <w:p>
      <w:pPr>
        <w:spacing w:before="0" w:after="40" w:line="252" w:lineRule="auto"/>
      </w:pPr>
      <w:r>
        <w:rPr>
          <w:b w:val="0"/>
          <w:i w:val="0"/>
        </w:rPr>
        <w:t>CC &lt;31 cm - Inadequate - nutritional risk (2)</w:t>
      </w:r>
    </w:p>
    <w:p>
      <w:pPr>
        <w:spacing w:before="120" w:after="40"/>
      </w:pPr>
      <w:r>
        <w:rPr>
          <w:b/>
          <w:sz w:val="23"/>
        </w:rPr>
        <w:t>BIOCHEMICAL TESTS</w:t>
      </w:r>
    </w:p>
    <w:p>
      <w:pPr>
        <w:spacing w:before="0" w:after="40" w:line="252" w:lineRule="auto"/>
      </w:pPr>
      <w:r>
        <w:rPr>
          <w:b w:val="0"/>
          <w:i w:val="0"/>
        </w:rPr>
        <w:t>Blood glucose:</w:t>
      </w:r>
    </w:p>
    <w:p>
      <w:pPr>
        <w:spacing w:before="0" w:after="40" w:line="252" w:lineRule="auto"/>
      </w:pPr>
      <w:r>
        <w:rPr>
          <w:b w:val="0"/>
          <w:i w:val="0"/>
        </w:rPr>
        <w:t>Normoglycemia (1)</w:t>
      </w:r>
    </w:p>
    <w:p>
      <w:pPr>
        <w:spacing w:before="0" w:after="40" w:line="252" w:lineRule="auto"/>
      </w:pPr>
      <w:r>
        <w:rPr>
          <w:b w:val="0"/>
          <w:i w:val="0"/>
        </w:rPr>
        <w:t>Increased risk for DM (2)</w:t>
      </w:r>
    </w:p>
    <w:p>
      <w:pPr>
        <w:spacing w:before="0" w:after="40" w:line="252" w:lineRule="auto"/>
      </w:pPr>
      <w:r>
        <w:rPr>
          <w:b w:val="0"/>
          <w:i w:val="0"/>
        </w:rPr>
        <w:t>Established DM (3)</w:t>
      </w:r>
    </w:p>
    <w:p>
      <w:pPr>
        <w:spacing w:before="0" w:after="40" w:line="252" w:lineRule="auto"/>
      </w:pPr>
      <w:r>
        <w:rPr>
          <w:b w:val="0"/>
          <w:i w:val="0"/>
        </w:rPr>
        <w:t>Total cholesterol</w:t>
      </w:r>
    </w:p>
    <w:p>
      <w:pPr>
        <w:spacing w:before="0" w:after="40" w:line="252" w:lineRule="auto"/>
      </w:pPr>
      <w:r>
        <w:rPr>
          <w:b w:val="0"/>
          <w:i w:val="0"/>
        </w:rPr>
        <w:t>Desirable (1) &lt;190</w:t>
      </w:r>
    </w:p>
    <w:p>
      <w:pPr>
        <w:spacing w:before="0" w:after="40" w:line="252" w:lineRule="auto"/>
      </w:pPr>
      <w:r>
        <w:rPr>
          <w:b w:val="0"/>
          <w:i w:val="0"/>
        </w:rPr>
        <w:t>High (2)</w:t>
      </w:r>
    </w:p>
    <w:p>
      <w:pPr>
        <w:spacing w:before="0" w:after="40" w:line="252" w:lineRule="auto"/>
      </w:pPr>
      <w:r>
        <w:rPr>
          <w:b w:val="0"/>
          <w:i w:val="0"/>
        </w:rPr>
        <w:t>Triglycerides</w:t>
      </w:r>
    </w:p>
    <w:p>
      <w:pPr>
        <w:spacing w:before="0" w:after="40" w:line="252" w:lineRule="auto"/>
      </w:pPr>
      <w:r>
        <w:rPr>
          <w:b w:val="0"/>
          <w:i w:val="0"/>
        </w:rPr>
        <w:t>Normal (1) &lt;150</w:t>
      </w:r>
    </w:p>
    <w:p>
      <w:pPr>
        <w:spacing w:before="0" w:after="40" w:line="252" w:lineRule="auto"/>
      </w:pPr>
      <w:r>
        <w:rPr>
          <w:b w:val="0"/>
          <w:i w:val="0"/>
        </w:rPr>
        <w:t>High (2)</w:t>
      </w:r>
    </w:p>
    <w:p>
      <w:pPr>
        <w:spacing w:before="0" w:after="40" w:line="252" w:lineRule="auto"/>
      </w:pPr>
      <w:r>
        <w:rPr>
          <w:b w:val="0"/>
          <w:i w:val="0"/>
        </w:rPr>
        <w:t>HDL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 &gt;40</w:t>
      </w:r>
    </w:p>
    <w:p>
      <w:pPr>
        <w:spacing w:before="0" w:after="40" w:line="252" w:lineRule="auto"/>
      </w:pPr>
      <w:r>
        <w:rPr>
          <w:b w:val="0"/>
          <w:i w:val="0"/>
        </w:rPr>
        <w:t>LDL</w:t>
      </w:r>
    </w:p>
    <w:p>
      <w:pPr>
        <w:spacing w:before="0" w:after="40" w:line="252" w:lineRule="auto"/>
      </w:pPr>
      <w:r>
        <w:rPr>
          <w:b w:val="0"/>
          <w:i w:val="0"/>
        </w:rPr>
        <w:t>Optimal (1) &lt;100</w:t>
      </w:r>
    </w:p>
    <w:p>
      <w:pPr>
        <w:spacing w:before="0" w:after="40" w:line="252" w:lineRule="auto"/>
      </w:pPr>
      <w:r>
        <w:rPr>
          <w:b w:val="0"/>
          <w:i w:val="0"/>
        </w:rPr>
        <w:t>Desirable (2) 100 to 129</w:t>
      </w:r>
    </w:p>
    <w:p>
      <w:pPr>
        <w:spacing w:before="0" w:after="40" w:line="252" w:lineRule="auto"/>
      </w:pPr>
      <w:r>
        <w:rPr>
          <w:b w:val="0"/>
          <w:i w:val="0"/>
        </w:rPr>
        <w:t>Borderline (3) 130 to 159</w:t>
      </w:r>
    </w:p>
    <w:p>
      <w:pPr>
        <w:spacing w:before="0" w:after="40" w:line="252" w:lineRule="auto"/>
      </w:pPr>
      <w:r>
        <w:rPr>
          <w:b w:val="0"/>
          <w:i w:val="0"/>
        </w:rPr>
        <w:t>High (4) 160 to 189</w:t>
      </w:r>
    </w:p>
    <w:p>
      <w:pPr>
        <w:spacing w:before="0" w:after="40" w:line="252" w:lineRule="auto"/>
      </w:pPr>
      <w:r>
        <w:rPr>
          <w:b w:val="0"/>
          <w:i w:val="0"/>
        </w:rPr>
        <w:t>Very high (5) &gt;189</w:t>
      </w:r>
    </w:p>
    <w:p>
      <w:pPr>
        <w:spacing w:before="0" w:after="40" w:line="252" w:lineRule="auto"/>
      </w:pPr>
      <w:r>
        <w:rPr>
          <w:b w:val="0"/>
          <w:i w:val="0"/>
        </w:rPr>
        <w:t>Vitamin D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 &gt;60 years and risk group: 30 to 60 ng/mL</w:t>
      </w:r>
    </w:p>
    <w:p>
      <w:pPr>
        <w:spacing w:before="0" w:after="40" w:line="252" w:lineRule="auto"/>
      </w:pPr>
      <w:r>
        <w:rPr>
          <w:b w:val="0"/>
          <w:i w:val="0"/>
        </w:rPr>
        <w:t>Calcium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8.4-9.5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Creatinine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7-11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Phosphorus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3.5-5.5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Potassium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3.5-5.5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ALT (TGP)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M: 0-41; F: 0-31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HGB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11-12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HCT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33-36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Pre-dialysis urea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130-200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%URR</w:t>
      </w:r>
    </w:p>
    <w:p>
      <w:pPr>
        <w:spacing w:before="0" w:after="40" w:line="252" w:lineRule="auto"/>
      </w:pPr>
      <w:r>
        <w:rPr>
          <w:b w:val="0"/>
          <w:i w:val="0"/>
        </w:rPr>
        <w:t>Adequate (1): greater than and/or equal to 65%</w:t>
      </w:r>
    </w:p>
    <w:p>
      <w:pPr>
        <w:spacing w:before="0" w:after="40" w:line="252" w:lineRule="auto"/>
      </w:pPr>
      <w:r>
        <w:rPr>
          <w:b w:val="0"/>
          <w:i w:val="0"/>
        </w:rPr>
        <w:t>Inadequate (2)</w:t>
      </w:r>
    </w:p>
    <w:p>
      <w:pPr>
        <w:spacing w:before="0" w:after="40" w:line="252" w:lineRule="auto"/>
      </w:pPr>
      <w:r>
        <w:rPr>
          <w:b w:val="0"/>
          <w:i w:val="0"/>
        </w:rPr>
        <w:t>Ferritin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M: 36-262; F: 10-155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Iron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50-150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ALP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50-250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Total proteins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6-8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Albumin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greater than and/or equal to 3.8</w:t>
      </w:r>
    </w:p>
    <w:p>
      <w:pPr>
        <w:spacing w:before="0" w:after="40" w:line="252" w:lineRule="auto"/>
      </w:pPr>
      <w:r>
        <w:rPr>
          <w:b w:val="0"/>
          <w:i w:val="0"/>
        </w:rPr>
        <w:t>PTH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150-300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0" w:after="40" w:line="252" w:lineRule="auto"/>
      </w:pPr>
      <w:r>
        <w:rPr>
          <w:b w:val="0"/>
          <w:i w:val="0"/>
        </w:rPr>
        <w:t>Sodium</w:t>
      </w:r>
    </w:p>
    <w:p>
      <w:pPr>
        <w:spacing w:before="0" w:after="40" w:line="252" w:lineRule="auto"/>
      </w:pPr>
      <w:r>
        <w:rPr>
          <w:b w:val="0"/>
          <w:i w:val="0"/>
        </w:rPr>
        <w:t>Low (1)</w:t>
      </w:r>
    </w:p>
    <w:p>
      <w:pPr>
        <w:spacing w:before="0" w:after="40" w:line="252" w:lineRule="auto"/>
      </w:pPr>
      <w:r>
        <w:rPr>
          <w:b w:val="0"/>
          <w:i w:val="0"/>
        </w:rPr>
        <w:t>Adequate (2): 137-145</w:t>
      </w:r>
    </w:p>
    <w:p>
      <w:pPr>
        <w:spacing w:before="0" w:after="40" w:line="252" w:lineRule="auto"/>
      </w:pPr>
      <w:r>
        <w:rPr>
          <w:b w:val="0"/>
          <w:i w:val="0"/>
        </w:rPr>
        <w:t>High (3)</w:t>
      </w:r>
    </w:p>
    <w:p>
      <w:pPr>
        <w:spacing w:before="160" w:after="60"/>
      </w:pPr>
      <w:r>
        <w:rPr>
          <w:b/>
          <w:sz w:val="26"/>
        </w:rPr>
        <w:t>3. Brazilian Food Insecurity Scale (EBIA)</w:t>
      </w:r>
    </w:p>
    <w:p>
      <w:pPr>
        <w:spacing w:before="0" w:after="40" w:line="252" w:lineRule="auto"/>
      </w:pPr>
      <w:r>
        <w:rPr>
          <w:b w:val="0"/>
          <w:i w:val="0"/>
        </w:rPr>
        <w:t>0 (zero): food security; (1)</w:t>
      </w:r>
    </w:p>
    <w:p>
      <w:pPr>
        <w:spacing w:before="0" w:after="40" w:line="252" w:lineRule="auto"/>
      </w:pPr>
      <w:r>
        <w:rPr>
          <w:b w:val="0"/>
          <w:i w:val="0"/>
        </w:rPr>
        <w:t>1 to 5: mild food insecurity (FI); (2)</w:t>
      </w:r>
    </w:p>
    <w:p>
      <w:pPr>
        <w:spacing w:before="0" w:after="40" w:line="252" w:lineRule="auto"/>
      </w:pPr>
      <w:r>
        <w:rPr>
          <w:b w:val="0"/>
          <w:i w:val="0"/>
        </w:rPr>
        <w:t>6 to 10: moderate food insecurity (MFI); (3)</w:t>
      </w:r>
    </w:p>
    <w:p>
      <w:pPr>
        <w:spacing w:before="0" w:after="40" w:line="252" w:lineRule="auto"/>
      </w:pPr>
      <w:r>
        <w:rPr>
          <w:b w:val="0"/>
          <w:i w:val="0"/>
        </w:rPr>
        <w:t>11 to 15, as severe food insecurity (SFI) (4)</w:t>
      </w:r>
    </w:p>
    <w:p>
      <w:pPr>
        <w:spacing w:before="0" w:after="40" w:line="252" w:lineRule="auto"/>
      </w:pPr>
      <w:r>
        <w:rPr>
          <w:b w:val="0"/>
          <w:i w:val="0"/>
        </w:rPr>
        <w:t>Presence of residents under 18 years of age?</w:t>
      </w:r>
    </w:p>
    <w:p>
      <w:pPr>
        <w:spacing w:before="0" w:after="40" w:line="252" w:lineRule="auto"/>
      </w:pPr>
      <w:r>
        <w:rPr>
          <w:b w:val="0"/>
          <w:i w:val="0"/>
        </w:rPr>
        <w:t>(1) Yes</w:t>
      </w:r>
    </w:p>
    <w:p>
      <w:pPr>
        <w:spacing w:before="0" w:after="40" w:line="252" w:lineRule="auto"/>
      </w:pPr>
      <w:r>
        <w:rPr>
          <w:b w:val="0"/>
          <w:i w:val="0"/>
        </w:rPr>
        <w:t>(2) No</w:t>
      </w:r>
    </w:p>
    <w:p>
      <w:pPr>
        <w:spacing w:before="160" w:after="60"/>
      </w:pPr>
      <w:r>
        <w:rPr>
          <w:b/>
          <w:sz w:val="26"/>
        </w:rPr>
        <w:t>4. Food Consumption Questionnaire</w:t>
      </w:r>
    </w:p>
    <w:p>
      <w:pPr>
        <w:spacing w:before="0" w:after="40" w:line="252" w:lineRule="auto"/>
      </w:pPr>
      <w:r>
        <w:rPr>
          <w:b w:val="0"/>
          <w:i w:val="0"/>
        </w:rPr>
        <w:t>Food groups</w:t>
      </w:r>
    </w:p>
    <w:p>
      <w:pPr>
        <w:spacing w:before="0" w:after="40" w:line="252" w:lineRule="auto"/>
      </w:pPr>
      <w:r>
        <w:rPr>
          <w:b w:val="0"/>
          <w:i w:val="0"/>
        </w:rPr>
        <w:t>0-Daily;</w:t>
      </w:r>
    </w:p>
    <w:p>
      <w:pPr>
        <w:spacing w:before="0" w:after="40" w:line="252" w:lineRule="auto"/>
      </w:pPr>
      <w:r>
        <w:rPr>
          <w:b w:val="0"/>
          <w:i w:val="0"/>
        </w:rPr>
        <w:t>1-Weekly;</w:t>
      </w:r>
    </w:p>
    <w:p>
      <w:pPr>
        <w:spacing w:before="0" w:after="40" w:line="252" w:lineRule="auto"/>
      </w:pPr>
      <w:r>
        <w:rPr>
          <w:b w:val="0"/>
          <w:i w:val="0"/>
        </w:rPr>
        <w:t>2-Monthly.</w:t>
      </w:r>
    </w:p>
    <w:p>
      <w:pPr>
        <w:spacing w:before="0" w:after="40" w:line="252" w:lineRule="auto"/>
      </w:pPr>
      <w:r>
        <w:rPr>
          <w:b w:val="0"/>
          <w:i w:val="0"/>
        </w:rPr>
        <w:t>Does the participant adequately follow the dietary guidelines?</w:t>
      </w:r>
    </w:p>
    <w:p>
      <w:pPr>
        <w:spacing w:before="0" w:after="40" w:line="252" w:lineRule="auto"/>
      </w:pPr>
      <w:r>
        <w:rPr>
          <w:b w:val="0"/>
          <w:i w:val="0"/>
        </w:rPr>
        <w:t>(1) Yes</w:t>
      </w:r>
    </w:p>
    <w:p>
      <w:pPr>
        <w:spacing w:before="0" w:after="40" w:line="252" w:lineRule="auto"/>
      </w:pPr>
      <w:r>
        <w:rPr>
          <w:b w:val="0"/>
          <w:i w:val="0"/>
        </w:rPr>
        <w:t>(2) Partially</w:t>
      </w:r>
    </w:p>
    <w:p>
      <w:pPr>
        <w:spacing w:before="0" w:after="40" w:line="252" w:lineRule="auto"/>
      </w:pPr>
      <w:r>
        <w:rPr>
          <w:b w:val="0"/>
          <w:i w:val="0"/>
        </w:rPr>
        <w:t>(3) No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