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d6q45p32q2rd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Budget impact analysis of Gastric Alimetry® in patients with chronic gastric symptoms in the United Kingdom National Health Service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Supplementary </w:t>
      </w:r>
      <w:r w:rsidDel="00000000" w:rsidR="00000000" w:rsidRPr="00000000">
        <w:rPr>
          <w:b w:val="1"/>
          <w:bCs w:val="1"/>
          <w:u w:val="single"/>
          <w:rtl w:val="0"/>
        </w:rPr>
        <w:t xml:space="preserve">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480" w:lineRule="auto"/>
        <w:rPr/>
      </w:pPr>
      <w:r w:rsidDel="00000000" w:rsidR="00000000" w:rsidRPr="00000000">
        <w:rPr/>
        <w:drawing>
          <wp:inline distB="114300" distT="114300" distL="114300" distR="114300">
            <wp:extent cx="5129213" cy="320362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9213" cy="32036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4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Supplementary Figure S1. </w:t>
      </w:r>
      <w:r w:rsidDel="00000000" w:rsidR="00000000" w:rsidRPr="00000000">
        <w:rPr>
          <w:rtl w:val="0"/>
        </w:rPr>
        <w:t xml:space="preserve">Scenario analyses varying the percentage of the patient population assumed to receive a Gastric Alimetry Test over the time horizon. The red cross indicates the base case analysis. </w:t>
      </w:r>
    </w:p>
    <w:p w:rsidR="00000000" w:rsidDel="00000000" w:rsidP="00000000" w:rsidRDefault="00000000" w:rsidRPr="00000000" w14:paraId="00000008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48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3581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4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Supplementary Figure S2. </w:t>
      </w:r>
      <w:r w:rsidDel="00000000" w:rsidR="00000000" w:rsidRPr="00000000">
        <w:rPr>
          <w:rtl w:val="0"/>
        </w:rPr>
        <w:t xml:space="preserve">Scenario analyses varying the number of sites offering a Gastric Alimetry Test over the time horizon. The red cross indicates the base case analysis. </w:t>
      </w:r>
    </w:p>
    <w:p w:rsidR="00000000" w:rsidDel="00000000" w:rsidP="00000000" w:rsidRDefault="00000000" w:rsidRPr="00000000" w14:paraId="0000000C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Supplementary Table S1. </w:t>
      </w:r>
      <w:r w:rsidDel="00000000" w:rsidR="00000000" w:rsidRPr="00000000">
        <w:rPr>
          <w:rtl w:val="0"/>
        </w:rPr>
        <w:t xml:space="preserve">Detailed cost breakdown of the scenario analyses, which included patients with chronic nausea and vomiting syndrome.</w:t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10.425608026151"/>
        <w:gridCol w:w="2365.9566209576287"/>
        <w:gridCol w:w="2252.843157007463"/>
        <w:gridCol w:w="2196.28642503238"/>
        <w:tblGridChange w:id="0">
          <w:tblGrid>
            <w:gridCol w:w="2210.425608026151"/>
            <w:gridCol w:w="2365.9566209576287"/>
            <w:gridCol w:w="2252.843157007463"/>
            <w:gridCol w:w="2196.28642503238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 Category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Standard of Care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With Gastric Alimetry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Incremental Impact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Gastric Alimetry tests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£0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£21,324,600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 £21,324,600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Investigations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£326,690,031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£311,580,481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£15,109,550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Hospital admissions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£2,447,781,598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£2,287,338,771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£160,442,827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Gastroenterology appointments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£15,606,410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£14,784,037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£822,373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A&amp;E attendance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£106,504,211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£98,059,949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- £8,444,262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Nutrition support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£622,804,312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£585,691,960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- £37,112,352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Net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£3,519,386,564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£3,318,779,797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 £200,606,767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(net saving)</w:t>
            </w:r>
          </w:p>
        </w:tc>
      </w:tr>
    </w:tbl>
    <w:p w:rsidR="00000000" w:rsidDel="00000000" w:rsidP="00000000" w:rsidRDefault="00000000" w:rsidRPr="00000000" w14:paraId="00000037">
      <w:pPr>
        <w:spacing w:line="480" w:lineRule="auto"/>
        <w:rPr>
          <w:color w:val="ff00ff"/>
        </w:rPr>
      </w:pPr>
      <w:r w:rsidDel="00000000" w:rsidR="00000000" w:rsidRPr="00000000">
        <w:rPr>
          <w:i w:val="1"/>
          <w:iCs w:val="1"/>
          <w:rtl w:val="0"/>
        </w:rPr>
        <w:t xml:space="preserve">Note: Costs have been rounded to the nearest pound.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="48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