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3A1D" w14:textId="5334D5C2" w:rsidR="00353452" w:rsidRDefault="00353452" w:rsidP="00353452">
      <w:pPr>
        <w:spacing w:line="480" w:lineRule="auto"/>
        <w:jc w:val="center"/>
        <w:rPr>
          <w:rFonts w:ascii="Arial" w:hAnsi="Arial" w:cs="Arial"/>
          <w:b/>
          <w:bCs/>
        </w:rPr>
      </w:pPr>
      <w:r w:rsidRPr="00332785">
        <w:rPr>
          <w:rFonts w:ascii="Arial" w:hAnsi="Arial" w:cs="Arial"/>
          <w:b/>
          <w:bCs/>
        </w:rPr>
        <w:t xml:space="preserve">Brain metabolic </w:t>
      </w:r>
      <w:r>
        <w:rPr>
          <w:rFonts w:ascii="Arial" w:hAnsi="Arial" w:cs="Arial"/>
          <w:b/>
          <w:bCs/>
        </w:rPr>
        <w:t>resilience</w:t>
      </w:r>
      <w:r w:rsidRPr="00332785">
        <w:rPr>
          <w:rFonts w:ascii="Arial" w:hAnsi="Arial" w:cs="Arial"/>
          <w:b/>
          <w:bCs/>
        </w:rPr>
        <w:t xml:space="preserve"> conferred by the </w:t>
      </w:r>
      <w:r w:rsidRPr="00332785">
        <w:rPr>
          <w:rFonts w:ascii="Arial" w:hAnsi="Arial" w:cs="Arial"/>
          <w:b/>
          <w:bCs/>
          <w:i/>
          <w:iCs/>
        </w:rPr>
        <w:t>APOE3</w:t>
      </w:r>
      <w:r w:rsidRPr="00332785">
        <w:rPr>
          <w:rFonts w:ascii="Arial" w:hAnsi="Arial" w:cs="Arial"/>
          <w:b/>
          <w:bCs/>
        </w:rPr>
        <w:t xml:space="preserve"> Christchurch variant in autosomal dominant Alzheimer’s disease and across the adult lifespan</w:t>
      </w:r>
    </w:p>
    <w:p w14:paraId="037E6B7E" w14:textId="77777777" w:rsidR="00353452" w:rsidRDefault="00353452" w:rsidP="00353452">
      <w:pPr>
        <w:spacing w:line="48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47960">
        <w:rPr>
          <w:rFonts w:ascii="Arial" w:hAnsi="Arial" w:cs="Arial"/>
          <w:sz w:val="22"/>
          <w:szCs w:val="22"/>
        </w:rPr>
        <w:t>Catarina Tristão-Pereira</w:t>
      </w:r>
      <w:r w:rsidRPr="00F47960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</w:t>
      </w:r>
      <w:r w:rsidRPr="00F47960">
        <w:rPr>
          <w:rFonts w:ascii="Arial" w:hAnsi="Arial" w:cs="Arial"/>
          <w:sz w:val="22"/>
          <w:szCs w:val="22"/>
        </w:rPr>
        <w:t>, Vincent Malotaux</w:t>
      </w:r>
      <w:r w:rsidRPr="00F47960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</w:t>
      </w:r>
      <w:r w:rsidRPr="00F47960">
        <w:rPr>
          <w:rFonts w:ascii="Arial" w:hAnsi="Arial" w:cs="Arial"/>
          <w:sz w:val="22"/>
          <w:szCs w:val="22"/>
        </w:rPr>
        <w:t xml:space="preserve">, </w:t>
      </w:r>
      <w:r w:rsidRPr="003114D9">
        <w:rPr>
          <w:rFonts w:ascii="Arial" w:hAnsi="Arial" w:cs="Arial"/>
          <w:sz w:val="22"/>
          <w:szCs w:val="22"/>
        </w:rPr>
        <w:t>Yesica Zuluaga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3114D9">
        <w:rPr>
          <w:rFonts w:ascii="Arial" w:hAnsi="Arial" w:cs="Arial"/>
          <w:sz w:val="22"/>
          <w:szCs w:val="22"/>
        </w:rPr>
        <w:t>, Claudia Munoz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3114D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George E. Silva</w:t>
      </w:r>
      <w:r w:rsidRPr="00F47960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</w:t>
      </w:r>
      <w:r>
        <w:rPr>
          <w:rFonts w:ascii="Arial" w:hAnsi="Arial" w:cs="Arial"/>
          <w:sz w:val="22"/>
          <w:szCs w:val="22"/>
        </w:rPr>
        <w:t>, Bing He</w:t>
      </w:r>
      <w:r w:rsidRPr="00332785">
        <w:rPr>
          <w:rFonts w:ascii="Arial" w:hAnsi="Arial" w:cs="Arial"/>
          <w:sz w:val="22"/>
          <w:szCs w:val="22"/>
          <w:vertAlign w:val="superscript"/>
        </w:rPr>
        <w:t>1,2</w:t>
      </w:r>
      <w:r>
        <w:rPr>
          <w:rFonts w:ascii="Arial" w:hAnsi="Arial" w:cs="Arial"/>
          <w:sz w:val="22"/>
          <w:szCs w:val="22"/>
        </w:rPr>
        <w:t xml:space="preserve">, </w:t>
      </w:r>
      <w:r w:rsidRPr="003114D9">
        <w:rPr>
          <w:rFonts w:ascii="Arial" w:hAnsi="Arial" w:cs="Arial"/>
          <w:sz w:val="22"/>
          <w:szCs w:val="22"/>
        </w:rPr>
        <w:t>Diana Alzate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3114D9">
        <w:rPr>
          <w:rFonts w:ascii="Arial" w:hAnsi="Arial" w:cs="Arial"/>
          <w:sz w:val="22"/>
          <w:szCs w:val="22"/>
        </w:rPr>
        <w:t>, Yamile Bocanegra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3114D9">
        <w:rPr>
          <w:rFonts w:ascii="Arial" w:hAnsi="Arial" w:cs="Arial"/>
          <w:sz w:val="22"/>
          <w:szCs w:val="22"/>
        </w:rPr>
        <w:t>, Alejandro Guerrero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3114D9">
        <w:rPr>
          <w:rFonts w:ascii="Arial" w:hAnsi="Arial" w:cs="Arial"/>
          <w:sz w:val="22"/>
          <w:szCs w:val="22"/>
        </w:rPr>
        <w:t>, Laura Serna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3114D9">
        <w:rPr>
          <w:rFonts w:ascii="Arial" w:hAnsi="Arial" w:cs="Arial"/>
          <w:sz w:val="22"/>
          <w:szCs w:val="22"/>
        </w:rPr>
        <w:t>, Carolina Ospina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3114D9">
        <w:rPr>
          <w:rFonts w:ascii="Arial" w:hAnsi="Arial" w:cs="Arial"/>
          <w:sz w:val="22"/>
          <w:szCs w:val="22"/>
        </w:rPr>
        <w:t>, Monica Vidal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3114D9">
        <w:rPr>
          <w:rFonts w:ascii="Arial" w:hAnsi="Arial" w:cs="Arial"/>
          <w:sz w:val="22"/>
          <w:szCs w:val="22"/>
        </w:rPr>
        <w:t>, Sergio Alvarez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3114D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Rafael Posada-Duque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, </w:t>
      </w:r>
      <w:r w:rsidRPr="003114D9">
        <w:rPr>
          <w:rFonts w:ascii="Arial" w:hAnsi="Arial" w:cs="Arial"/>
          <w:sz w:val="22"/>
          <w:szCs w:val="22"/>
        </w:rPr>
        <w:t>Joseph F. Arboleda-Velasquez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 w:rsidRPr="003114D9">
        <w:rPr>
          <w:rFonts w:ascii="Arial" w:hAnsi="Arial" w:cs="Arial"/>
          <w:sz w:val="22"/>
          <w:szCs w:val="22"/>
        </w:rPr>
        <w:t>, David Aguillon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3114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114D9">
        <w:rPr>
          <w:rFonts w:ascii="Arial" w:hAnsi="Arial" w:cs="Arial"/>
          <w:sz w:val="22"/>
          <w:szCs w:val="22"/>
        </w:rPr>
        <w:t>Yakeel</w:t>
      </w:r>
      <w:proofErr w:type="spellEnd"/>
      <w:r w:rsidRPr="003114D9">
        <w:rPr>
          <w:rFonts w:ascii="Arial" w:hAnsi="Arial" w:cs="Arial"/>
          <w:sz w:val="22"/>
          <w:szCs w:val="22"/>
        </w:rPr>
        <w:t xml:space="preserve"> T. Quiroz</w:t>
      </w:r>
      <w:r w:rsidRPr="003114D9">
        <w:rPr>
          <w:rFonts w:ascii="Arial" w:hAnsi="Arial" w:cs="Arial"/>
          <w:sz w:val="22"/>
          <w:szCs w:val="22"/>
          <w:vertAlign w:val="superscript"/>
        </w:rPr>
        <w:t>1,</w:t>
      </w:r>
      <w:r>
        <w:rPr>
          <w:rFonts w:ascii="Arial" w:hAnsi="Arial" w:cs="Arial"/>
          <w:sz w:val="22"/>
          <w:szCs w:val="22"/>
          <w:vertAlign w:val="superscript"/>
        </w:rPr>
        <w:t>2,3*</w:t>
      </w:r>
    </w:p>
    <w:p w14:paraId="23EE651E" w14:textId="77777777" w:rsidR="00353452" w:rsidRPr="00F47960" w:rsidRDefault="00353452" w:rsidP="00353452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BA9E70D" w14:textId="77777777" w:rsidR="00353452" w:rsidRDefault="00353452" w:rsidP="00353452">
      <w:pPr>
        <w:spacing w:line="480" w:lineRule="auto"/>
        <w:jc w:val="center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1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Department of Psychological &amp; Brain Sciences, Boston University, MA, USA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;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2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Department of Psychiatry, Massachusetts General Hospital,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Harvard Medical School, 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Boston, MA, USA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;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3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Grupo de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Neurociencias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de Antioquia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Facultad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de Medicina, 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Universi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dad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de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Antioquia, Medellín, Colombia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;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4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Hospital Pablo Tobón Uribe, Medellín, Colombia;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Schepens Eye Research Institute of Mass Eye and Ear and Department of Ophthalmology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</w:t>
      </w:r>
      <w:r w:rsidRPr="003114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Harvard Medical School, Boston, MA, USA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14:paraId="33E3DD4A" w14:textId="77777777" w:rsidR="00353452" w:rsidRDefault="00353452" w:rsidP="00353452">
      <w:pPr>
        <w:spacing w:line="480" w:lineRule="auto"/>
        <w:jc w:val="center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47AD311B" w14:textId="77777777" w:rsidR="00353452" w:rsidRDefault="00353452" w:rsidP="003534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*Corresponding author: </w:t>
      </w:r>
    </w:p>
    <w:p w14:paraId="5A41AEC0" w14:textId="77777777" w:rsidR="00353452" w:rsidRDefault="00353452" w:rsidP="003534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Yakeel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T. Quiroz, PhD</w:t>
      </w:r>
    </w:p>
    <w:p w14:paraId="24D9E2B4" w14:textId="77777777" w:rsidR="00353452" w:rsidRPr="00580C17" w:rsidRDefault="00353452" w:rsidP="00353452">
      <w:pPr>
        <w:spacing w:line="480" w:lineRule="auto"/>
        <w:rPr>
          <w:rFonts w:ascii="Arial" w:hAnsi="Arial" w:cs="Arial"/>
          <w:sz w:val="22"/>
          <w:szCs w:val="22"/>
        </w:rPr>
      </w:pPr>
      <w:r w:rsidRPr="00580C17">
        <w:rPr>
          <w:rFonts w:ascii="Arial" w:hAnsi="Arial" w:cs="Arial"/>
          <w:sz w:val="22"/>
          <w:szCs w:val="22"/>
        </w:rPr>
        <w:t>610 Commonwealth Ave, Office 901, Boston, MA, 02215, USA</w:t>
      </w:r>
    </w:p>
    <w:p w14:paraId="55DADCE5" w14:textId="77777777" w:rsidR="00353452" w:rsidRPr="00580C17" w:rsidRDefault="00353452" w:rsidP="00353452">
      <w:pPr>
        <w:spacing w:line="480" w:lineRule="auto"/>
        <w:rPr>
          <w:rFonts w:ascii="Arial" w:hAnsi="Arial" w:cs="Arial"/>
          <w:sz w:val="22"/>
          <w:szCs w:val="22"/>
        </w:rPr>
      </w:pPr>
      <w:r w:rsidRPr="00580C17">
        <w:rPr>
          <w:rFonts w:ascii="Arial" w:hAnsi="Arial" w:cs="Arial"/>
          <w:sz w:val="22"/>
          <w:szCs w:val="22"/>
        </w:rPr>
        <w:t>+1 (617) 358-1677</w:t>
      </w:r>
    </w:p>
    <w:p w14:paraId="48591E4C" w14:textId="77777777" w:rsidR="00353452" w:rsidRPr="00580C17" w:rsidRDefault="00353452" w:rsidP="00353452">
      <w:pPr>
        <w:spacing w:line="480" w:lineRule="auto"/>
        <w:rPr>
          <w:rFonts w:ascii="Arial" w:hAnsi="Arial" w:cs="Arial"/>
          <w:sz w:val="22"/>
          <w:szCs w:val="22"/>
        </w:rPr>
      </w:pPr>
      <w:r w:rsidRPr="00580C17">
        <w:rPr>
          <w:rFonts w:ascii="Arial" w:hAnsi="Arial" w:cs="Arial"/>
          <w:sz w:val="22"/>
          <w:szCs w:val="22"/>
        </w:rPr>
        <w:t>yquiroz@bu.edu</w:t>
      </w:r>
    </w:p>
    <w:p w14:paraId="48D6B5FD" w14:textId="77777777" w:rsidR="00353452" w:rsidRDefault="00353452" w:rsidP="00353452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03105913" w14:textId="77777777" w:rsidR="00353452" w:rsidRDefault="00353452" w:rsidP="00353452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0E4356C4" w14:textId="77777777" w:rsidR="00353452" w:rsidRDefault="00353452" w:rsidP="00353452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5B57B188" w14:textId="0E433B11" w:rsidR="00353452" w:rsidRDefault="00353452" w:rsidP="00353452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</w:t>
      </w:r>
      <w:r w:rsidR="00F772A1">
        <w:rPr>
          <w:rFonts w:ascii="Arial" w:hAnsi="Arial" w:cs="Arial"/>
          <w:b/>
          <w:bCs/>
          <w:sz w:val="22"/>
          <w:szCs w:val="22"/>
        </w:rPr>
        <w:t>Information</w:t>
      </w:r>
    </w:p>
    <w:p w14:paraId="0845A9AC" w14:textId="5807E63E" w:rsidR="00353452" w:rsidRDefault="00353452" w:rsidP="00353452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Pr="00C00DFE">
        <w:rPr>
          <w:rFonts w:ascii="Arial" w:hAnsi="Arial" w:cs="Arial"/>
          <w:b/>
          <w:bCs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00DFE">
        <w:rPr>
          <w:rFonts w:ascii="Arial" w:hAnsi="Arial" w:cs="Arial"/>
          <w:b/>
          <w:bCs/>
          <w:sz w:val="22"/>
          <w:szCs w:val="22"/>
        </w:rPr>
        <w:t>.</w:t>
      </w:r>
      <w:r w:rsidRPr="00C00D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Secondary</w:t>
      </w:r>
      <w:r w:rsidRPr="00AB4D98">
        <w:rPr>
          <w:rFonts w:ascii="Arial" w:hAnsi="Arial" w:cs="Arial"/>
          <w:sz w:val="22"/>
          <w:szCs w:val="22"/>
        </w:rPr>
        <w:t xml:space="preserve"> cognitive performance </w:t>
      </w:r>
      <w:r>
        <w:rPr>
          <w:rFonts w:ascii="Arial" w:hAnsi="Arial" w:cs="Arial"/>
          <w:sz w:val="22"/>
          <w:szCs w:val="22"/>
        </w:rPr>
        <w:t xml:space="preserve">trajectories </w:t>
      </w:r>
      <w:r w:rsidRPr="00AB4D98">
        <w:rPr>
          <w:rFonts w:ascii="Arial" w:hAnsi="Arial" w:cs="Arial"/>
          <w:sz w:val="22"/>
          <w:szCs w:val="22"/>
        </w:rPr>
        <w:t xml:space="preserve">in cognitively unimpaired </w:t>
      </w:r>
      <w:r w:rsidRPr="00AB4D98">
        <w:rPr>
          <w:rFonts w:ascii="Arial" w:hAnsi="Arial" w:cs="Arial"/>
          <w:i/>
          <w:iCs/>
          <w:sz w:val="22"/>
          <w:szCs w:val="22"/>
        </w:rPr>
        <w:t>APOE3</w:t>
      </w:r>
      <w:r w:rsidRPr="00AB4D98">
        <w:rPr>
          <w:rFonts w:ascii="Arial" w:hAnsi="Arial" w:cs="Arial"/>
          <w:i/>
          <w:iCs/>
          <w:sz w:val="22"/>
          <w:szCs w:val="22"/>
          <w:vertAlign w:val="superscript"/>
        </w:rPr>
        <w:t>Ch</w:t>
      </w:r>
      <w:r w:rsidRPr="00AB4D98">
        <w:rPr>
          <w:rFonts w:ascii="Arial" w:hAnsi="Arial" w:cs="Arial"/>
          <w:sz w:val="22"/>
          <w:szCs w:val="22"/>
        </w:rPr>
        <w:t xml:space="preserve"> carriers </w:t>
      </w:r>
      <w:r>
        <w:rPr>
          <w:rFonts w:ascii="Arial" w:hAnsi="Arial" w:cs="Arial"/>
          <w:sz w:val="22"/>
          <w:szCs w:val="22"/>
        </w:rPr>
        <w:t>compared to non-carriers. Scatterplots showing the correlations between age and naming scores (</w:t>
      </w:r>
      <w:r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), TMTA time (</w:t>
      </w:r>
      <w:r w:rsidRPr="00737F41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), TMTB time (</w:t>
      </w:r>
      <w:r w:rsidRPr="00737F41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and Raven (</w:t>
      </w:r>
      <w:r w:rsidRPr="00737F41"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) scores between groups. </w:t>
      </w:r>
      <w:r w:rsidRPr="00371B92">
        <w:rPr>
          <w:rFonts w:ascii="Arial" w:hAnsi="Arial" w:cs="Arial"/>
          <w:sz w:val="22"/>
          <w:szCs w:val="22"/>
        </w:rPr>
        <w:t>β</w:t>
      </w:r>
      <w:r>
        <w:rPr>
          <w:rFonts w:ascii="Arial" w:hAnsi="Arial" w:cs="Arial"/>
          <w:sz w:val="22"/>
          <w:szCs w:val="22"/>
        </w:rPr>
        <w:t xml:space="preserve"> represent the regression estimates for interaction effects, i.e., slope differences between groups, from age, sex and education-adjusted robust regression models. </w:t>
      </w:r>
      <w:r w:rsidRPr="00737F41">
        <w:rPr>
          <w:rFonts w:ascii="Arial" w:hAnsi="Arial" w:cs="Arial"/>
          <w:sz w:val="22"/>
          <w:szCs w:val="22"/>
        </w:rPr>
        <w:t>Scatter</w:t>
      </w:r>
      <w:r>
        <w:rPr>
          <w:rFonts w:ascii="Arial" w:hAnsi="Arial" w:cs="Arial"/>
          <w:sz w:val="22"/>
          <w:szCs w:val="22"/>
        </w:rPr>
        <w:t>plots showing the correlation between FDG SUVR z-scores in the anterior cingulate cortex and naming scores (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), TMTA time (</w:t>
      </w:r>
      <w:r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), TMTB time (</w:t>
      </w:r>
      <w:r>
        <w:rPr>
          <w:rFonts w:ascii="Arial" w:hAnsi="Arial" w:cs="Arial"/>
          <w:b/>
          <w:bCs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) and Raven (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) age-adjusted z-scores in </w:t>
      </w:r>
      <w:r w:rsidRPr="00737F41">
        <w:rPr>
          <w:rFonts w:ascii="Arial" w:hAnsi="Arial" w:cs="Arial"/>
          <w:i/>
          <w:iCs/>
          <w:sz w:val="22"/>
          <w:szCs w:val="22"/>
        </w:rPr>
        <w:t>APOE3</w:t>
      </w:r>
      <w:r w:rsidRPr="00737F41">
        <w:rPr>
          <w:rFonts w:ascii="Arial" w:hAnsi="Arial" w:cs="Arial"/>
          <w:i/>
          <w:iCs/>
          <w:sz w:val="22"/>
          <w:szCs w:val="22"/>
          <w:vertAlign w:val="superscript"/>
        </w:rPr>
        <w:t>Ch</w:t>
      </w:r>
      <w:r w:rsidRPr="00737F41">
        <w:rPr>
          <w:rFonts w:ascii="Arial" w:hAnsi="Arial" w:cs="Arial"/>
          <w:sz w:val="22"/>
          <w:szCs w:val="22"/>
        </w:rPr>
        <w:t xml:space="preserve"> carriers</w:t>
      </w:r>
      <w:r>
        <w:rPr>
          <w:rFonts w:ascii="Arial" w:hAnsi="Arial" w:cs="Arial"/>
          <w:sz w:val="22"/>
          <w:szCs w:val="22"/>
        </w:rPr>
        <w:t xml:space="preserve"> relative to non-carriers. Dashed horizontal and vertical lines represent the quadrants for positive and negative age-adjusted z-scores, with positive z-scores representing higher values for </w:t>
      </w:r>
      <w:r w:rsidRPr="00737F41">
        <w:rPr>
          <w:rFonts w:ascii="Arial" w:hAnsi="Arial" w:cs="Arial"/>
          <w:i/>
          <w:iCs/>
          <w:sz w:val="22"/>
          <w:szCs w:val="22"/>
        </w:rPr>
        <w:t>APOE3</w:t>
      </w:r>
      <w:r w:rsidRPr="00737F41">
        <w:rPr>
          <w:rFonts w:ascii="Arial" w:hAnsi="Arial" w:cs="Arial"/>
          <w:i/>
          <w:iCs/>
          <w:sz w:val="22"/>
          <w:szCs w:val="22"/>
          <w:vertAlign w:val="superscript"/>
        </w:rPr>
        <w:t>Ch</w:t>
      </w:r>
      <w:r w:rsidRPr="00737F41">
        <w:rPr>
          <w:rFonts w:ascii="Arial" w:hAnsi="Arial" w:cs="Arial"/>
          <w:sz w:val="22"/>
          <w:szCs w:val="22"/>
        </w:rPr>
        <w:t xml:space="preserve"> carriers</w:t>
      </w:r>
      <w:r>
        <w:rPr>
          <w:rFonts w:ascii="Arial" w:hAnsi="Arial" w:cs="Arial"/>
          <w:sz w:val="22"/>
          <w:szCs w:val="22"/>
        </w:rPr>
        <w:t xml:space="preserve"> than non-carriers. </w:t>
      </w:r>
      <w:r w:rsidRPr="00371B92">
        <w:rPr>
          <w:rFonts w:ascii="Arial" w:hAnsi="Arial" w:cs="Arial"/>
          <w:sz w:val="22"/>
          <w:szCs w:val="22"/>
        </w:rPr>
        <w:t>β</w:t>
      </w:r>
      <w:r>
        <w:rPr>
          <w:rFonts w:ascii="Arial" w:hAnsi="Arial" w:cs="Arial"/>
          <w:sz w:val="22"/>
          <w:szCs w:val="22"/>
        </w:rPr>
        <w:t xml:space="preserve"> represent the regression coefficient for the main effect from age, sex and education-adjusted robust regression models.</w:t>
      </w:r>
    </w:p>
    <w:p w14:paraId="43DDCAAE" w14:textId="77777777" w:rsidR="00353452" w:rsidRDefault="00353452" w:rsidP="00353452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5D18CED" wp14:editId="432BD92B">
            <wp:extent cx="5943600" cy="4108450"/>
            <wp:effectExtent l="0" t="0" r="0" b="6350"/>
            <wp:docPr id="1476879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879940" name="Picture 14768799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888FF" w14:textId="4218BD9A" w:rsidR="00353452" w:rsidRDefault="00353452" w:rsidP="00353452">
      <w:pPr>
        <w:spacing w:line="480" w:lineRule="auto"/>
        <w:rPr>
          <w:rFonts w:ascii="Arial" w:hAnsi="Arial" w:cs="Arial"/>
          <w:sz w:val="22"/>
          <w:szCs w:val="22"/>
        </w:rPr>
      </w:pPr>
      <w:r w:rsidRPr="002E131D"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Figure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2E131D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Study Flow.</w:t>
      </w:r>
    </w:p>
    <w:p w14:paraId="04A2CFE4" w14:textId="68A6535A" w:rsidR="00353452" w:rsidRDefault="00353452" w:rsidP="00353452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F622C5F" wp14:editId="51ABA320">
            <wp:extent cx="5943600" cy="2548255"/>
            <wp:effectExtent l="0" t="0" r="0" b="4445"/>
            <wp:docPr id="16827878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787895" name="Picture 16827878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F021E" w14:textId="788C4C7D" w:rsidR="00691087" w:rsidRPr="00353452" w:rsidRDefault="00691087">
      <w:pPr>
        <w:rPr>
          <w:rFonts w:ascii="Arial" w:hAnsi="Arial" w:cs="Arial"/>
          <w:b/>
          <w:bCs/>
          <w:sz w:val="22"/>
          <w:szCs w:val="22"/>
        </w:rPr>
      </w:pPr>
    </w:p>
    <w:sectPr w:rsidR="00691087" w:rsidRPr="00353452" w:rsidSect="00353452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DA75" w14:textId="77777777" w:rsidR="005223BD" w:rsidRDefault="005223BD" w:rsidP="00353452">
      <w:pPr>
        <w:spacing w:after="0" w:line="240" w:lineRule="auto"/>
      </w:pPr>
      <w:r>
        <w:separator/>
      </w:r>
    </w:p>
  </w:endnote>
  <w:endnote w:type="continuationSeparator" w:id="0">
    <w:p w14:paraId="4746E4AE" w14:textId="77777777" w:rsidR="005223BD" w:rsidRDefault="005223BD" w:rsidP="003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90371782"/>
      <w:docPartObj>
        <w:docPartGallery w:val="Page Numbers (Bottom of Page)"/>
        <w:docPartUnique/>
      </w:docPartObj>
    </w:sdtPr>
    <w:sdtContent>
      <w:p w14:paraId="28091D26" w14:textId="7CD5BDF7" w:rsidR="00353452" w:rsidRDefault="00353452" w:rsidP="00554F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2A2BBBD" w14:textId="77777777" w:rsidR="00353452" w:rsidRDefault="00353452" w:rsidP="003534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11277614"/>
      <w:docPartObj>
        <w:docPartGallery w:val="Page Numbers (Bottom of Page)"/>
        <w:docPartUnique/>
      </w:docPartObj>
    </w:sdtPr>
    <w:sdtContent>
      <w:p w14:paraId="5680F868" w14:textId="07F809F8" w:rsidR="00353452" w:rsidRDefault="00353452" w:rsidP="00554F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18500EB" w14:textId="77777777" w:rsidR="00353452" w:rsidRDefault="00353452" w:rsidP="0035345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546E9" w14:textId="77777777" w:rsidR="005223BD" w:rsidRDefault="005223BD" w:rsidP="00353452">
      <w:pPr>
        <w:spacing w:after="0" w:line="240" w:lineRule="auto"/>
      </w:pPr>
      <w:r>
        <w:separator/>
      </w:r>
    </w:p>
  </w:footnote>
  <w:footnote w:type="continuationSeparator" w:id="0">
    <w:p w14:paraId="58760F2A" w14:textId="77777777" w:rsidR="005223BD" w:rsidRDefault="005223BD" w:rsidP="00353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52"/>
    <w:rsid w:val="00222A1A"/>
    <w:rsid w:val="00353452"/>
    <w:rsid w:val="005223BD"/>
    <w:rsid w:val="00691087"/>
    <w:rsid w:val="00A57E77"/>
    <w:rsid w:val="00D22814"/>
    <w:rsid w:val="00F61A59"/>
    <w:rsid w:val="00F772A1"/>
    <w:rsid w:val="00FE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C8B34"/>
  <w15:chartTrackingRefBased/>
  <w15:docId w15:val="{D6026C9D-9E36-644F-8A90-1F7F9DFB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452"/>
  </w:style>
  <w:style w:type="paragraph" w:styleId="Heading1">
    <w:name w:val="heading 1"/>
    <w:basedOn w:val="Normal"/>
    <w:next w:val="Normal"/>
    <w:link w:val="Heading1Char"/>
    <w:uiPriority w:val="9"/>
    <w:qFormat/>
    <w:rsid w:val="00353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45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53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452"/>
  </w:style>
  <w:style w:type="character" w:styleId="PageNumber">
    <w:name w:val="page number"/>
    <w:basedOn w:val="DefaultParagraphFont"/>
    <w:uiPriority w:val="99"/>
    <w:semiHidden/>
    <w:unhideWhenUsed/>
    <w:rsid w:val="00353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Tristao Pereira, Catarina Sofia</dc:creator>
  <cp:keywords/>
  <dc:description/>
  <cp:lastModifiedBy>Tristao Pereira, Catarina Sofia</cp:lastModifiedBy>
  <cp:revision>2</cp:revision>
  <dcterms:created xsi:type="dcterms:W3CDTF">2026-06-15T15:27:00Z</dcterms:created>
  <dcterms:modified xsi:type="dcterms:W3CDTF">2026-06-17T13:32:00Z</dcterms:modified>
</cp:coreProperties>
</file>