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BAD55" w14:textId="77777777" w:rsidR="00E2743D" w:rsidRDefault="00E2743D" w:rsidP="00E2743D">
      <w:pPr>
        <w:ind w:firstLine="0"/>
        <w:jc w:val="center"/>
        <w:rPr>
          <w:b/>
          <w:bCs/>
          <w:sz w:val="28"/>
          <w:szCs w:val="28"/>
        </w:rPr>
      </w:pPr>
      <w:r w:rsidRPr="00FA5747">
        <w:rPr>
          <w:b/>
          <w:bCs/>
          <w:sz w:val="28"/>
          <w:szCs w:val="28"/>
        </w:rPr>
        <w:t>SUPPORTING INFORMATION</w:t>
      </w:r>
    </w:p>
    <w:p w14:paraId="73557483" w14:textId="77777777" w:rsidR="00E2743D" w:rsidRDefault="00E2743D" w:rsidP="00E2743D">
      <w:r w:rsidRPr="00FA5747">
        <w:t>Supporting Information:</w:t>
      </w:r>
      <w:r>
        <w:rPr>
          <w:rFonts w:hint="eastAsia"/>
        </w:rPr>
        <w:t xml:space="preserve"> </w:t>
      </w:r>
      <w:r>
        <w:t xml:space="preserve">Figure S1. </w:t>
      </w:r>
      <w:r w:rsidRPr="00CD5310">
        <w:t>Experimental workflow for global proteome, phosphoproteome, and N-glycoproteome profiling</w:t>
      </w:r>
      <w:r>
        <w:rPr>
          <w:rFonts w:hint="eastAsia"/>
        </w:rPr>
        <w:t xml:space="preserve">. </w:t>
      </w:r>
      <w:r>
        <w:t>Figure S2.</w:t>
      </w:r>
      <w:r>
        <w:rPr>
          <w:rFonts w:hint="eastAsia"/>
        </w:rPr>
        <w:t xml:space="preserve"> </w:t>
      </w:r>
      <w:r w:rsidRPr="00AB0062">
        <w:t>Quality-control summary: principal-component analysis, sample-sample correlations, and coefficient-of-variation distributions for global proteome, phosphoproteome, and glycoproteome datasets</w:t>
      </w:r>
      <w:r>
        <w:rPr>
          <w:rFonts w:hint="eastAsia"/>
        </w:rPr>
        <w:t xml:space="preserve">. Figure S3. </w:t>
      </w:r>
      <w:r w:rsidRPr="00F64D31">
        <w:t>Differential expression (DE) features across treatment contrast in each omics layer</w:t>
      </w:r>
      <w:r>
        <w:rPr>
          <w:rFonts w:hint="eastAsia"/>
        </w:rPr>
        <w:t xml:space="preserve">. </w:t>
      </w:r>
      <w:r>
        <w:t>Figure S</w:t>
      </w:r>
      <w:r>
        <w:rPr>
          <w:rFonts w:hint="eastAsia"/>
        </w:rPr>
        <w:t>4</w:t>
      </w:r>
      <w:r>
        <w:t xml:space="preserve">. </w:t>
      </w:r>
      <w:r w:rsidRPr="00AB0062">
        <w:t>Fucosylation-resolved glycopeptide responses to sialidase within matched glycopeptide families stratified by sialic acid count</w:t>
      </w:r>
      <w:r>
        <w:rPr>
          <w:rFonts w:hint="eastAsia"/>
        </w:rPr>
        <w:t xml:space="preserve">. </w:t>
      </w:r>
    </w:p>
    <w:p w14:paraId="3063AF3D" w14:textId="77777777" w:rsidR="00E2743D" w:rsidRPr="00B87753" w:rsidRDefault="00E2743D" w:rsidP="00E2743D">
      <w:pPr>
        <w:jc w:val="center"/>
        <w:rPr>
          <w:b/>
          <w:bCs/>
          <w:sz w:val="28"/>
          <w:szCs w:val="28"/>
        </w:rPr>
      </w:pPr>
      <w:r w:rsidRPr="00B87753">
        <w:rPr>
          <w:b/>
          <w:bCs/>
          <w:sz w:val="28"/>
          <w:szCs w:val="28"/>
        </w:rPr>
        <w:t>Table captions</w:t>
      </w:r>
    </w:p>
    <w:p w14:paraId="7B46957E" w14:textId="77777777" w:rsidR="00E2743D" w:rsidRPr="0033098F" w:rsidRDefault="00E2743D" w:rsidP="00E2743D">
      <w:r>
        <w:t>Table S</w:t>
      </w:r>
      <w:r>
        <w:rPr>
          <w:rFonts w:hint="eastAsia"/>
        </w:rPr>
        <w:t>1</w:t>
      </w:r>
      <w:r>
        <w:t xml:space="preserve">. </w:t>
      </w:r>
      <w:r w:rsidRPr="00AB0062">
        <w:t>Phosphoproteomic data supporting the sialidase modulation of EGF-stimulated phosphorylation, including volcano-plot values, phosphopeptide overlap counts, kinase substrate enrichment results, EGFR-network heatmap values, GO Biological Process enrichment, and directional gene and phosphopeptide lists.</w:t>
      </w:r>
      <w:r>
        <w:rPr>
          <w:rFonts w:hint="eastAsia"/>
        </w:rPr>
        <w:t xml:space="preserve"> </w:t>
      </w:r>
      <w:r>
        <w:t>Table S</w:t>
      </w:r>
      <w:r>
        <w:rPr>
          <w:rFonts w:hint="eastAsia"/>
        </w:rPr>
        <w:t>2</w:t>
      </w:r>
      <w:r>
        <w:t xml:space="preserve">. </w:t>
      </w:r>
      <w:r w:rsidRPr="00AB0062">
        <w:t>Phosphopeptide comparison data for sialidase and gefitinib responses in EGF-stimulated cells, including double-logFC values, three-way overlap counts, pathway heatmap matrices, representative phosphopeptide profiles, and Venn-region phosphopeptide lists.</w:t>
      </w:r>
      <w:r>
        <w:rPr>
          <w:rFonts w:hint="eastAsia"/>
        </w:rPr>
        <w:t xml:space="preserve"> </w:t>
      </w:r>
      <w:r>
        <w:t>Table S</w:t>
      </w:r>
      <w:r>
        <w:rPr>
          <w:rFonts w:hint="eastAsia"/>
        </w:rPr>
        <w:t>3</w:t>
      </w:r>
      <w:r>
        <w:t xml:space="preserve">. </w:t>
      </w:r>
      <w:r w:rsidRPr="00AB0062">
        <w:t>Combined sialidase/gefitinib phosphoproteomic response data, including UpSet phosphopeptide membership, phosphopeptide log2 fold-change distributions, GO Biological Process enrichment, and combined-treatment-unique phosphopeptide lists.</w:t>
      </w:r>
      <w:r>
        <w:rPr>
          <w:rFonts w:hint="eastAsia"/>
        </w:rPr>
        <w:t xml:space="preserve"> Table S4. </w:t>
      </w:r>
      <w:r w:rsidRPr="00AB0062">
        <w:t>Glycoproteome and phospho-glyco integration data, including glycopeptide volcano values, paired glycoform response values, sialylation-by-fucose summaries, gene-level and paired phospho- glyco-proteomics comparisons, and EGFR relative-abundance trajectories.</w:t>
      </w:r>
      <w:r>
        <w:rPr>
          <w:rFonts w:hint="eastAsia"/>
        </w:rPr>
        <w:t xml:space="preserve"> Table S5. </w:t>
      </w:r>
      <w:r w:rsidRPr="00AB0062">
        <w:t xml:space="preserve">STRING/Cytoscape network support tables, including glyco-phospho node attributes and glycopeptide heatmap values for genes represented in the integrated protein-interaction analysis. </w:t>
      </w:r>
      <w:r>
        <w:rPr>
          <w:rFonts w:hint="eastAsia"/>
        </w:rPr>
        <w:t xml:space="preserve"> </w:t>
      </w:r>
      <w:r>
        <w:rPr>
          <w:rFonts w:hint="eastAsia"/>
        </w:rPr>
        <w:lastRenderedPageBreak/>
        <w:t xml:space="preserve">Table S6. </w:t>
      </w:r>
      <w:r w:rsidRPr="00AB0062">
        <w:t>Quality-control data for the supporting multi-omics QC figure, including PCA coordinates, sample correlation matrices, and coefficient-of-variation summaries for global proteome, phosphoproteome, and glycoproteome datasets.</w:t>
      </w:r>
      <w:r>
        <w:rPr>
          <w:rFonts w:hint="eastAsia"/>
        </w:rPr>
        <w:t xml:space="preserve"> </w:t>
      </w:r>
      <w:r w:rsidRPr="0071199F">
        <w:t>Table S</w:t>
      </w:r>
      <w:r>
        <w:rPr>
          <w:rFonts w:hint="eastAsia"/>
        </w:rPr>
        <w:t>7</w:t>
      </w:r>
      <w:r w:rsidRPr="0071199F">
        <w:t xml:space="preserve">. Differential response counts for phosphopeptides, glycopeptides, and global proteins across the treatment contrasts. </w:t>
      </w:r>
      <w:r>
        <w:rPr>
          <w:rFonts w:hint="eastAsia"/>
        </w:rPr>
        <w:t xml:space="preserve">Table S8. </w:t>
      </w:r>
      <w:r w:rsidRPr="008A6680">
        <w:t>Fucosylation-by-sialic-acid glycopeptide family data supporting the reciprocal glycan-composition analysis in Figure S2</w:t>
      </w:r>
      <w:r>
        <w:rPr>
          <w:rFonts w:hint="eastAsia"/>
        </w:rPr>
        <w:t>.</w:t>
      </w:r>
    </w:p>
    <w:p w14:paraId="074A964D" w14:textId="77777777" w:rsidR="008B07A6" w:rsidRDefault="008B07A6"/>
    <w:sectPr w:rsidR="008B07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43D"/>
    <w:rsid w:val="00066677"/>
    <w:rsid w:val="00153A17"/>
    <w:rsid w:val="001A37F3"/>
    <w:rsid w:val="003A4E89"/>
    <w:rsid w:val="00556784"/>
    <w:rsid w:val="008B07A6"/>
    <w:rsid w:val="00987B63"/>
    <w:rsid w:val="00A234E6"/>
    <w:rsid w:val="00C2732C"/>
    <w:rsid w:val="00D31E7D"/>
    <w:rsid w:val="00E27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FFF0C1"/>
  <w15:chartTrackingRefBased/>
  <w15:docId w15:val="{FAA00C26-FDE4-46B8-A81F-F104A0868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utoRedefine/>
    <w:qFormat/>
    <w:rsid w:val="00E2743D"/>
    <w:pPr>
      <w:widowControl w:val="0"/>
      <w:spacing w:after="0" w:line="480" w:lineRule="auto"/>
      <w:ind w:firstLine="480"/>
      <w:jc w:val="both"/>
    </w:pPr>
    <w:rPr>
      <w:rFonts w:ascii="Times New Roman" w:eastAsiaTheme="minorEastAsia" w:hAnsi="Times New Roman" w:cs="Times New Roman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743D"/>
    <w:pPr>
      <w:keepNext/>
      <w:keepLines/>
      <w:widowControl/>
      <w:spacing w:before="360" w:after="80" w:line="278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743D"/>
    <w:pPr>
      <w:keepNext/>
      <w:keepLines/>
      <w:widowControl/>
      <w:spacing w:before="160" w:after="80" w:line="278" w:lineRule="auto"/>
      <w:ind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743D"/>
    <w:pPr>
      <w:keepNext/>
      <w:keepLines/>
      <w:widowControl/>
      <w:spacing w:before="160" w:after="80" w:line="278" w:lineRule="auto"/>
      <w:ind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743D"/>
    <w:pPr>
      <w:keepNext/>
      <w:keepLines/>
      <w:widowControl/>
      <w:spacing w:before="80" w:after="40" w:line="278" w:lineRule="auto"/>
      <w:ind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743D"/>
    <w:pPr>
      <w:keepNext/>
      <w:keepLines/>
      <w:widowControl/>
      <w:spacing w:before="80" w:after="40" w:line="278" w:lineRule="auto"/>
      <w:ind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743D"/>
    <w:pPr>
      <w:keepNext/>
      <w:keepLines/>
      <w:widowControl/>
      <w:spacing w:before="40" w:line="278" w:lineRule="auto"/>
      <w:ind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743D"/>
    <w:pPr>
      <w:keepNext/>
      <w:keepLines/>
      <w:widowControl/>
      <w:spacing w:before="40" w:line="278" w:lineRule="auto"/>
      <w:ind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743D"/>
    <w:pPr>
      <w:keepNext/>
      <w:keepLines/>
      <w:widowControl/>
      <w:spacing w:line="278" w:lineRule="auto"/>
      <w:ind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743D"/>
    <w:pPr>
      <w:keepNext/>
      <w:keepLines/>
      <w:widowControl/>
      <w:spacing w:line="278" w:lineRule="auto"/>
      <w:ind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74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74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74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74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74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74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74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74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74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743D"/>
    <w:pPr>
      <w:widowControl/>
      <w:spacing w:after="80" w:line="240" w:lineRule="auto"/>
      <w:ind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274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743D"/>
    <w:pPr>
      <w:widowControl/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274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743D"/>
    <w:pPr>
      <w:widowControl/>
      <w:spacing w:before="160" w:after="160" w:line="278" w:lineRule="auto"/>
      <w:ind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274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743D"/>
    <w:pPr>
      <w:widowControl/>
      <w:spacing w:after="160" w:line="278" w:lineRule="auto"/>
      <w:ind w:left="720" w:firstLine="0"/>
      <w:contextualSpacing/>
      <w:jc w:val="left"/>
    </w:pPr>
    <w:rPr>
      <w:rFonts w:asciiTheme="minorHAnsi" w:eastAsiaTheme="minorHAnsi" w:hAnsiTheme="minorHAnsi" w:cstheme="minorBidi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274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743D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74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743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355</Words>
  <Characters>2028</Characters>
  <Application>Microsoft Office Word</Application>
  <DocSecurity>0</DocSecurity>
  <Lines>16</Lines>
  <Paragraphs>4</Paragraphs>
  <ScaleCrop>false</ScaleCrop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2026-07-02T15:23:00Z</dcterms:created>
  <dcterms:modified xsi:type="dcterms:W3CDTF">2026-07-02T15:24:00Z</dcterms:modified>
</cp:coreProperties>
</file>