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EF9C" w14:textId="3E01DB73" w:rsidR="00895DD7" w:rsidRPr="000F037C" w:rsidRDefault="00895DD7" w:rsidP="00BA3D06">
      <w:pPr>
        <w:spacing w:before="720" w:after="360" w:line="360" w:lineRule="auto"/>
        <w:jc w:val="center"/>
        <w:rPr>
          <w:rFonts w:ascii="Times New Roman" w:eastAsia="SimSun" w:hAnsi="Times New Roman"/>
          <w:kern w:val="0"/>
          <w:sz w:val="44"/>
          <w:szCs w:val="20"/>
        </w:rPr>
      </w:pPr>
      <w:r w:rsidRPr="000F037C">
        <w:rPr>
          <w:rFonts w:ascii="Times New Roman" w:hAnsi="Times New Roman"/>
          <w:b/>
          <w:bCs/>
          <w:color w:val="000000"/>
          <w:sz w:val="32"/>
          <w:szCs w:val="32"/>
        </w:rPr>
        <w:t>SUPPORTING INFORMATION</w:t>
      </w:r>
    </w:p>
    <w:p w14:paraId="34638340" w14:textId="77777777" w:rsidR="009A03F5" w:rsidRDefault="009A03F5" w:rsidP="00BA3D06">
      <w:pPr>
        <w:spacing w:after="240" w:line="360" w:lineRule="auto"/>
        <w:jc w:val="center"/>
        <w:rPr>
          <w:rFonts w:ascii="Times New Roman" w:eastAsia="SimSun" w:hAnsi="Times New Roman"/>
          <w:kern w:val="0"/>
          <w:sz w:val="44"/>
          <w:szCs w:val="20"/>
        </w:rPr>
      </w:pPr>
      <w:r w:rsidRPr="009A03F5">
        <w:rPr>
          <w:rFonts w:ascii="Times New Roman" w:eastAsia="SimSun" w:hAnsi="Times New Roman"/>
          <w:kern w:val="0"/>
          <w:sz w:val="44"/>
          <w:szCs w:val="20"/>
        </w:rPr>
        <w:t>Attenuation of EGFR-Mediated Cellular Signaling by Sialidase-Mediated Desialylation</w:t>
      </w:r>
    </w:p>
    <w:p w14:paraId="0B6CF892" w14:textId="12DF2C85" w:rsidR="009A03F5" w:rsidRPr="009A03F5" w:rsidRDefault="009A03F5" w:rsidP="009A03F5">
      <w:pPr>
        <w:spacing w:line="360" w:lineRule="auto"/>
        <w:ind w:left="720"/>
        <w:jc w:val="both"/>
        <w:rPr>
          <w:rFonts w:ascii="Times New Roman" w:eastAsia="SimSun" w:hAnsi="Times New Roman"/>
          <w:kern w:val="0"/>
          <w:szCs w:val="20"/>
          <w:lang w:eastAsia="en-US"/>
        </w:rPr>
      </w:pPr>
      <w:r w:rsidRPr="009A03F5">
        <w:rPr>
          <w:rFonts w:ascii="Times New Roman" w:eastAsia="SimSun" w:hAnsi="Times New Roman"/>
          <w:i/>
          <w:kern w:val="0"/>
          <w:szCs w:val="20"/>
          <w:lang w:eastAsia="en-US"/>
        </w:rPr>
        <w:t>Hongyi Liu</w:t>
      </w:r>
      <w:r w:rsidRPr="009A03F5">
        <w:rPr>
          <w:rFonts w:ascii="Times New Roman" w:eastAsia="SimSun" w:hAnsi="Times New Roman"/>
          <w:i/>
          <w:kern w:val="0"/>
          <w:szCs w:val="20"/>
          <w:vertAlign w:val="superscript"/>
          <w:lang w:eastAsia="en-US"/>
        </w:rPr>
        <w:t>1#</w:t>
      </w:r>
      <w:r w:rsidRPr="009A03F5">
        <w:rPr>
          <w:rFonts w:ascii="Times New Roman" w:eastAsia="SimSun" w:hAnsi="Times New Roman"/>
          <w:i/>
          <w:kern w:val="0"/>
          <w:szCs w:val="20"/>
          <w:lang w:eastAsia="en-US"/>
        </w:rPr>
        <w:t>, Effram Wei</w:t>
      </w:r>
      <w:r w:rsidRPr="009A03F5">
        <w:rPr>
          <w:rFonts w:ascii="Times New Roman" w:eastAsia="SimSun" w:hAnsi="Times New Roman"/>
          <w:i/>
          <w:kern w:val="0"/>
          <w:szCs w:val="20"/>
          <w:vertAlign w:val="superscript"/>
          <w:lang w:eastAsia="en-US"/>
        </w:rPr>
        <w:t>2#</w:t>
      </w:r>
      <w:r w:rsidRPr="009A03F5">
        <w:rPr>
          <w:rFonts w:ascii="Times New Roman" w:eastAsia="SimSun" w:hAnsi="Times New Roman"/>
          <w:i/>
          <w:kern w:val="0"/>
          <w:szCs w:val="20"/>
          <w:lang w:eastAsia="en-US"/>
        </w:rPr>
        <w:t>, Ding Chiao Lin</w:t>
      </w:r>
      <w:r w:rsidRPr="009A03F5">
        <w:rPr>
          <w:rFonts w:ascii="Times New Roman" w:eastAsia="SimSun" w:hAnsi="Times New Roman"/>
          <w:i/>
          <w:kern w:val="0"/>
          <w:szCs w:val="20"/>
          <w:vertAlign w:val="superscript"/>
          <w:lang w:eastAsia="en-US"/>
        </w:rPr>
        <w:t>1</w:t>
      </w:r>
      <w:r w:rsidRPr="009A03F5">
        <w:rPr>
          <w:rFonts w:ascii="Times New Roman" w:eastAsia="SimSun" w:hAnsi="Times New Roman"/>
          <w:i/>
          <w:kern w:val="0"/>
          <w:szCs w:val="20"/>
          <w:lang w:eastAsia="en-US"/>
        </w:rPr>
        <w:t>, Hui Zhang</w:t>
      </w:r>
      <w:r w:rsidRPr="009A03F5">
        <w:rPr>
          <w:rFonts w:ascii="Times New Roman" w:eastAsia="SimSun" w:hAnsi="Times New Roman"/>
          <w:i/>
          <w:kern w:val="0"/>
          <w:szCs w:val="20"/>
          <w:vertAlign w:val="superscript"/>
          <w:lang w:eastAsia="en-US"/>
        </w:rPr>
        <w:t>1, 2*</w:t>
      </w:r>
    </w:p>
    <w:p w14:paraId="3F430E9F" w14:textId="5F925252" w:rsidR="008116CA" w:rsidRPr="000F037C" w:rsidRDefault="008116CA" w:rsidP="008116CA">
      <w:pPr>
        <w:numPr>
          <w:ilvl w:val="0"/>
          <w:numId w:val="1"/>
        </w:numPr>
        <w:spacing w:line="360" w:lineRule="auto"/>
        <w:jc w:val="both"/>
        <w:rPr>
          <w:rFonts w:ascii="Times New Roman" w:eastAsia="SimSun" w:hAnsi="Times New Roman"/>
          <w:kern w:val="0"/>
          <w:szCs w:val="20"/>
          <w:lang w:eastAsia="en-US"/>
        </w:rPr>
      </w:pPr>
      <w:r w:rsidRPr="000F037C">
        <w:rPr>
          <w:rFonts w:ascii="Times New Roman" w:eastAsia="SimSun" w:hAnsi="Times New Roman"/>
          <w:kern w:val="0"/>
          <w:szCs w:val="20"/>
          <w:lang w:eastAsia="en-US"/>
        </w:rPr>
        <w:t>Department of Pathology, Johns Hopkins University School of Medicine, Baltimore, MD 21231, USA</w:t>
      </w:r>
    </w:p>
    <w:p w14:paraId="1B417496" w14:textId="77777777" w:rsidR="001F2431" w:rsidRPr="000F037C" w:rsidRDefault="001F2431" w:rsidP="00BA3D06">
      <w:pPr>
        <w:numPr>
          <w:ilvl w:val="0"/>
          <w:numId w:val="1"/>
        </w:numPr>
        <w:spacing w:line="360" w:lineRule="auto"/>
        <w:jc w:val="both"/>
        <w:rPr>
          <w:rFonts w:ascii="Times New Roman" w:eastAsia="SimSun" w:hAnsi="Times New Roman"/>
          <w:kern w:val="0"/>
          <w:szCs w:val="20"/>
          <w:lang w:eastAsia="en-US"/>
        </w:rPr>
      </w:pPr>
      <w:r w:rsidRPr="000F037C">
        <w:rPr>
          <w:rFonts w:ascii="Times New Roman" w:eastAsia="SimSun" w:hAnsi="Times New Roman"/>
          <w:kern w:val="0"/>
          <w:szCs w:val="20"/>
          <w:lang w:eastAsia="en-US"/>
        </w:rPr>
        <w:t>Department of Chemical and Biomolecular Engineering, Johns Hopkins Whiting School of Engineering, Baltimore, MD 21218, USA</w:t>
      </w:r>
    </w:p>
    <w:p w14:paraId="7924956C" w14:textId="77777777" w:rsidR="001F2431" w:rsidRDefault="001F2431" w:rsidP="00BA3D06">
      <w:pPr>
        <w:spacing w:line="360" w:lineRule="auto"/>
        <w:jc w:val="both"/>
        <w:rPr>
          <w:rFonts w:ascii="Times New Roman" w:eastAsia="SimSun" w:hAnsi="Times New Roman"/>
          <w:kern w:val="0"/>
          <w:szCs w:val="20"/>
          <w:lang w:eastAsia="en-US"/>
        </w:rPr>
      </w:pPr>
      <w:r w:rsidRPr="000F037C">
        <w:rPr>
          <w:rFonts w:ascii="Times New Roman" w:eastAsia="SimSun" w:hAnsi="Times New Roman"/>
          <w:kern w:val="0"/>
          <w:szCs w:val="20"/>
          <w:lang w:eastAsia="en-US"/>
        </w:rPr>
        <w:t>* Corresponding author. Email: huizhang@jhu.edu (Hui Zhang).</w:t>
      </w:r>
    </w:p>
    <w:p w14:paraId="0E126153" w14:textId="42AB137A" w:rsidR="009A03F5" w:rsidRPr="000F037C" w:rsidRDefault="009A03F5" w:rsidP="00BA3D06">
      <w:pPr>
        <w:spacing w:line="360" w:lineRule="auto"/>
        <w:jc w:val="both"/>
        <w:rPr>
          <w:rFonts w:ascii="Times New Roman" w:eastAsia="SimSun" w:hAnsi="Times New Roman"/>
          <w:kern w:val="0"/>
          <w:szCs w:val="20"/>
          <w:lang w:val="en-AU"/>
        </w:rPr>
      </w:pPr>
      <w:r>
        <w:rPr>
          <w:rFonts w:ascii="Times New Roman" w:eastAsia="SimSun" w:hAnsi="Times New Roman" w:hint="eastAsia"/>
          <w:kern w:val="0"/>
          <w:szCs w:val="20"/>
        </w:rPr>
        <w:t xml:space="preserve"># These authors contribute </w:t>
      </w:r>
      <w:r>
        <w:rPr>
          <w:rFonts w:ascii="Times New Roman" w:eastAsia="SimSun" w:hAnsi="Times New Roman"/>
          <w:kern w:val="0"/>
          <w:szCs w:val="20"/>
        </w:rPr>
        <w:t>equally</w:t>
      </w:r>
      <w:r>
        <w:rPr>
          <w:rFonts w:ascii="Times New Roman" w:eastAsia="SimSun" w:hAnsi="Times New Roman" w:hint="eastAsia"/>
          <w:kern w:val="0"/>
          <w:szCs w:val="20"/>
        </w:rPr>
        <w:t>.</w:t>
      </w:r>
    </w:p>
    <w:p w14:paraId="2EB47C54" w14:textId="77777777" w:rsidR="00413F4E" w:rsidRPr="000F037C" w:rsidRDefault="00413F4E" w:rsidP="00BA3D06">
      <w:pPr>
        <w:spacing w:line="360" w:lineRule="auto"/>
        <w:jc w:val="center"/>
        <w:rPr>
          <w:rFonts w:ascii="Times New Roman" w:hAnsi="Times New Roman"/>
          <w:lang w:val="en-AU"/>
        </w:rPr>
      </w:pPr>
    </w:p>
    <w:p w14:paraId="5D127D7A" w14:textId="77777777" w:rsidR="009C6A2F" w:rsidRPr="000F037C" w:rsidRDefault="009C6A2F" w:rsidP="00BA3D06">
      <w:pPr>
        <w:spacing w:line="360" w:lineRule="auto"/>
        <w:jc w:val="center"/>
        <w:rPr>
          <w:rFonts w:ascii="Times New Roman" w:hAnsi="Times New Roman"/>
        </w:rPr>
      </w:pPr>
    </w:p>
    <w:p w14:paraId="29649ECB" w14:textId="77777777" w:rsidR="009C6A2F" w:rsidRPr="000F037C" w:rsidRDefault="009C6A2F" w:rsidP="00846F9B">
      <w:pPr>
        <w:spacing w:line="360" w:lineRule="auto"/>
        <w:jc w:val="both"/>
        <w:rPr>
          <w:rFonts w:ascii="Times New Roman" w:hAnsi="Times New Roman"/>
        </w:rPr>
      </w:pPr>
    </w:p>
    <w:p w14:paraId="142C93B0" w14:textId="77777777" w:rsidR="009C6A2F" w:rsidRPr="000F037C" w:rsidRDefault="009C6A2F" w:rsidP="00846F9B">
      <w:pPr>
        <w:spacing w:line="360" w:lineRule="auto"/>
        <w:jc w:val="both"/>
        <w:rPr>
          <w:rFonts w:ascii="Times New Roman" w:hAnsi="Times New Roman"/>
        </w:rPr>
      </w:pPr>
    </w:p>
    <w:p w14:paraId="0D2A746C" w14:textId="77777777" w:rsidR="009C6A2F" w:rsidRPr="000F037C" w:rsidRDefault="009C6A2F" w:rsidP="00846F9B">
      <w:pPr>
        <w:spacing w:line="360" w:lineRule="auto"/>
        <w:jc w:val="both"/>
        <w:rPr>
          <w:rFonts w:ascii="Times New Roman" w:hAnsi="Times New Roman"/>
        </w:rPr>
      </w:pPr>
    </w:p>
    <w:p w14:paraId="30C11087" w14:textId="77777777" w:rsidR="007F5C59" w:rsidRPr="000F037C" w:rsidRDefault="007F5C59" w:rsidP="00846F9B">
      <w:pPr>
        <w:spacing w:line="360" w:lineRule="auto"/>
        <w:jc w:val="both"/>
        <w:rPr>
          <w:rFonts w:ascii="Times New Roman" w:hAnsi="Times New Roman"/>
        </w:rPr>
      </w:pPr>
    </w:p>
    <w:p w14:paraId="79A3D4D8" w14:textId="77777777" w:rsidR="007F5C59" w:rsidRPr="000F037C" w:rsidRDefault="007F5C59" w:rsidP="00846F9B">
      <w:pPr>
        <w:spacing w:line="360" w:lineRule="auto"/>
        <w:jc w:val="both"/>
        <w:rPr>
          <w:rFonts w:ascii="Times New Roman" w:hAnsi="Times New Roman"/>
        </w:rPr>
      </w:pPr>
    </w:p>
    <w:p w14:paraId="1D295F74" w14:textId="77777777" w:rsidR="007F5C59" w:rsidRPr="000F037C" w:rsidRDefault="007F5C59" w:rsidP="00846F9B">
      <w:pPr>
        <w:spacing w:line="360" w:lineRule="auto"/>
        <w:jc w:val="both"/>
        <w:rPr>
          <w:rFonts w:ascii="Times New Roman" w:hAnsi="Times New Roman"/>
        </w:rPr>
      </w:pPr>
    </w:p>
    <w:p w14:paraId="573F97B7" w14:textId="77777777" w:rsidR="007F5C59" w:rsidRDefault="007F5C59" w:rsidP="00846F9B">
      <w:pPr>
        <w:spacing w:line="360" w:lineRule="auto"/>
        <w:jc w:val="both"/>
        <w:rPr>
          <w:rFonts w:ascii="Times New Roman" w:hAnsi="Times New Roman"/>
        </w:rPr>
      </w:pPr>
    </w:p>
    <w:p w14:paraId="1D950C72" w14:textId="77777777" w:rsidR="003407D3" w:rsidRDefault="003407D3" w:rsidP="00846F9B">
      <w:pPr>
        <w:spacing w:line="360" w:lineRule="auto"/>
        <w:jc w:val="both"/>
        <w:rPr>
          <w:rFonts w:ascii="Times New Roman" w:hAnsi="Times New Roman"/>
        </w:rPr>
      </w:pPr>
    </w:p>
    <w:p w14:paraId="436F77AA" w14:textId="77777777" w:rsidR="00D240CA" w:rsidRDefault="00D240CA" w:rsidP="00846F9B">
      <w:pPr>
        <w:spacing w:line="360" w:lineRule="auto"/>
        <w:jc w:val="both"/>
        <w:rPr>
          <w:rFonts w:ascii="Times New Roman" w:hAnsi="Times New Roman"/>
        </w:rPr>
      </w:pPr>
    </w:p>
    <w:p w14:paraId="1967C6EF" w14:textId="77777777" w:rsidR="003407D3" w:rsidRDefault="003407D3" w:rsidP="00846F9B">
      <w:pPr>
        <w:spacing w:line="360" w:lineRule="auto"/>
        <w:jc w:val="both"/>
        <w:rPr>
          <w:rFonts w:ascii="Times New Roman" w:hAnsi="Times New Roman"/>
        </w:rPr>
      </w:pPr>
    </w:p>
    <w:p w14:paraId="527D22A4" w14:textId="77777777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D240CA">
        <w:rPr>
          <w:rFonts w:ascii="Times New Roman" w:hAnsi="Times New Roman"/>
          <w:b/>
          <w:bCs/>
        </w:rPr>
        <w:t>Table of contents</w:t>
      </w:r>
    </w:p>
    <w:p w14:paraId="438F952E" w14:textId="6D2669AB" w:rsidR="00F64D31" w:rsidRDefault="00F64D31" w:rsidP="00D240CA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</w:rPr>
        <w:t xml:space="preserve">Figure S1. </w:t>
      </w:r>
      <w:r w:rsidRPr="00F64D31">
        <w:rPr>
          <w:rFonts w:ascii="Times New Roman" w:hAnsi="Times New Roman"/>
        </w:rPr>
        <w:t>Experimental workflow for global proteome, phosphoproteome, and N-glycoproteome profiling.</w:t>
      </w:r>
      <w:r w:rsidRPr="00D240CA">
        <w:rPr>
          <w:rFonts w:ascii="Times New Roman" w:hAnsi="Times New Roman"/>
        </w:rPr>
        <w:t>……………………………</w:t>
      </w:r>
      <w:r>
        <w:rPr>
          <w:rFonts w:ascii="Times New Roman" w:hAnsi="Times New Roman"/>
        </w:rPr>
        <w:t>……………</w:t>
      </w:r>
      <w:r>
        <w:rPr>
          <w:rFonts w:ascii="Times New Roman" w:hAnsi="Times New Roman" w:hint="eastAsia"/>
        </w:rPr>
        <w:t>..</w:t>
      </w:r>
      <w:r w:rsidRPr="00D240CA">
        <w:rPr>
          <w:rFonts w:ascii="Times New Roman" w:hAnsi="Times New Roman"/>
        </w:rPr>
        <w:t>……………………………………</w:t>
      </w:r>
      <w:r>
        <w:rPr>
          <w:rFonts w:ascii="Times New Roman" w:hAnsi="Times New Roman"/>
        </w:rPr>
        <w:t>..</w:t>
      </w:r>
      <w:r w:rsidRPr="00D240CA">
        <w:rPr>
          <w:rFonts w:ascii="Times New Roman" w:hAnsi="Times New Roman"/>
        </w:rPr>
        <w:t>………S</w:t>
      </w:r>
      <w:r>
        <w:rPr>
          <w:rFonts w:ascii="Times New Roman" w:hAnsi="Times New Roman" w:hint="eastAsia"/>
        </w:rPr>
        <w:t>3</w:t>
      </w:r>
    </w:p>
    <w:p w14:paraId="25A6DBCD" w14:textId="19753C6C" w:rsid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  <w:b/>
          <w:bCs/>
        </w:rPr>
        <w:t>Figure S</w:t>
      </w:r>
      <w:r w:rsidR="00F64D31">
        <w:rPr>
          <w:rFonts w:ascii="Times New Roman" w:hAnsi="Times New Roman" w:hint="eastAsia"/>
          <w:b/>
          <w:bCs/>
        </w:rPr>
        <w:t>2</w:t>
      </w:r>
      <w:r w:rsidRPr="00D240CA">
        <w:rPr>
          <w:rFonts w:ascii="Times New Roman" w:hAnsi="Times New Roman"/>
          <w:b/>
          <w:bCs/>
        </w:rPr>
        <w:t>.</w:t>
      </w:r>
      <w:r w:rsidRPr="00D240CA">
        <w:rPr>
          <w:rFonts w:ascii="Times New Roman" w:hAnsi="Times New Roman"/>
        </w:rPr>
        <w:t xml:space="preserve"> </w:t>
      </w:r>
      <w:r w:rsidR="00B21F28">
        <w:rPr>
          <w:rFonts w:ascii="Times New Roman" w:hAnsi="Times New Roman"/>
        </w:rPr>
        <w:t>Q</w:t>
      </w:r>
      <w:r w:rsidRPr="00D240CA">
        <w:rPr>
          <w:rFonts w:ascii="Times New Roman" w:hAnsi="Times New Roman"/>
        </w:rPr>
        <w:t>uality-control summary: principal-component analysis, sample-sample correlations, and coefficient-of-variation distributions for global proteome, phosphoproteome, and glycoproteome datasets…………………………………………………………………</w:t>
      </w:r>
      <w:r>
        <w:rPr>
          <w:rFonts w:ascii="Times New Roman" w:hAnsi="Times New Roman"/>
        </w:rPr>
        <w:t>..</w:t>
      </w:r>
      <w:r w:rsidRPr="00D240CA">
        <w:rPr>
          <w:rFonts w:ascii="Times New Roman" w:hAnsi="Times New Roman"/>
        </w:rPr>
        <w:t>………S4</w:t>
      </w:r>
    </w:p>
    <w:p w14:paraId="23EAB578" w14:textId="612DAD42" w:rsidR="00F64D31" w:rsidRPr="00F64D31" w:rsidRDefault="00F64D31" w:rsidP="00D240CA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F64D31">
        <w:rPr>
          <w:rFonts w:ascii="Times New Roman" w:hAnsi="Times New Roman" w:hint="eastAsia"/>
          <w:b/>
          <w:bCs/>
        </w:rPr>
        <w:t xml:space="preserve">Figure S3. </w:t>
      </w:r>
      <w:r w:rsidRPr="00F64D31">
        <w:rPr>
          <w:rFonts w:ascii="Times New Roman" w:hAnsi="Times New Roman"/>
        </w:rPr>
        <w:t>Differential expression (DE) features across treatment contrast in each omics layer</w:t>
      </w:r>
      <w:r>
        <w:rPr>
          <w:rFonts w:ascii="Times New Roman" w:hAnsi="Times New Roman"/>
        </w:rPr>
        <w:t>…</w:t>
      </w:r>
      <w:r>
        <w:rPr>
          <w:rFonts w:ascii="Times New Roman" w:hAnsi="Times New Roman" w:hint="eastAsia"/>
        </w:rPr>
        <w:t>S5</w:t>
      </w:r>
    </w:p>
    <w:p w14:paraId="0D4B025F" w14:textId="179C488E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  <w:b/>
          <w:bCs/>
        </w:rPr>
        <w:t>Figure</w:t>
      </w:r>
      <w:r w:rsidR="00654E1C">
        <w:rPr>
          <w:rFonts w:ascii="Times New Roman" w:hAnsi="Times New Roman" w:hint="eastAsia"/>
          <w:b/>
          <w:bCs/>
        </w:rPr>
        <w:t xml:space="preserve"> </w:t>
      </w:r>
      <w:r w:rsidRPr="00D240CA">
        <w:rPr>
          <w:rFonts w:ascii="Times New Roman" w:hAnsi="Times New Roman"/>
          <w:b/>
          <w:bCs/>
        </w:rPr>
        <w:t>S</w:t>
      </w:r>
      <w:r w:rsidR="00F64D31">
        <w:rPr>
          <w:rFonts w:ascii="Times New Roman" w:hAnsi="Times New Roman" w:hint="eastAsia"/>
          <w:b/>
          <w:bCs/>
        </w:rPr>
        <w:t>4</w:t>
      </w:r>
      <w:r w:rsidRPr="00D240CA">
        <w:rPr>
          <w:rFonts w:ascii="Times New Roman" w:hAnsi="Times New Roman"/>
          <w:b/>
          <w:bCs/>
        </w:rPr>
        <w:t>.</w:t>
      </w:r>
      <w:r w:rsidRPr="00D240CA">
        <w:rPr>
          <w:rFonts w:ascii="Times New Roman" w:hAnsi="Times New Roman"/>
        </w:rPr>
        <w:t xml:space="preserve"> Fucosylation-resolved glycopeptide responses to sialidase within matched glycopeptide families stratified by sialic acid count…………………………………………</w:t>
      </w:r>
      <w:r>
        <w:rPr>
          <w:rFonts w:ascii="Times New Roman" w:hAnsi="Times New Roman"/>
        </w:rPr>
        <w:t>...</w:t>
      </w:r>
      <w:r w:rsidRPr="00D240CA">
        <w:rPr>
          <w:rFonts w:ascii="Times New Roman" w:hAnsi="Times New Roman"/>
        </w:rPr>
        <w:t>…S5</w:t>
      </w:r>
    </w:p>
    <w:p w14:paraId="11A6A126" w14:textId="77777777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</w:p>
    <w:p w14:paraId="7FC69BB4" w14:textId="0D99381E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</w:rPr>
        <w:t>Phosphoproteomic data supporting the sialidase modulation of EGF-stimulated phosphorylation, including volcano-plot values,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overlap counts, kinase substrate enrichment results, EGFR-network heatmap values, GO Biological Process enrichment, and directional gene and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lists. </w:t>
      </w:r>
      <w:r w:rsidRPr="00D240CA">
        <w:rPr>
          <w:rFonts w:ascii="Times New Roman" w:hAnsi="Times New Roman"/>
          <w:b/>
          <w:bCs/>
        </w:rPr>
        <w:t>(Table S</w:t>
      </w:r>
      <w:r w:rsidR="002B0E08">
        <w:rPr>
          <w:rFonts w:ascii="Times New Roman" w:hAnsi="Times New Roman" w:hint="eastAsia"/>
          <w:b/>
          <w:bCs/>
        </w:rPr>
        <w:t>1</w:t>
      </w:r>
      <w:r w:rsidRPr="00D240CA">
        <w:rPr>
          <w:rFonts w:ascii="Times New Roman" w:hAnsi="Times New Roman"/>
          <w:b/>
          <w:bCs/>
        </w:rPr>
        <w:t>) (.csv)</w:t>
      </w:r>
    </w:p>
    <w:p w14:paraId="00179FBB" w14:textId="7825A48D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</w:rPr>
        <w:t>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comparison data for sialidase and gefitinib responses in EGF-stimulated cells, including double-logFC values, three-way overlap counts, pathway heatmap matrices, representative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profiles, and Venn-region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lists. </w:t>
      </w:r>
      <w:r w:rsidRPr="00D240CA">
        <w:rPr>
          <w:rFonts w:ascii="Times New Roman" w:hAnsi="Times New Roman"/>
          <w:b/>
          <w:bCs/>
        </w:rPr>
        <w:t>(Table S</w:t>
      </w:r>
      <w:r w:rsidR="002B0E08">
        <w:rPr>
          <w:rFonts w:ascii="Times New Roman" w:hAnsi="Times New Roman" w:hint="eastAsia"/>
          <w:b/>
          <w:bCs/>
        </w:rPr>
        <w:t>2</w:t>
      </w:r>
      <w:r w:rsidRPr="00D240CA">
        <w:rPr>
          <w:rFonts w:ascii="Times New Roman" w:hAnsi="Times New Roman"/>
          <w:b/>
          <w:bCs/>
        </w:rPr>
        <w:t>) (.csv)</w:t>
      </w:r>
    </w:p>
    <w:p w14:paraId="286C43E5" w14:textId="794655B4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</w:rPr>
        <w:t>Combined sialidase/gefitinib phosphoproteomic response data, including UpSet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membership,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log2 fold-change distributions, GO Biological Process enrichment, and combined-treatment-unique phospho</w:t>
      </w:r>
      <w:r w:rsidR="00B21F28">
        <w:rPr>
          <w:rFonts w:ascii="Times New Roman" w:hAnsi="Times New Roman"/>
        </w:rPr>
        <w:t>peptide</w:t>
      </w:r>
      <w:r w:rsidRPr="00D240CA">
        <w:rPr>
          <w:rFonts w:ascii="Times New Roman" w:hAnsi="Times New Roman"/>
        </w:rPr>
        <w:t xml:space="preserve"> lists.</w:t>
      </w:r>
      <w:r w:rsidRPr="00D240CA">
        <w:rPr>
          <w:rFonts w:ascii="Times New Roman" w:hAnsi="Times New Roman"/>
          <w:b/>
          <w:bCs/>
        </w:rPr>
        <w:t xml:space="preserve"> (Table S</w:t>
      </w:r>
      <w:r w:rsidR="002B0E08">
        <w:rPr>
          <w:rFonts w:ascii="Times New Roman" w:hAnsi="Times New Roman" w:hint="eastAsia"/>
          <w:b/>
          <w:bCs/>
        </w:rPr>
        <w:t>3</w:t>
      </w:r>
      <w:r w:rsidRPr="00D240CA">
        <w:rPr>
          <w:rFonts w:ascii="Times New Roman" w:hAnsi="Times New Roman"/>
          <w:b/>
          <w:bCs/>
        </w:rPr>
        <w:t>) (.csv)</w:t>
      </w:r>
    </w:p>
    <w:p w14:paraId="2100860E" w14:textId="0DE302E6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</w:rPr>
        <w:t>Glycoproteome and phospho-glyco integration data, including glycopeptide volcano values, paired glycoform response values, sialylation-by-fucose summaries, gene-level and pair</w:t>
      </w:r>
      <w:r w:rsidR="004213B6">
        <w:rPr>
          <w:rFonts w:ascii="Times New Roman" w:hAnsi="Times New Roman"/>
        </w:rPr>
        <w:t>ed</w:t>
      </w:r>
      <w:r w:rsidRPr="00D240CA">
        <w:rPr>
          <w:rFonts w:ascii="Times New Roman" w:hAnsi="Times New Roman"/>
        </w:rPr>
        <w:t xml:space="preserve"> phospho</w:t>
      </w:r>
      <w:r w:rsidR="004213B6">
        <w:rPr>
          <w:rFonts w:ascii="Times New Roman" w:hAnsi="Times New Roman"/>
        </w:rPr>
        <w:t xml:space="preserve">- </w:t>
      </w:r>
      <w:r w:rsidRPr="00D240CA">
        <w:rPr>
          <w:rFonts w:ascii="Times New Roman" w:hAnsi="Times New Roman"/>
        </w:rPr>
        <w:t>glyco</w:t>
      </w:r>
      <w:r w:rsidR="004213B6">
        <w:rPr>
          <w:rFonts w:ascii="Times New Roman" w:hAnsi="Times New Roman"/>
        </w:rPr>
        <w:t>-proteomics</w:t>
      </w:r>
      <w:r w:rsidRPr="00D240CA">
        <w:rPr>
          <w:rFonts w:ascii="Times New Roman" w:hAnsi="Times New Roman"/>
        </w:rPr>
        <w:t xml:space="preserve"> comparisons, and EGFR relative-abundance trajectories. </w:t>
      </w:r>
      <w:r w:rsidRPr="00D240CA">
        <w:rPr>
          <w:rFonts w:ascii="Times New Roman" w:hAnsi="Times New Roman"/>
          <w:b/>
          <w:bCs/>
        </w:rPr>
        <w:t>(Table S</w:t>
      </w:r>
      <w:r w:rsidR="002B0E08">
        <w:rPr>
          <w:rFonts w:ascii="Times New Roman" w:hAnsi="Times New Roman" w:hint="eastAsia"/>
          <w:b/>
          <w:bCs/>
        </w:rPr>
        <w:t>4</w:t>
      </w:r>
      <w:r w:rsidRPr="00D240CA">
        <w:rPr>
          <w:rFonts w:ascii="Times New Roman" w:hAnsi="Times New Roman"/>
          <w:b/>
          <w:bCs/>
        </w:rPr>
        <w:t>) (.csv)</w:t>
      </w:r>
    </w:p>
    <w:p w14:paraId="680D98E3" w14:textId="5F077D7D" w:rsidR="00D240CA" w:rsidRP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</w:rPr>
        <w:lastRenderedPageBreak/>
        <w:t xml:space="preserve">STRING/Cytoscape network support tables, including glyco-phospho node attributes and glycopeptide heatmap values for genes represented in the integrated protein-interaction analysis. </w:t>
      </w:r>
      <w:r w:rsidRPr="00D240CA">
        <w:rPr>
          <w:rFonts w:ascii="Times New Roman" w:hAnsi="Times New Roman"/>
          <w:b/>
          <w:bCs/>
        </w:rPr>
        <w:t>(Table S</w:t>
      </w:r>
      <w:r w:rsidR="002B0E08">
        <w:rPr>
          <w:rFonts w:ascii="Times New Roman" w:hAnsi="Times New Roman" w:hint="eastAsia"/>
          <w:b/>
          <w:bCs/>
        </w:rPr>
        <w:t>5</w:t>
      </w:r>
      <w:r w:rsidRPr="00D240CA">
        <w:rPr>
          <w:rFonts w:ascii="Times New Roman" w:hAnsi="Times New Roman"/>
          <w:b/>
          <w:bCs/>
        </w:rPr>
        <w:t>) (.csv)</w:t>
      </w:r>
    </w:p>
    <w:p w14:paraId="1838EEFF" w14:textId="6A4780BF" w:rsidR="00D240CA" w:rsidRDefault="00D240CA" w:rsidP="00D240CA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D240CA">
        <w:rPr>
          <w:rFonts w:ascii="Times New Roman" w:hAnsi="Times New Roman"/>
        </w:rPr>
        <w:t xml:space="preserve">Quality-control data for the supporting multi-omics QC figure, including PCA coordinates, sample correlation matrices, and coefficient-of-variation summaries for global proteome, phosphoproteome, and glycoproteome datasets. </w:t>
      </w:r>
      <w:r w:rsidRPr="00D240CA">
        <w:rPr>
          <w:rFonts w:ascii="Times New Roman" w:hAnsi="Times New Roman"/>
          <w:b/>
          <w:bCs/>
        </w:rPr>
        <w:t>(Table S</w:t>
      </w:r>
      <w:r w:rsidR="002B0E08">
        <w:rPr>
          <w:rFonts w:ascii="Times New Roman" w:hAnsi="Times New Roman" w:hint="eastAsia"/>
          <w:b/>
          <w:bCs/>
        </w:rPr>
        <w:t>6</w:t>
      </w:r>
      <w:r w:rsidRPr="00D240CA">
        <w:rPr>
          <w:rFonts w:ascii="Times New Roman" w:hAnsi="Times New Roman"/>
          <w:b/>
          <w:bCs/>
        </w:rPr>
        <w:t>) (.csv)</w:t>
      </w:r>
    </w:p>
    <w:p w14:paraId="771A1B81" w14:textId="5C04ABBF" w:rsidR="002B0E08" w:rsidRPr="00D240CA" w:rsidRDefault="002B0E08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</w:rPr>
        <w:t>Differential response counts for phospho</w:t>
      </w:r>
      <w:r>
        <w:rPr>
          <w:rFonts w:ascii="Times New Roman" w:hAnsi="Times New Roman"/>
        </w:rPr>
        <w:t>peptides</w:t>
      </w:r>
      <w:r w:rsidRPr="00D240CA">
        <w:rPr>
          <w:rFonts w:ascii="Times New Roman" w:hAnsi="Times New Roman"/>
        </w:rPr>
        <w:t>, glycopeptide</w:t>
      </w:r>
      <w:r>
        <w:rPr>
          <w:rFonts w:ascii="Times New Roman" w:hAnsi="Times New Roman"/>
        </w:rPr>
        <w:t xml:space="preserve">s, and </w:t>
      </w:r>
      <w:r w:rsidRPr="00D240CA">
        <w:rPr>
          <w:rFonts w:ascii="Times New Roman" w:hAnsi="Times New Roman"/>
        </w:rPr>
        <w:t>global protein</w:t>
      </w:r>
      <w:r>
        <w:rPr>
          <w:rFonts w:ascii="Times New Roman" w:hAnsi="Times New Roman"/>
        </w:rPr>
        <w:t>s</w:t>
      </w:r>
      <w:r w:rsidRPr="00D240CA">
        <w:rPr>
          <w:rFonts w:ascii="Times New Roman" w:hAnsi="Times New Roman"/>
        </w:rPr>
        <w:t xml:space="preserve"> across the treatment contrasts. </w:t>
      </w:r>
      <w:r w:rsidRPr="00D240CA">
        <w:rPr>
          <w:rFonts w:ascii="Times New Roman" w:hAnsi="Times New Roman"/>
          <w:b/>
          <w:bCs/>
        </w:rPr>
        <w:t>(Table S</w:t>
      </w:r>
      <w:r>
        <w:rPr>
          <w:rFonts w:ascii="Times New Roman" w:hAnsi="Times New Roman" w:hint="eastAsia"/>
          <w:b/>
          <w:bCs/>
        </w:rPr>
        <w:t>7</w:t>
      </w:r>
      <w:r w:rsidRPr="00D240CA">
        <w:rPr>
          <w:rFonts w:ascii="Times New Roman" w:hAnsi="Times New Roman"/>
          <w:b/>
          <w:bCs/>
        </w:rPr>
        <w:t>) (.csv)</w:t>
      </w:r>
    </w:p>
    <w:p w14:paraId="5B356AC0" w14:textId="6F840040" w:rsidR="00D240CA" w:rsidRDefault="00D240CA" w:rsidP="00D240CA">
      <w:pPr>
        <w:spacing w:line="360" w:lineRule="auto"/>
        <w:jc w:val="both"/>
        <w:rPr>
          <w:rFonts w:ascii="Times New Roman" w:hAnsi="Times New Roman"/>
          <w:b/>
          <w:bCs/>
        </w:rPr>
      </w:pPr>
      <w:r w:rsidRPr="00D240CA">
        <w:rPr>
          <w:rFonts w:ascii="Times New Roman" w:hAnsi="Times New Roman"/>
        </w:rPr>
        <w:t xml:space="preserve">Fucosylation-by-sialic-acid glycopeptide family data supporting the reciprocal glycan-composition analysis in Figure S2. </w:t>
      </w:r>
      <w:r w:rsidRPr="00D240CA">
        <w:rPr>
          <w:rFonts w:ascii="Times New Roman" w:hAnsi="Times New Roman"/>
          <w:b/>
          <w:bCs/>
        </w:rPr>
        <w:t>(Table S8) (.csv</w:t>
      </w:r>
      <w:r w:rsidR="00F64D31">
        <w:rPr>
          <w:rFonts w:ascii="Times New Roman" w:hAnsi="Times New Roman" w:hint="eastAsia"/>
          <w:b/>
          <w:bCs/>
        </w:rPr>
        <w:t>)</w:t>
      </w:r>
    </w:p>
    <w:p w14:paraId="14691717" w14:textId="77777777" w:rsidR="00F64D31" w:rsidRDefault="00F64D31" w:rsidP="00D240CA">
      <w:pPr>
        <w:spacing w:line="360" w:lineRule="auto"/>
        <w:jc w:val="both"/>
        <w:rPr>
          <w:rFonts w:ascii="Times New Roman" w:hAnsi="Times New Roman"/>
          <w:b/>
          <w:bCs/>
        </w:rPr>
      </w:pPr>
    </w:p>
    <w:p w14:paraId="6B9749BB" w14:textId="69BE824F" w:rsidR="00A031C0" w:rsidRDefault="00F64D31" w:rsidP="00F64D3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C99F75A" wp14:editId="1A386B59">
            <wp:extent cx="5884100" cy="2352675"/>
            <wp:effectExtent l="0" t="0" r="2540" b="0"/>
            <wp:docPr id="293035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35707" name="Picture 293035707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776" cy="2358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849A0" w14:textId="14CD00BC" w:rsidR="00A031C0" w:rsidRPr="00D240CA" w:rsidRDefault="00A031C0" w:rsidP="00D240CA">
      <w:pPr>
        <w:spacing w:line="360" w:lineRule="auto"/>
        <w:jc w:val="both"/>
        <w:rPr>
          <w:rFonts w:ascii="Times New Roman" w:hAnsi="Times New Roman"/>
        </w:rPr>
      </w:pPr>
      <w:r w:rsidRPr="00A031C0">
        <w:rPr>
          <w:rFonts w:ascii="Times New Roman" w:hAnsi="Times New Roman" w:hint="eastAsia"/>
          <w:b/>
          <w:bCs/>
        </w:rPr>
        <w:t>Figure S1.</w:t>
      </w:r>
      <w:r>
        <w:rPr>
          <w:rFonts w:ascii="Times New Roman" w:hAnsi="Times New Roman" w:hint="eastAsia"/>
        </w:rPr>
        <w:t xml:space="preserve"> </w:t>
      </w:r>
      <w:r w:rsidRPr="00C733BD">
        <w:rPr>
          <w:rFonts w:ascii="Times New Roman" w:hAnsi="Times New Roman"/>
          <w:b/>
          <w:bCs/>
        </w:rPr>
        <w:t>Experimental workflow for global proteome, phosphoproteome, and N-glycoproteome profiling.</w:t>
      </w:r>
    </w:p>
    <w:p w14:paraId="2B4D37D8" w14:textId="550203F4" w:rsidR="00D240CA" w:rsidRPr="00D240CA" w:rsidRDefault="00F64D31" w:rsidP="00341D7A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95E92F0" wp14:editId="75B0C9BE">
            <wp:extent cx="5871845" cy="6293887"/>
            <wp:effectExtent l="0" t="0" r="0" b="0"/>
            <wp:docPr id="876471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7127" name="Picture 876471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677" cy="633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291E" w14:textId="39C76CF2" w:rsid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  <w:b/>
          <w:bCs/>
        </w:rPr>
        <w:t>Figure S</w:t>
      </w:r>
      <w:r w:rsidR="00A031C0">
        <w:rPr>
          <w:rFonts w:ascii="Times New Roman" w:hAnsi="Times New Roman" w:hint="eastAsia"/>
          <w:b/>
          <w:bCs/>
        </w:rPr>
        <w:t>2</w:t>
      </w:r>
      <w:r w:rsidRPr="00D240CA">
        <w:rPr>
          <w:rFonts w:ascii="Times New Roman" w:hAnsi="Times New Roman"/>
          <w:b/>
          <w:bCs/>
        </w:rPr>
        <w:t xml:space="preserve">. </w:t>
      </w:r>
      <w:r w:rsidR="005949E7">
        <w:rPr>
          <w:rFonts w:ascii="Times New Roman" w:hAnsi="Times New Roman"/>
          <w:b/>
          <w:bCs/>
        </w:rPr>
        <w:t>Q</w:t>
      </w:r>
      <w:r w:rsidR="005949E7" w:rsidRPr="00D240CA">
        <w:rPr>
          <w:rFonts w:ascii="Times New Roman" w:hAnsi="Times New Roman"/>
          <w:b/>
          <w:bCs/>
        </w:rPr>
        <w:t>uality control</w:t>
      </w:r>
      <w:r w:rsidRPr="00D240CA">
        <w:rPr>
          <w:rFonts w:ascii="Times New Roman" w:hAnsi="Times New Roman"/>
          <w:b/>
          <w:bCs/>
        </w:rPr>
        <w:t xml:space="preserve"> summary.</w:t>
      </w:r>
      <w:r w:rsidRPr="00D240CA">
        <w:rPr>
          <w:rFonts w:ascii="Times New Roman" w:hAnsi="Times New Roman"/>
        </w:rPr>
        <w:t xml:space="preserve"> Principal-component analysis, sample-sample correlation heatmaps, and coefficient-of-variation summaries for the phosphoproteome,</w:t>
      </w:r>
      <w:r>
        <w:rPr>
          <w:rFonts w:ascii="Times New Roman" w:hAnsi="Times New Roman"/>
        </w:rPr>
        <w:t xml:space="preserve"> </w:t>
      </w:r>
      <w:r w:rsidRPr="00D240CA">
        <w:rPr>
          <w:rFonts w:ascii="Times New Roman" w:hAnsi="Times New Roman"/>
        </w:rPr>
        <w:t>glycoproteome</w:t>
      </w:r>
      <w:r>
        <w:rPr>
          <w:rFonts w:ascii="Times New Roman" w:hAnsi="Times New Roman"/>
        </w:rPr>
        <w:t xml:space="preserve">, and </w:t>
      </w:r>
      <w:r w:rsidRPr="00D240CA">
        <w:rPr>
          <w:rFonts w:ascii="Times New Roman" w:hAnsi="Times New Roman"/>
        </w:rPr>
        <w:t>global proteome</w:t>
      </w:r>
      <w:r>
        <w:rPr>
          <w:rFonts w:ascii="Times New Roman" w:hAnsi="Times New Roman"/>
        </w:rPr>
        <w:t>.</w:t>
      </w:r>
    </w:p>
    <w:p w14:paraId="79D94129" w14:textId="77777777" w:rsidR="00A031C0" w:rsidRPr="00D240CA" w:rsidRDefault="00A031C0" w:rsidP="00D240CA">
      <w:pPr>
        <w:spacing w:line="360" w:lineRule="auto"/>
        <w:jc w:val="both"/>
        <w:rPr>
          <w:rFonts w:ascii="Times New Roman" w:hAnsi="Times New Roman"/>
        </w:rPr>
      </w:pPr>
    </w:p>
    <w:p w14:paraId="398A40F6" w14:textId="28CF12A7" w:rsidR="00D240CA" w:rsidRDefault="00D240CA" w:rsidP="00A031C0">
      <w:pPr>
        <w:spacing w:line="360" w:lineRule="auto"/>
        <w:jc w:val="center"/>
        <w:rPr>
          <w:rFonts w:ascii="Times New Roman" w:hAnsi="Times New Roman"/>
        </w:rPr>
      </w:pPr>
    </w:p>
    <w:p w14:paraId="637DA1E4" w14:textId="77777777" w:rsidR="002427D5" w:rsidRDefault="002427D5" w:rsidP="00D240CA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 w:hint="eastAsia"/>
          <w:b/>
          <w:bCs/>
          <w:noProof/>
        </w:rPr>
        <w:lastRenderedPageBreak/>
        <w:drawing>
          <wp:inline distT="0" distB="0" distL="0" distR="0" wp14:anchorId="481A5EDF" wp14:editId="5726AADC">
            <wp:extent cx="5919203" cy="2536466"/>
            <wp:effectExtent l="0" t="0" r="5715" b="0"/>
            <wp:docPr id="709790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790780" name="Picture 70979078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958" cy="2541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1A2C45" w14:textId="33A5320B" w:rsidR="00341D7A" w:rsidRDefault="00C733BD" w:rsidP="00D240CA">
      <w:pPr>
        <w:spacing w:line="360" w:lineRule="auto"/>
        <w:jc w:val="both"/>
        <w:rPr>
          <w:rFonts w:ascii="Times New Roman" w:hAnsi="Times New Roman"/>
        </w:rPr>
      </w:pPr>
      <w:r w:rsidRPr="00F64D31">
        <w:rPr>
          <w:rFonts w:ascii="Times New Roman" w:hAnsi="Times New Roman" w:hint="eastAsia"/>
          <w:b/>
          <w:bCs/>
        </w:rPr>
        <w:t xml:space="preserve">Figure S3. </w:t>
      </w:r>
      <w:r w:rsidRPr="00F64D31">
        <w:rPr>
          <w:rFonts w:ascii="Times New Roman" w:hAnsi="Times New Roman"/>
          <w:b/>
          <w:bCs/>
        </w:rPr>
        <w:t>Differential expression (DE) features across treatment contrast in each omics layer.</w:t>
      </w:r>
      <w:r w:rsidRPr="00C733BD">
        <w:rPr>
          <w:rFonts w:ascii="Times New Roman" w:hAnsi="Times New Roman"/>
        </w:rPr>
        <w:t xml:space="preserve"> Positive and negative bars denote increased and decreased abundance, respectively; significance was defined as adjusted p &lt; 0.05 and |log2 fold change| &gt; 0.58.</w:t>
      </w:r>
    </w:p>
    <w:p w14:paraId="1D5C2227" w14:textId="77777777" w:rsidR="00F64D31" w:rsidRDefault="00F64D31" w:rsidP="00D240CA">
      <w:pPr>
        <w:spacing w:line="360" w:lineRule="auto"/>
        <w:jc w:val="both"/>
        <w:rPr>
          <w:rFonts w:ascii="Times New Roman" w:hAnsi="Times New Roman"/>
        </w:rPr>
      </w:pPr>
    </w:p>
    <w:p w14:paraId="04C7F45C" w14:textId="5BDF32F9" w:rsidR="00341D7A" w:rsidRPr="00D240CA" w:rsidRDefault="002427D5" w:rsidP="00341D7A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CB36FA6" wp14:editId="72BE3436">
            <wp:extent cx="5943600" cy="2548255"/>
            <wp:effectExtent l="0" t="0" r="0" b="4445"/>
            <wp:docPr id="17731536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53656" name="Picture 17731536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FE01E" w14:textId="70AAE949" w:rsid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  <w:r w:rsidRPr="00D240CA">
        <w:rPr>
          <w:rFonts w:ascii="Times New Roman" w:hAnsi="Times New Roman"/>
          <w:b/>
          <w:bCs/>
        </w:rPr>
        <w:t>Figure S</w:t>
      </w:r>
      <w:r w:rsidR="00A031C0">
        <w:rPr>
          <w:rFonts w:ascii="Times New Roman" w:hAnsi="Times New Roman" w:hint="eastAsia"/>
          <w:b/>
          <w:bCs/>
        </w:rPr>
        <w:t>4</w:t>
      </w:r>
      <w:r w:rsidRPr="00D240CA">
        <w:rPr>
          <w:rFonts w:ascii="Times New Roman" w:hAnsi="Times New Roman"/>
          <w:b/>
          <w:bCs/>
        </w:rPr>
        <w:t>. Fucosylation-resolved glycopeptide responses to sialidase.</w:t>
      </w:r>
      <w:r w:rsidRPr="00D240CA">
        <w:rPr>
          <w:rFonts w:ascii="Times New Roman" w:hAnsi="Times New Roman"/>
        </w:rPr>
        <w:t xml:space="preserve"> Fucose count plotted against sialidase-induced log2 fold change within matched glycopeptide families stratified by sialic acid count.</w:t>
      </w:r>
    </w:p>
    <w:p w14:paraId="42B49103" w14:textId="77777777" w:rsidR="00D240CA" w:rsidRDefault="00D240CA" w:rsidP="00D240CA">
      <w:pPr>
        <w:spacing w:line="360" w:lineRule="auto"/>
        <w:jc w:val="both"/>
        <w:rPr>
          <w:rFonts w:ascii="Times New Roman" w:hAnsi="Times New Roman"/>
        </w:rPr>
      </w:pPr>
    </w:p>
    <w:p w14:paraId="0FECDBD2" w14:textId="6116106E" w:rsidR="00890E31" w:rsidRPr="000F037C" w:rsidRDefault="00890E31" w:rsidP="00846F9B">
      <w:pPr>
        <w:spacing w:line="360" w:lineRule="auto"/>
        <w:jc w:val="both"/>
        <w:rPr>
          <w:rFonts w:ascii="Times New Roman" w:hAnsi="Times New Roman"/>
        </w:rPr>
      </w:pPr>
    </w:p>
    <w:sectPr w:rsidR="00890E31" w:rsidRPr="000F037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EEAB9" w14:textId="77777777" w:rsidR="00CA66A5" w:rsidRDefault="00CA66A5" w:rsidP="00895DD7">
      <w:pPr>
        <w:spacing w:after="0" w:line="240" w:lineRule="auto"/>
      </w:pPr>
      <w:r>
        <w:separator/>
      </w:r>
    </w:p>
  </w:endnote>
  <w:endnote w:type="continuationSeparator" w:id="0">
    <w:p w14:paraId="2AF69895" w14:textId="77777777" w:rsidR="00CA66A5" w:rsidRDefault="00CA66A5" w:rsidP="0089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10BD" w14:textId="77777777" w:rsidR="00895DD7" w:rsidRDefault="00895DD7">
    <w:pPr>
      <w:pStyle w:val="Footer"/>
      <w:jc w:val="right"/>
    </w:pPr>
    <w:r>
      <w:rPr>
        <w:rFonts w:hint="eastAsia"/>
      </w:rPr>
      <w:t>S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0DB008B" w14:textId="77777777" w:rsidR="00895DD7" w:rsidRDefault="00895D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13EC" w14:textId="77777777" w:rsidR="00CA66A5" w:rsidRDefault="00CA66A5" w:rsidP="00895DD7">
      <w:pPr>
        <w:spacing w:after="0" w:line="240" w:lineRule="auto"/>
      </w:pPr>
      <w:r>
        <w:separator/>
      </w:r>
    </w:p>
  </w:footnote>
  <w:footnote w:type="continuationSeparator" w:id="0">
    <w:p w14:paraId="313E27A1" w14:textId="77777777" w:rsidR="00CA66A5" w:rsidRDefault="00CA66A5" w:rsidP="0089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7028C"/>
    <w:multiLevelType w:val="hybridMultilevel"/>
    <w:tmpl w:val="FAF05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48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D7"/>
    <w:rsid w:val="000211BE"/>
    <w:rsid w:val="00046F45"/>
    <w:rsid w:val="000D01B0"/>
    <w:rsid w:val="000F037C"/>
    <w:rsid w:val="00120168"/>
    <w:rsid w:val="0017104F"/>
    <w:rsid w:val="001A3EE7"/>
    <w:rsid w:val="001F2431"/>
    <w:rsid w:val="00226718"/>
    <w:rsid w:val="002427D5"/>
    <w:rsid w:val="002813A3"/>
    <w:rsid w:val="00290F32"/>
    <w:rsid w:val="002921DA"/>
    <w:rsid w:val="002B0E08"/>
    <w:rsid w:val="002B109D"/>
    <w:rsid w:val="002B6762"/>
    <w:rsid w:val="002C4E8C"/>
    <w:rsid w:val="002D1747"/>
    <w:rsid w:val="002F7299"/>
    <w:rsid w:val="0033339D"/>
    <w:rsid w:val="003407D3"/>
    <w:rsid w:val="00341D7A"/>
    <w:rsid w:val="003A586D"/>
    <w:rsid w:val="00413F4E"/>
    <w:rsid w:val="004213B6"/>
    <w:rsid w:val="00441105"/>
    <w:rsid w:val="004462B5"/>
    <w:rsid w:val="004771BB"/>
    <w:rsid w:val="004802FC"/>
    <w:rsid w:val="004A4908"/>
    <w:rsid w:val="005041EA"/>
    <w:rsid w:val="00535E08"/>
    <w:rsid w:val="0054148D"/>
    <w:rsid w:val="005737CD"/>
    <w:rsid w:val="0059100F"/>
    <w:rsid w:val="005949E7"/>
    <w:rsid w:val="005B6331"/>
    <w:rsid w:val="005F5D12"/>
    <w:rsid w:val="005F7A84"/>
    <w:rsid w:val="00654E1C"/>
    <w:rsid w:val="00682FDD"/>
    <w:rsid w:val="00692C53"/>
    <w:rsid w:val="006B289D"/>
    <w:rsid w:val="006C30E1"/>
    <w:rsid w:val="006D23FC"/>
    <w:rsid w:val="006F66F6"/>
    <w:rsid w:val="00775473"/>
    <w:rsid w:val="007A0ED1"/>
    <w:rsid w:val="007B7460"/>
    <w:rsid w:val="007F5C59"/>
    <w:rsid w:val="008109DA"/>
    <w:rsid w:val="008116CA"/>
    <w:rsid w:val="00846F9B"/>
    <w:rsid w:val="008866E7"/>
    <w:rsid w:val="00890E31"/>
    <w:rsid w:val="00895DD7"/>
    <w:rsid w:val="008C3458"/>
    <w:rsid w:val="008E2556"/>
    <w:rsid w:val="008E44C5"/>
    <w:rsid w:val="008F4A74"/>
    <w:rsid w:val="0092027D"/>
    <w:rsid w:val="00926393"/>
    <w:rsid w:val="009A03F5"/>
    <w:rsid w:val="009A14E2"/>
    <w:rsid w:val="009C6A2F"/>
    <w:rsid w:val="00A031C0"/>
    <w:rsid w:val="00A1498E"/>
    <w:rsid w:val="00A41978"/>
    <w:rsid w:val="00A71CE6"/>
    <w:rsid w:val="00AD5B8B"/>
    <w:rsid w:val="00B21F28"/>
    <w:rsid w:val="00B76158"/>
    <w:rsid w:val="00BA3D06"/>
    <w:rsid w:val="00C15230"/>
    <w:rsid w:val="00C24FE1"/>
    <w:rsid w:val="00C33405"/>
    <w:rsid w:val="00C44A42"/>
    <w:rsid w:val="00C700BA"/>
    <w:rsid w:val="00C733BD"/>
    <w:rsid w:val="00C86B38"/>
    <w:rsid w:val="00CA66A5"/>
    <w:rsid w:val="00CD3C9E"/>
    <w:rsid w:val="00D240CA"/>
    <w:rsid w:val="00D24E7A"/>
    <w:rsid w:val="00D255B8"/>
    <w:rsid w:val="00D5427B"/>
    <w:rsid w:val="00D82A91"/>
    <w:rsid w:val="00DD4359"/>
    <w:rsid w:val="00DD591F"/>
    <w:rsid w:val="00E14E29"/>
    <w:rsid w:val="00E469D0"/>
    <w:rsid w:val="00E80A87"/>
    <w:rsid w:val="00EE17C4"/>
    <w:rsid w:val="00F03CE5"/>
    <w:rsid w:val="00F568FC"/>
    <w:rsid w:val="00F5784E"/>
    <w:rsid w:val="00F64D31"/>
    <w:rsid w:val="00FB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16120"/>
  <w15:chartTrackingRefBased/>
  <w15:docId w15:val="{2C3E4B91-F463-9E44-8DA2-39AC2D32D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DD7"/>
    <w:pPr>
      <w:keepNext/>
      <w:keepLines/>
      <w:spacing w:before="360" w:after="80"/>
      <w:outlineLvl w:val="0"/>
    </w:pPr>
    <w:rPr>
      <w:rFonts w:ascii="Aptos Display" w:eastAsia="DengXian Light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DD7"/>
    <w:pPr>
      <w:keepNext/>
      <w:keepLines/>
      <w:spacing w:before="160" w:after="80"/>
      <w:outlineLvl w:val="1"/>
    </w:pPr>
    <w:rPr>
      <w:rFonts w:ascii="Aptos Display" w:eastAsia="DengXian Light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DD7"/>
    <w:pPr>
      <w:keepNext/>
      <w:keepLines/>
      <w:spacing w:before="160" w:after="80"/>
      <w:outlineLvl w:val="2"/>
    </w:pPr>
    <w:rPr>
      <w:rFonts w:eastAsia="DengXian Light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DD7"/>
    <w:pPr>
      <w:keepNext/>
      <w:keepLines/>
      <w:spacing w:before="80" w:after="40"/>
      <w:outlineLvl w:val="3"/>
    </w:pPr>
    <w:rPr>
      <w:rFonts w:eastAsia="DengXian Light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DD7"/>
    <w:pPr>
      <w:keepNext/>
      <w:keepLines/>
      <w:spacing w:before="80" w:after="40"/>
      <w:outlineLvl w:val="4"/>
    </w:pPr>
    <w:rPr>
      <w:rFonts w:eastAsia="DengXian Light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DD7"/>
    <w:pPr>
      <w:keepNext/>
      <w:keepLines/>
      <w:spacing w:before="40" w:after="0"/>
      <w:outlineLvl w:val="5"/>
    </w:pPr>
    <w:rPr>
      <w:rFonts w:eastAsia="DengXian Light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DD7"/>
    <w:pPr>
      <w:keepNext/>
      <w:keepLines/>
      <w:spacing w:before="40" w:after="0"/>
      <w:outlineLvl w:val="6"/>
    </w:pPr>
    <w:rPr>
      <w:rFonts w:eastAsia="DengXian Light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DD7"/>
    <w:pPr>
      <w:keepNext/>
      <w:keepLines/>
      <w:spacing w:after="0"/>
      <w:outlineLvl w:val="7"/>
    </w:pPr>
    <w:rPr>
      <w:rFonts w:eastAsia="DengXian Light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DD7"/>
    <w:pPr>
      <w:keepNext/>
      <w:keepLines/>
      <w:spacing w:after="0"/>
      <w:outlineLvl w:val="8"/>
    </w:pPr>
    <w:rPr>
      <w:rFonts w:eastAsia="DengXian Light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95DD7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895DD7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895DD7"/>
    <w:rPr>
      <w:rFonts w:eastAsia="DengXian Light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895DD7"/>
    <w:rPr>
      <w:rFonts w:eastAsia="DengXian Light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895DD7"/>
    <w:rPr>
      <w:rFonts w:eastAsia="DengXian Light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895DD7"/>
    <w:rPr>
      <w:rFonts w:eastAsia="DengXian Light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895DD7"/>
    <w:rPr>
      <w:rFonts w:eastAsia="DengXian Light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895DD7"/>
    <w:rPr>
      <w:rFonts w:eastAsia="DengXian Light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895DD7"/>
    <w:rPr>
      <w:rFonts w:eastAsia="DengXian Light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895DD7"/>
    <w:pPr>
      <w:spacing w:after="80" w:line="240" w:lineRule="auto"/>
      <w:contextualSpacing/>
    </w:pPr>
    <w:rPr>
      <w:rFonts w:ascii="Aptos Display" w:eastAsia="DengXian Light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895DD7"/>
    <w:rPr>
      <w:rFonts w:ascii="Aptos Display" w:eastAsia="DengXian Light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DD7"/>
    <w:pPr>
      <w:numPr>
        <w:ilvl w:val="1"/>
      </w:numPr>
    </w:pPr>
    <w:rPr>
      <w:rFonts w:eastAsia="DengXian Light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895DD7"/>
    <w:rPr>
      <w:rFonts w:eastAsia="DengXian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DD7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895DD7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895DD7"/>
    <w:pPr>
      <w:ind w:left="720"/>
      <w:contextualSpacing/>
    </w:pPr>
  </w:style>
  <w:style w:type="character" w:styleId="IntenseEmphasis">
    <w:name w:val="Intense Emphasis"/>
    <w:uiPriority w:val="21"/>
    <w:qFormat/>
    <w:rsid w:val="00895DD7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DD7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895DD7"/>
    <w:rPr>
      <w:i/>
      <w:iCs/>
      <w:color w:val="0F4761"/>
    </w:rPr>
  </w:style>
  <w:style w:type="character" w:styleId="IntenseReference">
    <w:name w:val="Intense Reference"/>
    <w:uiPriority w:val="32"/>
    <w:qFormat/>
    <w:rsid w:val="00895DD7"/>
    <w:rPr>
      <w:b/>
      <w:bCs/>
      <w:smallCaps/>
      <w:color w:val="0F476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5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DD7"/>
  </w:style>
  <w:style w:type="paragraph" w:styleId="Footer">
    <w:name w:val="footer"/>
    <w:basedOn w:val="Normal"/>
    <w:link w:val="FooterChar"/>
    <w:uiPriority w:val="99"/>
    <w:unhideWhenUsed/>
    <w:rsid w:val="00895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DD7"/>
  </w:style>
  <w:style w:type="paragraph" w:styleId="Revision">
    <w:name w:val="Revision"/>
    <w:hidden/>
    <w:uiPriority w:val="99"/>
    <w:semiHidden/>
    <w:rsid w:val="00B21F28"/>
    <w:rPr>
      <w:kern w:val="2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5</Pages>
  <Words>562</Words>
  <Characters>3204</Characters>
  <Application>Microsoft Office Word</Application>
  <DocSecurity>0</DocSecurity>
  <PresentationFormat/>
  <Lines>26</Lines>
  <Paragraphs>7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Liu</dc:creator>
  <cp:keywords/>
  <dc:description/>
  <cp:lastModifiedBy>Hongyi Liu</cp:lastModifiedBy>
  <cp:revision>6</cp:revision>
  <dcterms:created xsi:type="dcterms:W3CDTF">2026-06-23T15:50:00Z</dcterms:created>
  <dcterms:modified xsi:type="dcterms:W3CDTF">2026-06-24T16:42:00Z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