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8"/>
        </w:rPr>
        <w:t>STROBE-MR reporting checklist</w:t>
      </w:r>
    </w:p>
    <w:p>
      <w:r>
        <w:t>Manuscript: Plasma proteome-wide Mendelian randomization with multi-layer triangulation identifies druggable targets for uterine leiomyoma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20"/>
              </w:rPr>
              <w:t>STROBE-MR item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Description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Reported in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8"/>
              </w:rPr>
              <w:t>1. Title/abstract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Mendelian randomization stated in title and structured abstract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Title; Abstract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8"/>
              </w:rPr>
              <w:t>2. Background/rationale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Biological rationale; unmet therapeutic need in fibroids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Introduction ¶1-2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8"/>
              </w:rPr>
              <w:t>3. Objectives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Causal hypothesis: plasma proteins as druggable causal factors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Introduction ¶4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8"/>
              </w:rPr>
              <w:t>4. Study design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Drug-target (cis-pQTL) two-sample MR with colocalization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Methods – Study design; MR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8"/>
              </w:rPr>
              <w:t>5. Data sources/setting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UKB-PPP exposure; FinnGen + Kim outcomes; ancestry &amp; sample sizes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Methods – Exposure, Outcomes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8"/>
              </w:rPr>
              <w:t>6. Assumptions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Relevance, independence, exclusion-restriction; how addressed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Methods – MR; Discussion – Limitations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8"/>
              </w:rPr>
              <w:t>7. Exposure/outcome/instruments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cis-pQTL instrument definition; outcome endpoints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Methods – Exposure, Outcomes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8"/>
              </w:rPr>
              <w:t>8. Instrument strength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cis window; genome-wide significance; F&gt;10 (229–769)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Methods – Exposure; Table 1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8"/>
              </w:rPr>
              <w:t>9. Statistical methods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Wald ratio; Benjamini–Hochberg FDR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Methods – MR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8"/>
              </w:rPr>
              <w:t>10. Colocalization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coloc.abf, ±500 kb, PP4&gt;0.8 in both cohorts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Methods – Colocalization; Figure 3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8"/>
              </w:rPr>
              <w:t>11. Sensitivity/robustness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SMR; Steiger; reverse MR; cross-platform; pleiotropy; cross-ancestry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Methods; Results; Figure 4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8"/>
              </w:rPr>
              <w:t>12. Software/code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R (coloc, MendelianRandomization, data.table); public repository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Methods – Druggability; Data availability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8"/>
              </w:rPr>
              <w:t>13. Descriptive data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Proteins tested, instruments, cases/controls per cohort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Results; Methods; Table 1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8"/>
              </w:rPr>
              <w:t>14. Main results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MR + colocalization estimates for six prioritised targets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Results; Table 1; Figure 2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8"/>
              </w:rPr>
              <w:t>15. Other analyses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Cross-platform, eQTL/tissue, PheWAS, HMB, cross-ancestry, druggability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Results; Figures 4–6; Table 2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8"/>
              </w:rPr>
              <w:t>16. Key results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Six colocalized, replicated, triangulated druggable targets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Discussion ¶1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8"/>
              </w:rPr>
              <w:t>17. Limitations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European discovery, single-SNP cis instruments, no bulk-tissue eQTL, pleiotropy, analyte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Discussion – Limitations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8"/>
              </w:rPr>
              <w:t>18. Interpretation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Causal interpretation; repurposing hypotheses (PARP1, FSHB, RSPO3)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Discussion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8"/>
              </w:rPr>
              <w:t>19. Generalizability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Cross-ancestry replication (Asian; FSHB African); European pQTL caveat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Results; Discussion – Limitations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8"/>
              </w:rPr>
              <w:t>20. Funding/conflicts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Funding and competing interests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Declarations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