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8A9F" w14:textId="77777777" w:rsidR="009C02F2" w:rsidRDefault="009C02F2" w:rsidP="009C02F2">
      <w:pPr>
        <w:pStyle w:val="Heading1"/>
      </w:pPr>
      <w:r>
        <w:rPr>
          <w:rFonts w:ascii="Times New Roman" w:eastAsia="Times New Roman" w:hAnsi="Times New Roman"/>
          <w:b/>
          <w:sz w:val="32"/>
        </w:rPr>
        <w:t>Supplementary information</w:t>
      </w:r>
    </w:p>
    <w:p w14:paraId="6CBBFC08" w14:textId="77777777" w:rsidR="009C02F2" w:rsidRDefault="009C02F2" w:rsidP="009C02F2">
      <w:pPr>
        <w:pStyle w:val="Caption"/>
      </w:pPr>
      <w:r>
        <w:rPr>
          <w:rFonts w:eastAsia="Times New Roman"/>
        </w:rPr>
        <w:t>Table 6. Supplementary information file plan</w:t>
      </w:r>
    </w:p>
    <w:tbl>
      <w:tblPr>
        <w:tblStyle w:val="TableGrid"/>
        <w:tblW w:w="0" w:type="auto"/>
        <w:jc w:val="center"/>
        <w:tblLook w:val="04A0" w:firstRow="1" w:lastRow="0" w:firstColumn="1" w:lastColumn="0" w:noHBand="0" w:noVBand="1"/>
      </w:tblPr>
      <w:tblGrid>
        <w:gridCol w:w="4488"/>
        <w:gridCol w:w="4528"/>
      </w:tblGrid>
      <w:tr w:rsidR="009C02F2" w14:paraId="27BF41B9" w14:textId="77777777" w:rsidTr="000A65A4">
        <w:trPr>
          <w:cantSplit/>
          <w:jc w:val="center"/>
        </w:trPr>
        <w:tc>
          <w:tcPr>
            <w:tcW w:w="5112" w:type="dxa"/>
            <w:shd w:val="clear" w:color="auto" w:fill="D9EAD3"/>
            <w:vAlign w:val="center"/>
          </w:tcPr>
          <w:p w14:paraId="02C0ABEE" w14:textId="77777777" w:rsidR="009C02F2" w:rsidRDefault="009C02F2" w:rsidP="000A65A4">
            <w:pPr>
              <w:spacing w:after="0" w:line="240" w:lineRule="auto"/>
              <w:jc w:val="center"/>
            </w:pPr>
            <w:r>
              <w:rPr>
                <w:rFonts w:eastAsia="Times New Roman"/>
                <w:b/>
                <w:sz w:val="14"/>
              </w:rPr>
              <w:t>File</w:t>
            </w:r>
          </w:p>
        </w:tc>
        <w:tc>
          <w:tcPr>
            <w:tcW w:w="5112" w:type="dxa"/>
            <w:shd w:val="clear" w:color="auto" w:fill="D9EAD3"/>
            <w:vAlign w:val="center"/>
          </w:tcPr>
          <w:p w14:paraId="34908807" w14:textId="77777777" w:rsidR="009C02F2" w:rsidRDefault="009C02F2" w:rsidP="000A65A4">
            <w:pPr>
              <w:spacing w:after="0" w:line="240" w:lineRule="auto"/>
              <w:jc w:val="center"/>
            </w:pPr>
            <w:r>
              <w:rPr>
                <w:rFonts w:eastAsia="Times New Roman"/>
                <w:b/>
                <w:sz w:val="14"/>
              </w:rPr>
              <w:t>Content</w:t>
            </w:r>
          </w:p>
        </w:tc>
      </w:tr>
      <w:tr w:rsidR="009C02F2" w14:paraId="55FC5DC1" w14:textId="77777777" w:rsidTr="000A65A4">
        <w:trPr>
          <w:cantSplit/>
          <w:jc w:val="center"/>
        </w:trPr>
        <w:tc>
          <w:tcPr>
            <w:tcW w:w="5112" w:type="dxa"/>
            <w:vAlign w:val="center"/>
          </w:tcPr>
          <w:p w14:paraId="6F492421" w14:textId="77777777" w:rsidR="009C02F2" w:rsidRDefault="009C02F2" w:rsidP="000A65A4">
            <w:pPr>
              <w:spacing w:after="0" w:line="240" w:lineRule="auto"/>
              <w:jc w:val="center"/>
            </w:pPr>
            <w:r>
              <w:rPr>
                <w:rFonts w:eastAsia="Times New Roman"/>
                <w:sz w:val="14"/>
              </w:rPr>
              <w:t>Supplementary Table S1</w:t>
            </w:r>
          </w:p>
        </w:tc>
        <w:tc>
          <w:tcPr>
            <w:tcW w:w="5112" w:type="dxa"/>
            <w:vAlign w:val="center"/>
          </w:tcPr>
          <w:p w14:paraId="63FC0298" w14:textId="77777777" w:rsidR="009C02F2" w:rsidRDefault="009C02F2" w:rsidP="000A65A4">
            <w:pPr>
              <w:spacing w:after="0" w:line="240" w:lineRule="auto"/>
            </w:pPr>
            <w:r>
              <w:rPr>
                <w:rFonts w:eastAsia="Times New Roman"/>
                <w:sz w:val="14"/>
              </w:rPr>
              <w:t>Measurement overview, scale sources, response anchors, reliability, and revised work-related depletion item list with reverse-coding rules</w:t>
            </w:r>
          </w:p>
        </w:tc>
      </w:tr>
      <w:tr w:rsidR="009C02F2" w14:paraId="63570231" w14:textId="77777777" w:rsidTr="000A65A4">
        <w:trPr>
          <w:cantSplit/>
          <w:jc w:val="center"/>
        </w:trPr>
        <w:tc>
          <w:tcPr>
            <w:tcW w:w="5112" w:type="dxa"/>
            <w:vAlign w:val="center"/>
          </w:tcPr>
          <w:p w14:paraId="4DA59B77" w14:textId="77777777" w:rsidR="009C02F2" w:rsidRDefault="009C02F2" w:rsidP="000A65A4">
            <w:pPr>
              <w:spacing w:after="0" w:line="240" w:lineRule="auto"/>
              <w:jc w:val="center"/>
            </w:pPr>
            <w:r>
              <w:rPr>
                <w:rFonts w:eastAsia="Times New Roman"/>
                <w:sz w:val="14"/>
              </w:rPr>
              <w:t>Supplementary Table S2</w:t>
            </w:r>
          </w:p>
        </w:tc>
        <w:tc>
          <w:tcPr>
            <w:tcW w:w="5112" w:type="dxa"/>
            <w:vAlign w:val="center"/>
          </w:tcPr>
          <w:p w14:paraId="654A02B7" w14:textId="77777777" w:rsidR="009C02F2" w:rsidRDefault="009C02F2" w:rsidP="000A65A4">
            <w:r>
              <w:rPr>
                <w:rFonts w:eastAsia="Times New Roman"/>
                <w:sz w:val="16"/>
              </w:rPr>
              <w:t>Full CFA competing model comparison, including chi-square, df, chi-square/df, CFI, TLI, RMSEA, SRMR and delta CFI for six-factor, five-factor, four-factor, two-factor and one-factor models.</w:t>
            </w:r>
          </w:p>
        </w:tc>
      </w:tr>
      <w:tr w:rsidR="009C02F2" w14:paraId="2D2A2246" w14:textId="77777777" w:rsidTr="000A65A4">
        <w:trPr>
          <w:cantSplit/>
          <w:jc w:val="center"/>
        </w:trPr>
        <w:tc>
          <w:tcPr>
            <w:tcW w:w="5112" w:type="dxa"/>
            <w:vAlign w:val="center"/>
          </w:tcPr>
          <w:p w14:paraId="1BFBF83B" w14:textId="77777777" w:rsidR="009C02F2" w:rsidRDefault="009C02F2" w:rsidP="000A65A4">
            <w:pPr>
              <w:spacing w:after="0" w:line="240" w:lineRule="auto"/>
              <w:jc w:val="center"/>
            </w:pPr>
            <w:r>
              <w:rPr>
                <w:rFonts w:eastAsia="Times New Roman"/>
                <w:sz w:val="14"/>
              </w:rPr>
              <w:t>Supplementary Table S3</w:t>
            </w:r>
          </w:p>
        </w:tc>
        <w:tc>
          <w:tcPr>
            <w:tcW w:w="5112" w:type="dxa"/>
            <w:vAlign w:val="center"/>
          </w:tcPr>
          <w:p w14:paraId="2C6EAE86" w14:textId="77777777" w:rsidR="009C02F2" w:rsidRDefault="009C02F2" w:rsidP="000A65A4">
            <w:r>
              <w:rPr>
                <w:rFonts w:eastAsia="Times New Roman"/>
                <w:sz w:val="16"/>
              </w:rPr>
              <w:t>HTMT discriminant-validity ratios for all construct pairs.</w:t>
            </w:r>
          </w:p>
        </w:tc>
      </w:tr>
      <w:tr w:rsidR="009C02F2" w14:paraId="1735741E" w14:textId="77777777" w:rsidTr="000A65A4">
        <w:trPr>
          <w:cantSplit/>
          <w:jc w:val="center"/>
        </w:trPr>
        <w:tc>
          <w:tcPr>
            <w:tcW w:w="5112" w:type="dxa"/>
            <w:vAlign w:val="center"/>
          </w:tcPr>
          <w:p w14:paraId="447197DE" w14:textId="77777777" w:rsidR="009C02F2" w:rsidRDefault="009C02F2" w:rsidP="000A65A4">
            <w:pPr>
              <w:spacing w:after="0" w:line="240" w:lineRule="auto"/>
              <w:jc w:val="center"/>
            </w:pPr>
            <w:r>
              <w:rPr>
                <w:rFonts w:eastAsia="Times New Roman"/>
                <w:sz w:val="14"/>
              </w:rPr>
              <w:t>Supplementary Table S4</w:t>
            </w:r>
          </w:p>
        </w:tc>
        <w:tc>
          <w:tcPr>
            <w:tcW w:w="5112" w:type="dxa"/>
            <w:vAlign w:val="center"/>
          </w:tcPr>
          <w:p w14:paraId="54DC0194" w14:textId="77777777" w:rsidR="009C02F2" w:rsidRDefault="009C02F2" w:rsidP="000A65A4">
            <w:pPr>
              <w:spacing w:after="0" w:line="240" w:lineRule="auto"/>
            </w:pPr>
            <w:r>
              <w:rPr>
                <w:rFonts w:eastAsia="Times New Roman"/>
                <w:sz w:val="15"/>
              </w:rPr>
              <w:t>Common method bias diagnostics, including procedural controls, Harman single-factor test, single-factor CFA, common latent factor check and full collinearity VIF.</w:t>
            </w:r>
          </w:p>
        </w:tc>
      </w:tr>
      <w:tr w:rsidR="009C02F2" w14:paraId="5B472499" w14:textId="77777777" w:rsidTr="000A65A4">
        <w:trPr>
          <w:cantSplit/>
          <w:jc w:val="center"/>
        </w:trPr>
        <w:tc>
          <w:tcPr>
            <w:tcW w:w="5112" w:type="dxa"/>
            <w:vAlign w:val="center"/>
          </w:tcPr>
          <w:p w14:paraId="78B46535" w14:textId="77777777" w:rsidR="009C02F2" w:rsidRDefault="009C02F2" w:rsidP="000A65A4">
            <w:pPr>
              <w:spacing w:after="0" w:line="240" w:lineRule="auto"/>
              <w:jc w:val="center"/>
            </w:pPr>
            <w:r>
              <w:rPr>
                <w:rFonts w:eastAsia="Times New Roman"/>
                <w:sz w:val="14"/>
              </w:rPr>
              <w:t>Supplementary Table S5</w:t>
            </w:r>
          </w:p>
        </w:tc>
        <w:tc>
          <w:tcPr>
            <w:tcW w:w="5112" w:type="dxa"/>
            <w:vAlign w:val="center"/>
          </w:tcPr>
          <w:p w14:paraId="3B9B98F1" w14:textId="77777777" w:rsidR="009C02F2" w:rsidRDefault="009C02F2" w:rsidP="000A65A4">
            <w:r>
              <w:rPr>
                <w:rFonts w:eastAsia="Times New Roman"/>
                <w:sz w:val="16"/>
              </w:rPr>
              <w:t>Full PROCESS Model 4 output, including intermediate-variable equations, direct association controlling for intermediate variables, specific indirect associations and total indirect association.</w:t>
            </w:r>
          </w:p>
        </w:tc>
      </w:tr>
      <w:tr w:rsidR="009C02F2" w14:paraId="20162B5B" w14:textId="77777777" w:rsidTr="000A65A4">
        <w:trPr>
          <w:cantSplit/>
          <w:jc w:val="center"/>
        </w:trPr>
        <w:tc>
          <w:tcPr>
            <w:tcW w:w="5112" w:type="dxa"/>
            <w:vAlign w:val="center"/>
          </w:tcPr>
          <w:p w14:paraId="5353F39F" w14:textId="77777777" w:rsidR="009C02F2" w:rsidRDefault="009C02F2" w:rsidP="000A65A4">
            <w:r>
              <w:t>Data, codebook and analysis syntax availability</w:t>
            </w:r>
          </w:p>
        </w:tc>
        <w:tc>
          <w:tcPr>
            <w:tcW w:w="5112" w:type="dxa"/>
            <w:vAlign w:val="center"/>
          </w:tcPr>
          <w:p w14:paraId="56B60622" w14:textId="77777777" w:rsidR="009C02F2" w:rsidRDefault="009C02F2" w:rsidP="000A65A4">
            <w:r>
              <w:t>No participant-level dataset is publicly deposited. De-identified participant-level data, excluding institution names, direct identifiers and sensitive contextual information, together with the codebook and analysis syntax, can be made available from the corresponding author upon reasonable request and subject to approval by the relevant ethics committee.</w:t>
            </w:r>
          </w:p>
        </w:tc>
      </w:tr>
      <w:tr w:rsidR="009C02F2" w14:paraId="7F8FD2C4" w14:textId="77777777" w:rsidTr="000A65A4">
        <w:trPr>
          <w:cantSplit/>
          <w:jc w:val="center"/>
        </w:trPr>
        <w:tc>
          <w:tcPr>
            <w:tcW w:w="5112" w:type="dxa"/>
            <w:vAlign w:val="center"/>
          </w:tcPr>
          <w:p w14:paraId="0D8A1635" w14:textId="77777777" w:rsidR="009C02F2" w:rsidRDefault="009C02F2" w:rsidP="000A65A4">
            <w:pPr>
              <w:spacing w:after="0" w:line="240" w:lineRule="auto"/>
              <w:jc w:val="center"/>
            </w:pPr>
            <w:r>
              <w:rPr>
                <w:rFonts w:eastAsia="Times New Roman"/>
                <w:sz w:val="14"/>
              </w:rPr>
              <w:t>Supplementary Note S1</w:t>
            </w:r>
          </w:p>
        </w:tc>
        <w:tc>
          <w:tcPr>
            <w:tcW w:w="5112" w:type="dxa"/>
            <w:vAlign w:val="center"/>
          </w:tcPr>
          <w:p w14:paraId="0582A20F" w14:textId="77777777" w:rsidR="009C02F2" w:rsidRDefault="009C02F2" w:rsidP="000A65A4">
            <w:pPr>
              <w:spacing w:after="0" w:line="240" w:lineRule="auto"/>
            </w:pPr>
            <w:r>
              <w:rPr>
                <w:rFonts w:eastAsia="Times New Roman"/>
                <w:sz w:val="14"/>
              </w:rPr>
              <w:t>Sampling frame, inclusion/exclusion rules, data-screening rules and cross-sectional interpretation statement</w:t>
            </w:r>
          </w:p>
        </w:tc>
      </w:tr>
    </w:tbl>
    <w:p w14:paraId="272D27C3"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erif CJK SC">
    <w:altName w:val="苹方-简"/>
    <w:charset w:val="00"/>
    <w:family w:val="auto"/>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F2"/>
    <w:rsid w:val="001D3053"/>
    <w:rsid w:val="001E3A92"/>
    <w:rsid w:val="00217E67"/>
    <w:rsid w:val="002C7D54"/>
    <w:rsid w:val="0033371E"/>
    <w:rsid w:val="0054753F"/>
    <w:rsid w:val="005C0D39"/>
    <w:rsid w:val="0070406C"/>
    <w:rsid w:val="00724754"/>
    <w:rsid w:val="007B36B1"/>
    <w:rsid w:val="009C02F2"/>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9E00"/>
  <w15:chartTrackingRefBased/>
  <w15:docId w15:val="{C31CA5B2-62E8-41A8-B15A-BC34A6F9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2F2"/>
    <w:pPr>
      <w:spacing w:after="200" w:line="276" w:lineRule="auto"/>
    </w:pPr>
    <w:rPr>
      <w:rFonts w:ascii="Times New Roman" w:eastAsia="Noto Serif CJK SC" w:hAnsi="Times New Roman"/>
      <w:kern w:val="0"/>
      <w:sz w:val="21"/>
      <w:szCs w:val="22"/>
      <w:lang w:val="en-US"/>
      <w14:ligatures w14:val="none"/>
    </w:rPr>
  </w:style>
  <w:style w:type="paragraph" w:styleId="Heading1">
    <w:name w:val="heading 1"/>
    <w:basedOn w:val="Normal"/>
    <w:next w:val="Normal"/>
    <w:link w:val="Heading1Char"/>
    <w:uiPriority w:val="9"/>
    <w:qFormat/>
    <w:rsid w:val="009C02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9C02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9C02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9C02F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9C02F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9C02F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9C02F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9C02F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9C02F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2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2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2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2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2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2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2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2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2F2"/>
    <w:rPr>
      <w:rFonts w:eastAsiaTheme="majorEastAsia" w:cstheme="majorBidi"/>
      <w:color w:val="272727" w:themeColor="text1" w:themeTint="D8"/>
    </w:rPr>
  </w:style>
  <w:style w:type="paragraph" w:styleId="Title">
    <w:name w:val="Title"/>
    <w:basedOn w:val="Normal"/>
    <w:next w:val="Normal"/>
    <w:link w:val="TitleChar"/>
    <w:uiPriority w:val="10"/>
    <w:qFormat/>
    <w:rsid w:val="009C02F2"/>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9C02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2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9C02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2F2"/>
    <w:pPr>
      <w:spacing w:before="160" w:after="160" w:line="278" w:lineRule="auto"/>
      <w:jc w:val="center"/>
    </w:pPr>
    <w:rPr>
      <w:rFonts w:asciiTheme="minorHAnsi" w:eastAsiaTheme="minorHAnsi" w:hAnsi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9C02F2"/>
    <w:rPr>
      <w:i/>
      <w:iCs/>
      <w:color w:val="404040" w:themeColor="text1" w:themeTint="BF"/>
    </w:rPr>
  </w:style>
  <w:style w:type="paragraph" w:styleId="ListParagraph">
    <w:name w:val="List Paragraph"/>
    <w:basedOn w:val="Normal"/>
    <w:uiPriority w:val="34"/>
    <w:qFormat/>
    <w:rsid w:val="009C02F2"/>
    <w:pPr>
      <w:spacing w:after="160" w:line="278" w:lineRule="auto"/>
      <w:ind w:left="720"/>
      <w:contextualSpacing/>
    </w:pPr>
    <w:rPr>
      <w:rFonts w:asciiTheme="minorHAnsi" w:eastAsiaTheme="minorHAnsi" w:hAnsiTheme="minorHAnsi"/>
      <w:kern w:val="2"/>
      <w:sz w:val="24"/>
      <w:szCs w:val="24"/>
      <w:lang w:val="en-IN"/>
      <w14:ligatures w14:val="standardContextual"/>
    </w:rPr>
  </w:style>
  <w:style w:type="character" w:styleId="IntenseEmphasis">
    <w:name w:val="Intense Emphasis"/>
    <w:basedOn w:val="DefaultParagraphFont"/>
    <w:uiPriority w:val="21"/>
    <w:qFormat/>
    <w:rsid w:val="009C02F2"/>
    <w:rPr>
      <w:i/>
      <w:iCs/>
      <w:color w:val="0F4761" w:themeColor="accent1" w:themeShade="BF"/>
    </w:rPr>
  </w:style>
  <w:style w:type="paragraph" w:styleId="IntenseQuote">
    <w:name w:val="Intense Quote"/>
    <w:basedOn w:val="Normal"/>
    <w:next w:val="Normal"/>
    <w:link w:val="IntenseQuoteChar"/>
    <w:uiPriority w:val="30"/>
    <w:qFormat/>
    <w:rsid w:val="009C02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9C02F2"/>
    <w:rPr>
      <w:i/>
      <w:iCs/>
      <w:color w:val="0F4761" w:themeColor="accent1" w:themeShade="BF"/>
    </w:rPr>
  </w:style>
  <w:style w:type="character" w:styleId="IntenseReference">
    <w:name w:val="Intense Reference"/>
    <w:basedOn w:val="DefaultParagraphFont"/>
    <w:uiPriority w:val="32"/>
    <w:qFormat/>
    <w:rsid w:val="009C02F2"/>
    <w:rPr>
      <w:b/>
      <w:bCs/>
      <w:smallCaps/>
      <w:color w:val="0F4761" w:themeColor="accent1" w:themeShade="BF"/>
      <w:spacing w:val="5"/>
    </w:rPr>
  </w:style>
  <w:style w:type="paragraph" w:styleId="Caption">
    <w:name w:val="caption"/>
    <w:basedOn w:val="Normal"/>
    <w:next w:val="Normal"/>
    <w:uiPriority w:val="35"/>
    <w:semiHidden/>
    <w:unhideWhenUsed/>
    <w:qFormat/>
    <w:rsid w:val="009C02F2"/>
    <w:pPr>
      <w:spacing w:line="240" w:lineRule="auto"/>
    </w:pPr>
    <w:rPr>
      <w:b/>
      <w:bCs/>
      <w:i/>
      <w:color w:val="156082" w:themeColor="accent1"/>
      <w:sz w:val="18"/>
      <w:szCs w:val="18"/>
    </w:rPr>
  </w:style>
  <w:style w:type="table" w:styleId="TableGrid">
    <w:name w:val="Table Grid"/>
    <w:basedOn w:val="TableNormal"/>
    <w:uiPriority w:val="59"/>
    <w:rsid w:val="009C02F2"/>
    <w:pPr>
      <w:spacing w:after="0" w:line="240" w:lineRule="auto"/>
    </w:pPr>
    <w:rPr>
      <w:rFonts w:eastAsiaTheme="minorEastAsia"/>
      <w:kern w:val="0"/>
      <w:sz w:val="20"/>
      <w:szCs w:val="20"/>
      <w:lang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2026-07-29T06:52:00Z</dcterms:created>
  <dcterms:modified xsi:type="dcterms:W3CDTF">2026-07-29T06:52:00Z</dcterms:modified>
</cp:coreProperties>
</file>