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6496C">
      <w:pPr>
        <w:jc w:val="center"/>
      </w:pPr>
      <w:r>
        <w:rPr>
          <w:rFonts w:ascii="Times New Roman" w:hAnsi="Times New Roman" w:eastAsia="Noto Serif CJK SC"/>
          <w:b/>
          <w:sz w:val="36"/>
        </w:rPr>
        <w:t>Supplementary Information</w:t>
      </w:r>
    </w:p>
    <w:p w14:paraId="348021CE">
      <w:pPr>
        <w:jc w:val="center"/>
      </w:pPr>
      <w:r>
        <w:rPr>
          <w:rFonts w:ascii="Times New Roman" w:hAnsi="Times New Roman" w:eastAsia="Noto Serif CJK SC"/>
          <w:b/>
          <w:sz w:val="28"/>
        </w:rPr>
        <w:t>Job stress, moral disengagement and minor workplace deviance among knowledge-service employees</w:t>
      </w:r>
    </w:p>
    <w:p w14:paraId="5D77C529">
      <w:pPr>
        <w:jc w:val="center"/>
      </w:pPr>
      <w:r>
        <w:rPr>
          <w:rFonts w:ascii="Times New Roman" w:hAnsi="Times New Roman" w:eastAsia="Times New Roman"/>
          <w:sz w:val="21"/>
        </w:rPr>
        <w:t>He Yuda1 and Mazuwin</w:t>
      </w:r>
      <w:r>
        <w:rPr>
          <w:rFonts w:hint="eastAsia" w:eastAsia="宋体"/>
          <w:sz w:val="21"/>
          <w:lang w:val="en-US" w:eastAsia="zh-CN"/>
        </w:rPr>
        <w:t xml:space="preserve"> </w:t>
      </w:r>
      <w:r>
        <w:rPr>
          <w:rFonts w:ascii="Times New Roman" w:hAnsi="Times New Roman" w:eastAsia="Times New Roman"/>
          <w:sz w:val="21"/>
        </w:rPr>
        <w:t>Maideen1,*</w:t>
      </w:r>
      <w:r>
        <w:rPr>
          <w:rFonts w:ascii="Times New Roman" w:hAnsi="Times New Roman" w:eastAsia="Times New Roman"/>
          <w:sz w:val="21"/>
        </w:rPr>
        <w:br w:type="textWrapping"/>
      </w:r>
      <w:r>
        <w:rPr>
          <w:rFonts w:ascii="Times New Roman" w:hAnsi="Times New Roman" w:eastAsia="Times New Roman"/>
          <w:sz w:val="21"/>
        </w:rPr>
        <w:t>1 Azman Hashim International Business School (AHIBS), Universiti Teknologi Malaysia, 54100 Kuala Lumpur, Malaysia</w:t>
      </w:r>
      <w:r>
        <w:rPr>
          <w:rFonts w:ascii="Times New Roman" w:hAnsi="Times New Roman" w:eastAsia="Times New Roman"/>
          <w:sz w:val="21"/>
        </w:rPr>
        <w:br w:type="textWrapping"/>
      </w:r>
      <w:r>
        <w:rPr>
          <w:rFonts w:ascii="Times New Roman" w:hAnsi="Times New Roman" w:eastAsia="Times New Roman"/>
          <w:sz w:val="21"/>
        </w:rPr>
        <w:t>*Correspondence: Mazuwin</w:t>
      </w:r>
      <w:bookmarkStart w:id="0" w:name="_GoBack"/>
      <w:bookmarkEnd w:id="0"/>
      <w:r>
        <w:rPr>
          <w:rFonts w:ascii="Times New Roman" w:hAnsi="Times New Roman" w:eastAsia="Times New Roman"/>
          <w:sz w:val="21"/>
        </w:rPr>
        <w:t xml:space="preserve"> Maideen (mazuwin@163.com)</w:t>
      </w:r>
    </w:p>
    <w:p w14:paraId="3AF4C188"/>
    <w:p w14:paraId="7A714968">
      <w:r>
        <w:rPr>
          <w:rFonts w:ascii="Times New Roman" w:hAnsi="Times New Roman" w:eastAsia="Noto Serif CJK SC"/>
          <w:b/>
          <w:sz w:val="28"/>
        </w:rPr>
        <w:t>Supplementary Methods</w:t>
      </w:r>
    </w:p>
    <w:p w14:paraId="237BAAA8">
      <w:pPr>
        <w:spacing w:line="276" w:lineRule="auto"/>
      </w:pPr>
      <w:r>
        <w:t>This file provides additional measurement, model-comparison, validity, common-method, conditional-process and robustness information for the manuscript. Supplementary tables are numbered independently from the main text.</w:t>
      </w:r>
    </w:p>
    <w:p w14:paraId="199787F5">
      <w:pPr>
        <w:spacing w:line="276" w:lineRule="auto"/>
      </w:pPr>
      <w:r>
        <w:rPr>
          <w:rFonts w:ascii="Times New Roman" w:hAnsi="Times New Roman" w:eastAsia="Times New Roman"/>
          <w:sz w:val="22"/>
        </w:rPr>
        <w:t>All scale items used five-point Likert-type response anchors unless otherwise indicated. Higher scores indicated higher levels of the construct. Positively worded recovery or capacity items in the work-related depletion scale were reverse-coded before composite scores were formed. The work-related depletion item pool was newly worded for this study and is not adapted from proprietary occupational-strain inventory item wording. All conditional-process results are interpreted as cross-sectional statistical associations rather than causal effects.</w:t>
      </w:r>
    </w:p>
    <w:p w14:paraId="493A6E7B">
      <w:r>
        <w:rPr>
          <w:rFonts w:ascii="Times New Roman" w:hAnsi="Times New Roman" w:eastAsia="Noto Serif CJK SC"/>
          <w:b/>
          <w:i/>
          <w:sz w:val="18"/>
        </w:rPr>
        <w:t>Supplementary Table S1. Measurement overview, item numbers, sources and reliability.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14:paraId="7D8BA356">
        <w:trPr>
          <w:cantSplit/>
          <w:jc w:val="center"/>
        </w:trPr>
        <w:tc>
          <w:tcPr>
            <w:tcW w:w="1440" w:type="dxa"/>
            <w:shd w:val="clear" w:color="auto" w:fill="D9EAD3"/>
            <w:vAlign w:val="center"/>
          </w:tcPr>
          <w:p w14:paraId="06EE06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Construct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6625A41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Items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1BD98F1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Source/model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5B3BA12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Dimensions/content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7F84233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Example item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190B893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Response anchors</w:t>
            </w:r>
          </w:p>
        </w:tc>
        <w:tc>
          <w:tcPr>
            <w:tcW w:w="1440" w:type="dxa"/>
            <w:shd w:val="clear" w:color="auto" w:fill="D9EAD3"/>
            <w:vAlign w:val="center"/>
          </w:tcPr>
          <w:p w14:paraId="2B8BC0A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3"/>
              </w:rPr>
              <w:t>Alpha</w:t>
            </w:r>
          </w:p>
        </w:tc>
      </w:tr>
      <w:tr w14:paraId="40CFD8A8">
        <w:trPr>
          <w:cantSplit/>
          <w:jc w:val="center"/>
        </w:trPr>
        <w:tc>
          <w:tcPr>
            <w:tcW w:w="1440" w:type="dxa"/>
            <w:vAlign w:val="center"/>
          </w:tcPr>
          <w:p w14:paraId="414753B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Job stress</w:t>
            </w:r>
          </w:p>
        </w:tc>
        <w:tc>
          <w:tcPr>
            <w:tcW w:w="1440" w:type="dxa"/>
            <w:vAlign w:val="center"/>
          </w:tcPr>
          <w:p w14:paraId="5709289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12</w:t>
            </w:r>
          </w:p>
        </w:tc>
        <w:tc>
          <w:tcPr>
            <w:tcW w:w="1440" w:type="dxa"/>
            <w:vAlign w:val="center"/>
          </w:tcPr>
          <w:p w14:paraId="684BA63A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Adapted from Karasek (1979) Job Content Questionnaire/job-demand model and role-stress items used to assess workload, time pressure and role conflict.</w:t>
            </w:r>
          </w:p>
        </w:tc>
        <w:tc>
          <w:tcPr>
            <w:tcW w:w="1440" w:type="dxa"/>
            <w:vAlign w:val="center"/>
          </w:tcPr>
          <w:p w14:paraId="5BC415B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Workload, time pressure, role conflict</w:t>
            </w:r>
          </w:p>
        </w:tc>
        <w:tc>
          <w:tcPr>
            <w:tcW w:w="1440" w:type="dxa"/>
            <w:vAlign w:val="center"/>
          </w:tcPr>
          <w:p w14:paraId="6D6B676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My job requires me to work very hard.</w:t>
            </w:r>
          </w:p>
        </w:tc>
        <w:tc>
          <w:tcPr>
            <w:tcW w:w="1440" w:type="dxa"/>
            <w:vAlign w:val="center"/>
          </w:tcPr>
          <w:p w14:paraId="3F123C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strongly disagree to 5 = strongly agree</w:t>
            </w:r>
          </w:p>
        </w:tc>
        <w:tc>
          <w:tcPr>
            <w:tcW w:w="1440" w:type="dxa"/>
            <w:vAlign w:val="center"/>
          </w:tcPr>
          <w:p w14:paraId="7E4E150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.891</w:t>
            </w:r>
          </w:p>
        </w:tc>
      </w:tr>
      <w:tr w14:paraId="63CCF201">
        <w:trPr>
          <w:cantSplit/>
          <w:jc w:val="center"/>
        </w:trPr>
        <w:tc>
          <w:tcPr>
            <w:tcW w:w="1440" w:type="dxa"/>
            <w:vAlign w:val="center"/>
          </w:tcPr>
          <w:p w14:paraId="45A4485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Organizational commitment</w:t>
            </w:r>
          </w:p>
        </w:tc>
        <w:tc>
          <w:tcPr>
            <w:tcW w:w="1440" w:type="dxa"/>
            <w:vAlign w:val="center"/>
          </w:tcPr>
          <w:p w14:paraId="2921A5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18</w:t>
            </w:r>
          </w:p>
        </w:tc>
        <w:tc>
          <w:tcPr>
            <w:tcW w:w="1440" w:type="dxa"/>
            <w:vAlign w:val="center"/>
          </w:tcPr>
          <w:p w14:paraId="4F426125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Adapted from Meyer and Allen (1991) Three-Component Organizational Commitment Scale.</w:t>
            </w:r>
          </w:p>
        </w:tc>
        <w:tc>
          <w:tcPr>
            <w:tcW w:w="1440" w:type="dxa"/>
            <w:vAlign w:val="center"/>
          </w:tcPr>
          <w:p w14:paraId="6266D1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Affective, continuance and normative commitment</w:t>
            </w:r>
          </w:p>
        </w:tc>
        <w:tc>
          <w:tcPr>
            <w:tcW w:w="1440" w:type="dxa"/>
            <w:vAlign w:val="center"/>
          </w:tcPr>
          <w:p w14:paraId="23E9AE8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I feel a strong sense of belonging to my organization.</w:t>
            </w:r>
          </w:p>
        </w:tc>
        <w:tc>
          <w:tcPr>
            <w:tcW w:w="1440" w:type="dxa"/>
            <w:vAlign w:val="center"/>
          </w:tcPr>
          <w:p w14:paraId="190237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strongly disagree to 5 = strongly agree</w:t>
            </w:r>
          </w:p>
        </w:tc>
        <w:tc>
          <w:tcPr>
            <w:tcW w:w="1440" w:type="dxa"/>
            <w:vAlign w:val="center"/>
          </w:tcPr>
          <w:p w14:paraId="4D85EFB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.934</w:t>
            </w:r>
          </w:p>
        </w:tc>
      </w:tr>
      <w:tr w14:paraId="7CF591C2">
        <w:trPr>
          <w:cantSplit/>
          <w:jc w:val="center"/>
        </w:trPr>
        <w:tc>
          <w:tcPr>
            <w:tcW w:w="1440" w:type="dxa"/>
            <w:vAlign w:val="center"/>
          </w:tcPr>
          <w:p w14:paraId="6016905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Occupational self-efficacy</w:t>
            </w:r>
          </w:p>
        </w:tc>
        <w:tc>
          <w:tcPr>
            <w:tcW w:w="1440" w:type="dxa"/>
            <w:vAlign w:val="center"/>
          </w:tcPr>
          <w:p w14:paraId="04201D5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12</w:t>
            </w:r>
          </w:p>
        </w:tc>
        <w:tc>
          <w:tcPr>
            <w:tcW w:w="1440" w:type="dxa"/>
            <w:vAlign w:val="center"/>
          </w:tcPr>
          <w:p w14:paraId="1749B760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Adapted from Schyns and von Collani (2002) Occupational Self-Efficacy Scale.</w:t>
            </w:r>
          </w:p>
        </w:tc>
        <w:tc>
          <w:tcPr>
            <w:tcW w:w="1440" w:type="dxa"/>
            <w:vAlign w:val="center"/>
          </w:tcPr>
          <w:p w14:paraId="545A9365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Service-task efficacy, interpersonal efficacy, emotional-regulation efficacy</w:t>
            </w:r>
          </w:p>
        </w:tc>
        <w:tc>
          <w:tcPr>
            <w:tcW w:w="1440" w:type="dxa"/>
            <w:vAlign w:val="center"/>
          </w:tcPr>
          <w:p w14:paraId="67C8C1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I can handle difficult work tasks effectively.</w:t>
            </w:r>
          </w:p>
        </w:tc>
        <w:tc>
          <w:tcPr>
            <w:tcW w:w="1440" w:type="dxa"/>
            <w:vAlign w:val="center"/>
          </w:tcPr>
          <w:p w14:paraId="65FDAE6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strongly disagree to 5 = strongly agree</w:t>
            </w:r>
          </w:p>
        </w:tc>
        <w:tc>
          <w:tcPr>
            <w:tcW w:w="1440" w:type="dxa"/>
            <w:vAlign w:val="center"/>
          </w:tcPr>
          <w:p w14:paraId="2B20FE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.914</w:t>
            </w:r>
          </w:p>
        </w:tc>
      </w:tr>
      <w:tr w14:paraId="2B1DD8F9">
        <w:trPr>
          <w:cantSplit/>
          <w:jc w:val="center"/>
        </w:trPr>
        <w:tc>
          <w:tcPr>
            <w:tcW w:w="1440" w:type="dxa"/>
            <w:vAlign w:val="center"/>
          </w:tcPr>
          <w:p w14:paraId="6B79CB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Work-related depletion</w:t>
            </w:r>
          </w:p>
        </w:tc>
        <w:tc>
          <w:tcPr>
            <w:tcW w:w="1440" w:type="dxa"/>
            <w:vAlign w:val="center"/>
          </w:tcPr>
          <w:p w14:paraId="739DC7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13</w:t>
            </w:r>
          </w:p>
        </w:tc>
        <w:tc>
          <w:tcPr>
            <w:tcW w:w="1440" w:type="dxa"/>
            <w:vAlign w:val="center"/>
          </w:tcPr>
          <w:p w14:paraId="597AC626">
            <w:r>
              <w:rPr>
                <w:rFonts w:ascii="Times New Roman" w:hAnsi="Times New Roman" w:eastAsia="Times New Roman"/>
                <w:sz w:val="16"/>
              </w:rPr>
              <w:t>Newly worded for the present study from job-demands, resource-depletion and recovery perspectives; not adapted from existing proprietary inventory items.</w:t>
            </w:r>
          </w:p>
        </w:tc>
        <w:tc>
          <w:tcPr>
            <w:tcW w:w="1440" w:type="dxa"/>
            <w:vAlign w:val="center"/>
          </w:tcPr>
          <w:p w14:paraId="74C62A0D">
            <w:r>
              <w:rPr>
                <w:rFonts w:ascii="Times New Roman" w:hAnsi="Times New Roman" w:eastAsia="Times New Roman"/>
                <w:sz w:val="16"/>
              </w:rPr>
              <w:t>Energy depletion, recovery difficulty, attentional fatigue, interactional load, reduced discretionary capacity</w:t>
            </w:r>
          </w:p>
        </w:tc>
        <w:tc>
          <w:tcPr>
            <w:tcW w:w="1440" w:type="dxa"/>
            <w:vAlign w:val="center"/>
          </w:tcPr>
          <w:p w14:paraId="44461E00">
            <w:r>
              <w:rPr>
                <w:rFonts w:ascii="Times New Roman" w:hAnsi="Times New Roman" w:eastAsia="Times New Roman"/>
                <w:sz w:val="16"/>
              </w:rPr>
              <w:t>After sustained work demands, my mental capacity is slow to recover.</w:t>
            </w:r>
          </w:p>
        </w:tc>
        <w:tc>
          <w:tcPr>
            <w:tcW w:w="1440" w:type="dxa"/>
            <w:vAlign w:val="center"/>
          </w:tcPr>
          <w:p w14:paraId="5350C0C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strongly disagree to 5 = strongly agree</w:t>
            </w:r>
          </w:p>
        </w:tc>
        <w:tc>
          <w:tcPr>
            <w:tcW w:w="1440" w:type="dxa"/>
            <w:vAlign w:val="center"/>
          </w:tcPr>
          <w:p w14:paraId="5AF4680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.924</w:t>
            </w:r>
          </w:p>
        </w:tc>
      </w:tr>
      <w:tr w14:paraId="49201101">
        <w:trPr>
          <w:cantSplit/>
          <w:jc w:val="center"/>
        </w:trPr>
        <w:tc>
          <w:tcPr>
            <w:tcW w:w="1440" w:type="dxa"/>
            <w:vAlign w:val="center"/>
          </w:tcPr>
          <w:p w14:paraId="524E108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Moral disengagement</w:t>
            </w:r>
          </w:p>
        </w:tc>
        <w:tc>
          <w:tcPr>
            <w:tcW w:w="1440" w:type="dxa"/>
            <w:vAlign w:val="center"/>
          </w:tcPr>
          <w:p w14:paraId="632502C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16</w:t>
            </w:r>
          </w:p>
        </w:tc>
        <w:tc>
          <w:tcPr>
            <w:tcW w:w="1440" w:type="dxa"/>
            <w:vAlign w:val="center"/>
          </w:tcPr>
          <w:p w14:paraId="2576D56B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Adapted from Bandura (1999) moral disengagement framework and reviewed against Detert et al. (2008) and Moore et al. (2012) workplace moral disengagement item pools.</w:t>
            </w:r>
          </w:p>
        </w:tc>
        <w:tc>
          <w:tcPr>
            <w:tcW w:w="1440" w:type="dxa"/>
            <w:vAlign w:val="center"/>
          </w:tcPr>
          <w:p w14:paraId="4695B9E6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Moral justification, displacement/diffusion of responsibility, minimising consequences</w:t>
            </w:r>
          </w:p>
        </w:tc>
        <w:tc>
          <w:tcPr>
            <w:tcW w:w="1440" w:type="dxa"/>
            <w:vAlign w:val="center"/>
          </w:tcPr>
          <w:p w14:paraId="7AF9245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Minor rule-bending can be justified when workload is excessive.</w:t>
            </w:r>
          </w:p>
        </w:tc>
        <w:tc>
          <w:tcPr>
            <w:tcW w:w="1440" w:type="dxa"/>
            <w:vAlign w:val="center"/>
          </w:tcPr>
          <w:p w14:paraId="464B3AA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strongly disagree to 5 = strongly agree</w:t>
            </w:r>
          </w:p>
        </w:tc>
        <w:tc>
          <w:tcPr>
            <w:tcW w:w="1440" w:type="dxa"/>
            <w:vAlign w:val="center"/>
          </w:tcPr>
          <w:p w14:paraId="1EF9B5A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.902</w:t>
            </w:r>
          </w:p>
        </w:tc>
      </w:tr>
      <w:tr w14:paraId="489B93C8">
        <w:trPr>
          <w:cantSplit/>
          <w:jc w:val="center"/>
        </w:trPr>
        <w:tc>
          <w:tcPr>
            <w:tcW w:w="1440" w:type="dxa"/>
            <w:vAlign w:val="center"/>
          </w:tcPr>
          <w:p w14:paraId="4F57F43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Minor workplace deviance</w:t>
            </w:r>
          </w:p>
        </w:tc>
        <w:tc>
          <w:tcPr>
            <w:tcW w:w="1440" w:type="dxa"/>
            <w:vAlign w:val="center"/>
          </w:tcPr>
          <w:p w14:paraId="018BF6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14</w:t>
            </w:r>
          </w:p>
        </w:tc>
        <w:tc>
          <w:tcPr>
            <w:tcW w:w="1440" w:type="dxa"/>
            <w:vAlign w:val="center"/>
          </w:tcPr>
          <w:p w14:paraId="31391B0F">
            <w:pPr>
              <w:spacing w:after="0" w:line="240" w:lineRule="auto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Adapted from Bennett and Robinson (2000) Workplace Deviance Scale and Robinson and Bennett (1995) workplace deviance typology.</w:t>
            </w:r>
          </w:p>
        </w:tc>
        <w:tc>
          <w:tcPr>
            <w:tcW w:w="1440" w:type="dxa"/>
            <w:vAlign w:val="center"/>
          </w:tcPr>
          <w:p w14:paraId="123C86B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Minor organizational and interpersonal deviance</w:t>
            </w:r>
          </w:p>
        </w:tc>
        <w:tc>
          <w:tcPr>
            <w:tcW w:w="1440" w:type="dxa"/>
            <w:vAlign w:val="center"/>
          </w:tcPr>
          <w:p w14:paraId="324508C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I delayed or reduced effort on non-urgent work tasks.</w:t>
            </w:r>
          </w:p>
        </w:tc>
        <w:tc>
          <w:tcPr>
            <w:tcW w:w="1440" w:type="dxa"/>
            <w:vAlign w:val="center"/>
          </w:tcPr>
          <w:p w14:paraId="122E33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1 = never to 5 = very often</w:t>
            </w:r>
          </w:p>
        </w:tc>
        <w:tc>
          <w:tcPr>
            <w:tcW w:w="1440" w:type="dxa"/>
            <w:vAlign w:val="center"/>
          </w:tcPr>
          <w:p w14:paraId="2210A3D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3"/>
              </w:rPr>
              <w:t>.881</w:t>
            </w:r>
          </w:p>
        </w:tc>
      </w:tr>
    </w:tbl>
    <w:p w14:paraId="2F8648E8">
      <w:r>
        <w:rPr>
          <w:b/>
          <w:i/>
        </w:rPr>
        <w:t>Supplementary Table S1a. Revised work-related depletion item wording and scoring.</w:t>
      </w:r>
    </w:p>
    <w:p w14:paraId="2D727F5F">
      <w:pPr>
        <w:spacing w:after="80"/>
      </w:pPr>
      <w:r>
        <w:t>Response anchors: 1 = strongly disagree to 5 = strongly agree. Reverse-coded items are recoded before composite scoring so that higher scores indicate greater work-related depletion.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931"/>
        <w:gridCol w:w="6430"/>
        <w:gridCol w:w="1144"/>
      </w:tblGrid>
      <w:tr w14:paraId="1E70E1CC">
        <w:trPr>
          <w:jc w:val="center"/>
        </w:trPr>
        <w:tc>
          <w:tcPr>
            <w:tcW w:w="792" w:type="dxa"/>
            <w:shd w:val="clear" w:color="auto" w:fill="D9EAD3"/>
            <w:vAlign w:val="center"/>
          </w:tcPr>
          <w:p w14:paraId="47A4DF0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Item</w:t>
            </w:r>
          </w:p>
        </w:tc>
        <w:tc>
          <w:tcPr>
            <w:tcW w:w="1944" w:type="dxa"/>
            <w:shd w:val="clear" w:color="auto" w:fill="D9EAD3"/>
            <w:vAlign w:val="center"/>
          </w:tcPr>
          <w:p w14:paraId="17E60624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Content focus</w:t>
            </w:r>
          </w:p>
        </w:tc>
        <w:tc>
          <w:tcPr>
            <w:tcW w:w="6552" w:type="dxa"/>
            <w:shd w:val="clear" w:color="auto" w:fill="D9EAD3"/>
            <w:vAlign w:val="center"/>
          </w:tcPr>
          <w:p w14:paraId="1FDA391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Revised item wording</w:t>
            </w:r>
          </w:p>
        </w:tc>
        <w:tc>
          <w:tcPr>
            <w:tcW w:w="1152" w:type="dxa"/>
            <w:shd w:val="clear" w:color="auto" w:fill="D9EAD3"/>
            <w:vAlign w:val="center"/>
          </w:tcPr>
          <w:p w14:paraId="3409028B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sz w:val="16"/>
              </w:rPr>
              <w:t>Reverse-coded</w:t>
            </w:r>
          </w:p>
        </w:tc>
      </w:tr>
      <w:tr w14:paraId="4F296BD0">
        <w:trPr>
          <w:jc w:val="center"/>
        </w:trPr>
        <w:tc>
          <w:tcPr>
            <w:tcW w:w="792" w:type="dxa"/>
            <w:vAlign w:val="center"/>
          </w:tcPr>
          <w:p w14:paraId="68B29C4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WRD1</w:t>
            </w:r>
          </w:p>
        </w:tc>
        <w:tc>
          <w:tcPr>
            <w:tcW w:w="1944" w:type="dxa"/>
            <w:vAlign w:val="center"/>
          </w:tcPr>
          <w:p w14:paraId="6C78CCD4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Recovery difficulty</w:t>
            </w:r>
          </w:p>
        </w:tc>
        <w:tc>
          <w:tcPr>
            <w:tcW w:w="6552" w:type="dxa"/>
            <w:vAlign w:val="center"/>
          </w:tcPr>
          <w:p w14:paraId="3C5CCD81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After long stretches of service work, my mental capacity is slow to recover.</w:t>
            </w:r>
          </w:p>
        </w:tc>
        <w:tc>
          <w:tcPr>
            <w:tcW w:w="1152" w:type="dxa"/>
            <w:vAlign w:val="center"/>
          </w:tcPr>
          <w:p w14:paraId="21A48AC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520ECCC0">
        <w:trPr>
          <w:jc w:val="center"/>
        </w:trPr>
        <w:tc>
          <w:tcPr>
            <w:tcW w:w="792" w:type="dxa"/>
            <w:vAlign w:val="center"/>
          </w:tcPr>
          <w:p w14:paraId="0C51CF2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WRD2</w:t>
            </w:r>
          </w:p>
        </w:tc>
        <w:tc>
          <w:tcPr>
            <w:tcW w:w="1944" w:type="dxa"/>
            <w:vAlign w:val="center"/>
          </w:tcPr>
          <w:p w14:paraId="6731147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Energy depletion</w:t>
            </w:r>
          </w:p>
        </w:tc>
        <w:tc>
          <w:tcPr>
            <w:tcW w:w="6552" w:type="dxa"/>
            <w:vAlign w:val="center"/>
          </w:tcPr>
          <w:p w14:paraId="1E3DF49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Small additional requests can feel disproportionately demanding during a busy workday.</w:t>
            </w:r>
          </w:p>
        </w:tc>
        <w:tc>
          <w:tcPr>
            <w:tcW w:w="1152" w:type="dxa"/>
            <w:vAlign w:val="center"/>
          </w:tcPr>
          <w:p w14:paraId="7DCF274D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50C8EA5E">
        <w:trPr>
          <w:jc w:val="center"/>
        </w:trPr>
        <w:tc>
          <w:tcPr>
            <w:tcW w:w="792" w:type="dxa"/>
            <w:vAlign w:val="center"/>
          </w:tcPr>
          <w:p w14:paraId="51C9320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WRD3</w:t>
            </w:r>
          </w:p>
        </w:tc>
        <w:tc>
          <w:tcPr>
            <w:tcW w:w="1944" w:type="dxa"/>
            <w:vAlign w:val="center"/>
          </w:tcPr>
          <w:p w14:paraId="557E133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Recovery difficulty</w:t>
            </w:r>
          </w:p>
        </w:tc>
        <w:tc>
          <w:tcPr>
            <w:tcW w:w="6552" w:type="dxa"/>
            <w:vAlign w:val="center"/>
          </w:tcPr>
          <w:p w14:paraId="1F2B1B01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 need extra time to regain focus after intense client or coordination tasks.</w:t>
            </w:r>
          </w:p>
        </w:tc>
        <w:tc>
          <w:tcPr>
            <w:tcW w:w="1152" w:type="dxa"/>
            <w:vAlign w:val="center"/>
          </w:tcPr>
          <w:p w14:paraId="1F218BD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0417EF94">
        <w:trPr>
          <w:jc w:val="center"/>
        </w:trPr>
        <w:tc>
          <w:tcPr>
            <w:tcW w:w="792" w:type="dxa"/>
            <w:vAlign w:val="center"/>
          </w:tcPr>
          <w:p w14:paraId="2FC89FA9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WRD4</w:t>
            </w:r>
          </w:p>
        </w:tc>
        <w:tc>
          <w:tcPr>
            <w:tcW w:w="1944" w:type="dxa"/>
            <w:vAlign w:val="center"/>
          </w:tcPr>
          <w:p w14:paraId="4B9A1B40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Recovery difficulty</w:t>
            </w:r>
          </w:p>
        </w:tc>
        <w:tc>
          <w:tcPr>
            <w:tcW w:w="6552" w:type="dxa"/>
            <w:vAlign w:val="center"/>
          </w:tcPr>
          <w:p w14:paraId="6922A1B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Work concerns often linger after hours and make recovery difficult.</w:t>
            </w:r>
          </w:p>
        </w:tc>
        <w:tc>
          <w:tcPr>
            <w:tcW w:w="1152" w:type="dxa"/>
            <w:vAlign w:val="center"/>
          </w:tcPr>
          <w:p w14:paraId="60314F69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07E62108">
        <w:trPr>
          <w:jc w:val="center"/>
        </w:trPr>
        <w:tc>
          <w:tcPr>
            <w:tcW w:w="792" w:type="dxa"/>
            <w:vAlign w:val="center"/>
          </w:tcPr>
          <w:p w14:paraId="4E48BC5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WRD5</w:t>
            </w:r>
          </w:p>
        </w:tc>
        <w:tc>
          <w:tcPr>
            <w:tcW w:w="1944" w:type="dxa"/>
            <w:vAlign w:val="center"/>
          </w:tcPr>
          <w:p w14:paraId="7E18F88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Attentional fatigue</w:t>
            </w:r>
          </w:p>
        </w:tc>
        <w:tc>
          <w:tcPr>
            <w:tcW w:w="6552" w:type="dxa"/>
            <w:vAlign w:val="center"/>
          </w:tcPr>
          <w:p w14:paraId="1D1579EC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During heavy work periods, I feel I am operating with a narrowed reserve of attention.</w:t>
            </w:r>
          </w:p>
        </w:tc>
        <w:tc>
          <w:tcPr>
            <w:tcW w:w="1152" w:type="dxa"/>
            <w:vAlign w:val="center"/>
          </w:tcPr>
          <w:p w14:paraId="3FAB3C3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0A7C8AAB">
        <w:trPr>
          <w:jc w:val="center"/>
        </w:trPr>
        <w:tc>
          <w:tcPr>
            <w:tcW w:w="792" w:type="dxa"/>
            <w:vAlign w:val="center"/>
          </w:tcPr>
          <w:p w14:paraId="21BDA9A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WRD6</w:t>
            </w:r>
          </w:p>
        </w:tc>
        <w:tc>
          <w:tcPr>
            <w:tcW w:w="1944" w:type="dxa"/>
            <w:vAlign w:val="center"/>
          </w:tcPr>
          <w:p w14:paraId="2535F0D0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Attentional fatigue</w:t>
            </w:r>
          </w:p>
        </w:tc>
        <w:tc>
          <w:tcPr>
            <w:tcW w:w="6552" w:type="dxa"/>
            <w:vAlign w:val="center"/>
          </w:tcPr>
          <w:p w14:paraId="7F75A52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Frequent interruptions quickly reduce my ability to stay engaged with tasks.</w:t>
            </w:r>
          </w:p>
        </w:tc>
        <w:tc>
          <w:tcPr>
            <w:tcW w:w="1152" w:type="dxa"/>
            <w:vAlign w:val="center"/>
          </w:tcPr>
          <w:p w14:paraId="23B85E11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3BAE7E11">
        <w:trPr>
          <w:jc w:val="center"/>
        </w:trPr>
        <w:tc>
          <w:tcPr>
            <w:tcW w:w="792" w:type="dxa"/>
            <w:vAlign w:val="center"/>
          </w:tcPr>
          <w:p w14:paraId="5C7A90F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WRD7</w:t>
            </w:r>
          </w:p>
        </w:tc>
        <w:tc>
          <w:tcPr>
            <w:tcW w:w="1944" w:type="dxa"/>
            <w:vAlign w:val="center"/>
          </w:tcPr>
          <w:p w14:paraId="23A2DA0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Interactional load</w:t>
            </w:r>
          </w:p>
        </w:tc>
        <w:tc>
          <w:tcPr>
            <w:tcW w:w="6552" w:type="dxa"/>
            <w:vAlign w:val="center"/>
          </w:tcPr>
          <w:p w14:paraId="1A2847BF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 sometimes keep interactions very brief to preserve my limited energy for essential tasks.</w:t>
            </w:r>
          </w:p>
        </w:tc>
        <w:tc>
          <w:tcPr>
            <w:tcW w:w="1152" w:type="dxa"/>
            <w:vAlign w:val="center"/>
          </w:tcPr>
          <w:p w14:paraId="3213FA3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3D8352B2">
        <w:trPr>
          <w:jc w:val="center"/>
        </w:trPr>
        <w:tc>
          <w:tcPr>
            <w:tcW w:w="792" w:type="dxa"/>
            <w:vAlign w:val="center"/>
          </w:tcPr>
          <w:p w14:paraId="180B4DB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WRD8</w:t>
            </w:r>
          </w:p>
        </w:tc>
        <w:tc>
          <w:tcPr>
            <w:tcW w:w="1944" w:type="dxa"/>
            <w:vAlign w:val="center"/>
          </w:tcPr>
          <w:p w14:paraId="487AF0D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Interactional load</w:t>
            </w:r>
          </w:p>
        </w:tc>
        <w:tc>
          <w:tcPr>
            <w:tcW w:w="6552" w:type="dxa"/>
            <w:vAlign w:val="center"/>
          </w:tcPr>
          <w:p w14:paraId="0C84DAE3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Repeated service requests make it harder for me to respond with patience and care.</w:t>
            </w:r>
          </w:p>
        </w:tc>
        <w:tc>
          <w:tcPr>
            <w:tcW w:w="1152" w:type="dxa"/>
            <w:vAlign w:val="center"/>
          </w:tcPr>
          <w:p w14:paraId="655A101D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0DFD7020">
        <w:trPr>
          <w:jc w:val="center"/>
        </w:trPr>
        <w:tc>
          <w:tcPr>
            <w:tcW w:w="792" w:type="dxa"/>
            <w:vAlign w:val="center"/>
          </w:tcPr>
          <w:p w14:paraId="39DFD22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WRD9</w:t>
            </w:r>
          </w:p>
        </w:tc>
        <w:tc>
          <w:tcPr>
            <w:tcW w:w="1944" w:type="dxa"/>
            <w:vAlign w:val="center"/>
          </w:tcPr>
          <w:p w14:paraId="1190EAA4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Reduced discretionary capacity</w:t>
            </w:r>
          </w:p>
        </w:tc>
        <w:tc>
          <w:tcPr>
            <w:tcW w:w="6552" w:type="dxa"/>
            <w:vAlign w:val="center"/>
          </w:tcPr>
          <w:p w14:paraId="4B146B9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 find myself postponing non-urgent tasks because my work capacity feels depleted.</w:t>
            </w:r>
          </w:p>
        </w:tc>
        <w:tc>
          <w:tcPr>
            <w:tcW w:w="1152" w:type="dxa"/>
            <w:vAlign w:val="center"/>
          </w:tcPr>
          <w:p w14:paraId="2A60696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75EC79E9">
        <w:trPr>
          <w:jc w:val="center"/>
        </w:trPr>
        <w:tc>
          <w:tcPr>
            <w:tcW w:w="792" w:type="dxa"/>
            <w:vAlign w:val="center"/>
          </w:tcPr>
          <w:p w14:paraId="69BC0D2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WRD10</w:t>
            </w:r>
          </w:p>
        </w:tc>
        <w:tc>
          <w:tcPr>
            <w:tcW w:w="1944" w:type="dxa"/>
            <w:vAlign w:val="center"/>
          </w:tcPr>
          <w:p w14:paraId="108E7445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Attentional fatigue</w:t>
            </w:r>
          </w:p>
        </w:tc>
        <w:tc>
          <w:tcPr>
            <w:tcW w:w="6552" w:type="dxa"/>
            <w:vAlign w:val="center"/>
          </w:tcPr>
          <w:p w14:paraId="6531E98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Complex problems feel harder to process when work demands have been continuous.</w:t>
            </w:r>
          </w:p>
        </w:tc>
        <w:tc>
          <w:tcPr>
            <w:tcW w:w="1152" w:type="dxa"/>
            <w:vAlign w:val="center"/>
          </w:tcPr>
          <w:p w14:paraId="31EFB7C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No</w:t>
            </w:r>
          </w:p>
        </w:tc>
      </w:tr>
      <w:tr w14:paraId="1A0770F7">
        <w:trPr>
          <w:jc w:val="center"/>
        </w:trPr>
        <w:tc>
          <w:tcPr>
            <w:tcW w:w="792" w:type="dxa"/>
            <w:vAlign w:val="center"/>
          </w:tcPr>
          <w:p w14:paraId="76033121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WRD11</w:t>
            </w:r>
          </w:p>
        </w:tc>
        <w:tc>
          <w:tcPr>
            <w:tcW w:w="1944" w:type="dxa"/>
            <w:vAlign w:val="center"/>
          </w:tcPr>
          <w:p w14:paraId="3E1CAC1E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Recovery/capacity reserve</w:t>
            </w:r>
          </w:p>
        </w:tc>
        <w:tc>
          <w:tcPr>
            <w:tcW w:w="6552" w:type="dxa"/>
            <w:vAlign w:val="center"/>
          </w:tcPr>
          <w:p w14:paraId="47B34BA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After a reasonable pause, I can usually return to work with a clear and steady mind.</w:t>
            </w:r>
          </w:p>
        </w:tc>
        <w:tc>
          <w:tcPr>
            <w:tcW w:w="1152" w:type="dxa"/>
            <w:vAlign w:val="center"/>
          </w:tcPr>
          <w:p w14:paraId="489DBBDC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Yes</w:t>
            </w:r>
          </w:p>
        </w:tc>
      </w:tr>
      <w:tr w14:paraId="4B82348F">
        <w:trPr>
          <w:jc w:val="center"/>
        </w:trPr>
        <w:tc>
          <w:tcPr>
            <w:tcW w:w="792" w:type="dxa"/>
            <w:vAlign w:val="center"/>
          </w:tcPr>
          <w:p w14:paraId="762B2D28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WRD12</w:t>
            </w:r>
          </w:p>
        </w:tc>
        <w:tc>
          <w:tcPr>
            <w:tcW w:w="1944" w:type="dxa"/>
            <w:vAlign w:val="center"/>
          </w:tcPr>
          <w:p w14:paraId="711DED21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Capacity reserve</w:t>
            </w:r>
          </w:p>
        </w:tc>
        <w:tc>
          <w:tcPr>
            <w:tcW w:w="6552" w:type="dxa"/>
            <w:vAlign w:val="center"/>
          </w:tcPr>
          <w:p w14:paraId="5E30C8DA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Even on busy days, I can usually maintain enough focus for careful work.</w:t>
            </w:r>
          </w:p>
        </w:tc>
        <w:tc>
          <w:tcPr>
            <w:tcW w:w="1152" w:type="dxa"/>
            <w:vAlign w:val="center"/>
          </w:tcPr>
          <w:p w14:paraId="749E4A56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Yes</w:t>
            </w:r>
          </w:p>
        </w:tc>
      </w:tr>
      <w:tr w14:paraId="16C1243C">
        <w:trPr>
          <w:jc w:val="center"/>
        </w:trPr>
        <w:tc>
          <w:tcPr>
            <w:tcW w:w="792" w:type="dxa"/>
            <w:vAlign w:val="center"/>
          </w:tcPr>
          <w:p w14:paraId="5604844B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WRD13</w:t>
            </w:r>
          </w:p>
        </w:tc>
        <w:tc>
          <w:tcPr>
            <w:tcW w:w="1944" w:type="dxa"/>
            <w:vAlign w:val="center"/>
          </w:tcPr>
          <w:p w14:paraId="44E3B60B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Capacity reserve</w:t>
            </w:r>
          </w:p>
        </w:tc>
        <w:tc>
          <w:tcPr>
            <w:tcW w:w="6552" w:type="dxa"/>
            <w:vAlign w:val="center"/>
          </w:tcPr>
          <w:p w14:paraId="4BA61A45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I normally finish demanding service periods with enough reserve for routine follow-up.</w:t>
            </w:r>
          </w:p>
        </w:tc>
        <w:tc>
          <w:tcPr>
            <w:tcW w:w="1152" w:type="dxa"/>
            <w:vAlign w:val="center"/>
          </w:tcPr>
          <w:p w14:paraId="5BF5CC77"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sz w:val="16"/>
              </w:rPr>
              <w:t>Yes</w:t>
            </w:r>
          </w:p>
        </w:tc>
      </w:tr>
    </w:tbl>
    <w:p w14:paraId="06D1376F"/>
    <w:p w14:paraId="3C6ADD8F">
      <w:r>
        <w:rPr>
          <w:rFonts w:ascii="Times New Roman" w:hAnsi="Times New Roman" w:eastAsia="Noto Serif CJK SC"/>
          <w:b/>
          <w:i/>
          <w:sz w:val="18"/>
        </w:rPr>
        <w:t>Supplementary Table S2. Confirmatory factor analysis model comparison.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084"/>
        <w:gridCol w:w="1064"/>
        <w:gridCol w:w="1069"/>
        <w:gridCol w:w="1067"/>
        <w:gridCol w:w="1067"/>
        <w:gridCol w:w="1088"/>
        <w:gridCol w:w="1081"/>
        <w:gridCol w:w="1076"/>
      </w:tblGrid>
      <w:tr w14:paraId="2CD1C480">
        <w:trPr>
          <w:cantSplit/>
          <w:jc w:val="center"/>
        </w:trPr>
        <w:tc>
          <w:tcPr>
            <w:tcW w:w="1120" w:type="dxa"/>
            <w:shd w:val="clear" w:color="auto" w:fill="D9EAD3"/>
            <w:vAlign w:val="center"/>
          </w:tcPr>
          <w:p w14:paraId="32E9763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Model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38D2572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χ²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66AD7C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df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0D2D8FC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χ²/df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503EA4B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CFI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0FC4AFD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TLI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0311B5D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RMSEA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51C0FC8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SRMR</w:t>
            </w:r>
          </w:p>
        </w:tc>
        <w:tc>
          <w:tcPr>
            <w:tcW w:w="1120" w:type="dxa"/>
            <w:shd w:val="clear" w:color="auto" w:fill="D9EAD3"/>
            <w:vAlign w:val="center"/>
          </w:tcPr>
          <w:p w14:paraId="09939BE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ΔCFI vs. six-factor</w:t>
            </w:r>
          </w:p>
        </w:tc>
      </w:tr>
      <w:tr w14:paraId="572FCDF4">
        <w:trPr>
          <w:cantSplit/>
          <w:jc w:val="center"/>
        </w:trPr>
        <w:tc>
          <w:tcPr>
            <w:tcW w:w="1120" w:type="dxa"/>
            <w:vAlign w:val="center"/>
          </w:tcPr>
          <w:p w14:paraId="46C1001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Six-factor model: JS, OC, OSE, WRD, MD, WD</w:t>
            </w:r>
          </w:p>
        </w:tc>
        <w:tc>
          <w:tcPr>
            <w:tcW w:w="1120" w:type="dxa"/>
            <w:vAlign w:val="center"/>
          </w:tcPr>
          <w:p w14:paraId="1ED10B1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1284.36</w:t>
            </w:r>
          </w:p>
        </w:tc>
        <w:tc>
          <w:tcPr>
            <w:tcW w:w="1120" w:type="dxa"/>
            <w:vAlign w:val="center"/>
          </w:tcPr>
          <w:p w14:paraId="7A19F81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764</w:t>
            </w:r>
          </w:p>
        </w:tc>
        <w:tc>
          <w:tcPr>
            <w:tcW w:w="1120" w:type="dxa"/>
            <w:vAlign w:val="center"/>
          </w:tcPr>
          <w:p w14:paraId="3702014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1.68</w:t>
            </w:r>
          </w:p>
        </w:tc>
        <w:tc>
          <w:tcPr>
            <w:tcW w:w="1120" w:type="dxa"/>
            <w:vAlign w:val="center"/>
          </w:tcPr>
          <w:p w14:paraId="22FE86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.946</w:t>
            </w:r>
          </w:p>
        </w:tc>
        <w:tc>
          <w:tcPr>
            <w:tcW w:w="1120" w:type="dxa"/>
            <w:vAlign w:val="center"/>
          </w:tcPr>
          <w:p w14:paraId="62461B8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.938</w:t>
            </w:r>
          </w:p>
        </w:tc>
        <w:tc>
          <w:tcPr>
            <w:tcW w:w="1120" w:type="dxa"/>
            <w:vAlign w:val="center"/>
          </w:tcPr>
          <w:p w14:paraId="50450BC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.038</w:t>
            </w:r>
          </w:p>
        </w:tc>
        <w:tc>
          <w:tcPr>
            <w:tcW w:w="1120" w:type="dxa"/>
            <w:vAlign w:val="center"/>
          </w:tcPr>
          <w:p w14:paraId="4A43ADF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.045</w:t>
            </w:r>
          </w:p>
        </w:tc>
        <w:tc>
          <w:tcPr>
            <w:tcW w:w="1120" w:type="dxa"/>
            <w:vAlign w:val="center"/>
          </w:tcPr>
          <w:p w14:paraId="517085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</w:tr>
      <w:tr w14:paraId="07C7E0DD">
        <w:trPr>
          <w:cantSplit/>
          <w:jc w:val="center"/>
        </w:trPr>
        <w:tc>
          <w:tcPr>
            <w:tcW w:w="1120" w:type="dxa"/>
            <w:vAlign w:val="center"/>
          </w:tcPr>
          <w:p w14:paraId="3540F35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Five-factor model: OC and OSE combined</w:t>
            </w:r>
          </w:p>
        </w:tc>
        <w:tc>
          <w:tcPr>
            <w:tcW w:w="1120" w:type="dxa"/>
            <w:vAlign w:val="center"/>
          </w:tcPr>
          <w:p w14:paraId="0C99CBA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1816.45</w:t>
            </w:r>
          </w:p>
        </w:tc>
        <w:tc>
          <w:tcPr>
            <w:tcW w:w="1120" w:type="dxa"/>
            <w:vAlign w:val="center"/>
          </w:tcPr>
          <w:p w14:paraId="490B46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769</w:t>
            </w:r>
          </w:p>
        </w:tc>
        <w:tc>
          <w:tcPr>
            <w:tcW w:w="1120" w:type="dxa"/>
            <w:vAlign w:val="center"/>
          </w:tcPr>
          <w:p w14:paraId="2AD2AB3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2.36</w:t>
            </w:r>
          </w:p>
        </w:tc>
        <w:tc>
          <w:tcPr>
            <w:tcW w:w="1120" w:type="dxa"/>
            <w:vAlign w:val="center"/>
          </w:tcPr>
          <w:p w14:paraId="5FE9163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.891</w:t>
            </w:r>
          </w:p>
        </w:tc>
        <w:tc>
          <w:tcPr>
            <w:tcW w:w="1120" w:type="dxa"/>
            <w:vAlign w:val="center"/>
          </w:tcPr>
          <w:p w14:paraId="604595B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.879</w:t>
            </w:r>
          </w:p>
        </w:tc>
        <w:tc>
          <w:tcPr>
            <w:tcW w:w="1120" w:type="dxa"/>
            <w:vAlign w:val="center"/>
          </w:tcPr>
          <w:p w14:paraId="0DE033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.054</w:t>
            </w:r>
          </w:p>
        </w:tc>
        <w:tc>
          <w:tcPr>
            <w:tcW w:w="1120" w:type="dxa"/>
            <w:vAlign w:val="center"/>
          </w:tcPr>
          <w:p w14:paraId="6B1996F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.067</w:t>
            </w:r>
          </w:p>
        </w:tc>
        <w:tc>
          <w:tcPr>
            <w:tcW w:w="1120" w:type="dxa"/>
            <w:vAlign w:val="center"/>
          </w:tcPr>
          <w:p w14:paraId="1298570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-.055</w:t>
            </w:r>
          </w:p>
        </w:tc>
      </w:tr>
      <w:tr w14:paraId="5B2D4BFA">
        <w:trPr>
          <w:cantSplit/>
          <w:jc w:val="center"/>
        </w:trPr>
        <w:tc>
          <w:tcPr>
            <w:tcW w:w="1120" w:type="dxa"/>
            <w:vAlign w:val="center"/>
          </w:tcPr>
          <w:p w14:paraId="6182BD0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Four-factor model: psychological resources combined</w:t>
            </w:r>
          </w:p>
        </w:tc>
        <w:tc>
          <w:tcPr>
            <w:tcW w:w="1120" w:type="dxa"/>
            <w:vAlign w:val="center"/>
          </w:tcPr>
          <w:p w14:paraId="6B9E90F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2347.92</w:t>
            </w:r>
          </w:p>
        </w:tc>
        <w:tc>
          <w:tcPr>
            <w:tcW w:w="1120" w:type="dxa"/>
            <w:vAlign w:val="center"/>
          </w:tcPr>
          <w:p w14:paraId="23868C9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773</w:t>
            </w:r>
          </w:p>
        </w:tc>
        <w:tc>
          <w:tcPr>
            <w:tcW w:w="1120" w:type="dxa"/>
            <w:vAlign w:val="center"/>
          </w:tcPr>
          <w:p w14:paraId="3BF6346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3.04</w:t>
            </w:r>
          </w:p>
        </w:tc>
        <w:tc>
          <w:tcPr>
            <w:tcW w:w="1120" w:type="dxa"/>
            <w:vAlign w:val="center"/>
          </w:tcPr>
          <w:p w14:paraId="43FFA0E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.837</w:t>
            </w:r>
          </w:p>
        </w:tc>
        <w:tc>
          <w:tcPr>
            <w:tcW w:w="1120" w:type="dxa"/>
            <w:vAlign w:val="center"/>
          </w:tcPr>
          <w:p w14:paraId="20A6EA4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.821</w:t>
            </w:r>
          </w:p>
        </w:tc>
        <w:tc>
          <w:tcPr>
            <w:tcW w:w="1120" w:type="dxa"/>
            <w:vAlign w:val="center"/>
          </w:tcPr>
          <w:p w14:paraId="44CB7E9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.066</w:t>
            </w:r>
          </w:p>
        </w:tc>
        <w:tc>
          <w:tcPr>
            <w:tcW w:w="1120" w:type="dxa"/>
            <w:vAlign w:val="center"/>
          </w:tcPr>
          <w:p w14:paraId="5921B2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.081</w:t>
            </w:r>
          </w:p>
        </w:tc>
        <w:tc>
          <w:tcPr>
            <w:tcW w:w="1120" w:type="dxa"/>
            <w:vAlign w:val="center"/>
          </w:tcPr>
          <w:p w14:paraId="1A53931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-.109</w:t>
            </w:r>
          </w:p>
        </w:tc>
      </w:tr>
      <w:tr w14:paraId="32F0068D">
        <w:trPr>
          <w:cantSplit/>
          <w:jc w:val="center"/>
        </w:trPr>
        <w:tc>
          <w:tcPr>
            <w:tcW w:w="1120" w:type="dxa"/>
            <w:vAlign w:val="center"/>
          </w:tcPr>
          <w:p w14:paraId="3D442620">
            <w:r>
              <w:rPr>
                <w:rFonts w:ascii="Times New Roman" w:hAnsi="Times New Roman" w:eastAsia="Times New Roman"/>
                <w:sz w:val="16"/>
              </w:rPr>
              <w:t>Two-factor model: all predictors/intermediate variables vs. WD</w:t>
            </w:r>
          </w:p>
        </w:tc>
        <w:tc>
          <w:tcPr>
            <w:tcW w:w="1120" w:type="dxa"/>
            <w:vAlign w:val="center"/>
          </w:tcPr>
          <w:p w14:paraId="197B8B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3925.18</w:t>
            </w:r>
          </w:p>
        </w:tc>
        <w:tc>
          <w:tcPr>
            <w:tcW w:w="1120" w:type="dxa"/>
            <w:vAlign w:val="center"/>
          </w:tcPr>
          <w:p w14:paraId="38BB50B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779</w:t>
            </w:r>
          </w:p>
        </w:tc>
        <w:tc>
          <w:tcPr>
            <w:tcW w:w="1120" w:type="dxa"/>
            <w:vAlign w:val="center"/>
          </w:tcPr>
          <w:p w14:paraId="4109594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5.04</w:t>
            </w:r>
          </w:p>
        </w:tc>
        <w:tc>
          <w:tcPr>
            <w:tcW w:w="1120" w:type="dxa"/>
            <w:vAlign w:val="center"/>
          </w:tcPr>
          <w:p w14:paraId="215039B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.674</w:t>
            </w:r>
          </w:p>
        </w:tc>
        <w:tc>
          <w:tcPr>
            <w:tcW w:w="1120" w:type="dxa"/>
            <w:vAlign w:val="center"/>
          </w:tcPr>
          <w:p w14:paraId="03F78E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.651</w:t>
            </w:r>
          </w:p>
        </w:tc>
        <w:tc>
          <w:tcPr>
            <w:tcW w:w="1120" w:type="dxa"/>
            <w:vAlign w:val="center"/>
          </w:tcPr>
          <w:p w14:paraId="496724B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.093</w:t>
            </w:r>
          </w:p>
        </w:tc>
        <w:tc>
          <w:tcPr>
            <w:tcW w:w="1120" w:type="dxa"/>
            <w:vAlign w:val="center"/>
          </w:tcPr>
          <w:p w14:paraId="1991A90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.106</w:t>
            </w:r>
          </w:p>
        </w:tc>
        <w:tc>
          <w:tcPr>
            <w:tcW w:w="1120" w:type="dxa"/>
            <w:vAlign w:val="center"/>
          </w:tcPr>
          <w:p w14:paraId="22C37E4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-.272</w:t>
            </w:r>
          </w:p>
        </w:tc>
      </w:tr>
      <w:tr w14:paraId="25553E74">
        <w:trPr>
          <w:cantSplit/>
          <w:jc w:val="center"/>
        </w:trPr>
        <w:tc>
          <w:tcPr>
            <w:tcW w:w="1120" w:type="dxa"/>
            <w:vAlign w:val="center"/>
          </w:tcPr>
          <w:p w14:paraId="3CA3B42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One-factor model</w:t>
            </w:r>
          </w:p>
        </w:tc>
        <w:tc>
          <w:tcPr>
            <w:tcW w:w="1120" w:type="dxa"/>
            <w:vAlign w:val="center"/>
          </w:tcPr>
          <w:p w14:paraId="55D8481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4647.29</w:t>
            </w:r>
          </w:p>
        </w:tc>
        <w:tc>
          <w:tcPr>
            <w:tcW w:w="1120" w:type="dxa"/>
            <w:vAlign w:val="center"/>
          </w:tcPr>
          <w:p w14:paraId="53B1A34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780</w:t>
            </w:r>
          </w:p>
        </w:tc>
        <w:tc>
          <w:tcPr>
            <w:tcW w:w="1120" w:type="dxa"/>
            <w:vAlign w:val="center"/>
          </w:tcPr>
          <w:p w14:paraId="6A8DF18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5.96</w:t>
            </w:r>
          </w:p>
        </w:tc>
        <w:tc>
          <w:tcPr>
            <w:tcW w:w="1120" w:type="dxa"/>
            <w:vAlign w:val="center"/>
          </w:tcPr>
          <w:p w14:paraId="2C3AC00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.602</w:t>
            </w:r>
          </w:p>
        </w:tc>
        <w:tc>
          <w:tcPr>
            <w:tcW w:w="1120" w:type="dxa"/>
            <w:vAlign w:val="center"/>
          </w:tcPr>
          <w:p w14:paraId="68E860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.581</w:t>
            </w:r>
          </w:p>
        </w:tc>
        <w:tc>
          <w:tcPr>
            <w:tcW w:w="1120" w:type="dxa"/>
            <w:vAlign w:val="center"/>
          </w:tcPr>
          <w:p w14:paraId="34180F6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.103</w:t>
            </w:r>
          </w:p>
        </w:tc>
        <w:tc>
          <w:tcPr>
            <w:tcW w:w="1120" w:type="dxa"/>
            <w:vAlign w:val="center"/>
          </w:tcPr>
          <w:p w14:paraId="473520B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.114</w:t>
            </w:r>
          </w:p>
        </w:tc>
        <w:tc>
          <w:tcPr>
            <w:tcW w:w="1120" w:type="dxa"/>
            <w:vAlign w:val="center"/>
          </w:tcPr>
          <w:p w14:paraId="6EA4BC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-.344</w:t>
            </w:r>
          </w:p>
        </w:tc>
      </w:tr>
    </w:tbl>
    <w:p w14:paraId="67A6EF68"/>
    <w:p w14:paraId="18E8A33F">
      <w:r>
        <w:rPr>
          <w:rFonts w:ascii="Times New Roman" w:hAnsi="Times New Roman" w:eastAsia="Noto Serif CJK SC"/>
          <w:b/>
          <w:i/>
          <w:sz w:val="18"/>
        </w:rPr>
        <w:t>Supplementary Table S3. HTMT discriminant-validity ratios.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5040"/>
      </w:tblGrid>
      <w:tr w14:paraId="531D1106">
        <w:trPr>
          <w:cantSplit/>
          <w:jc w:val="center"/>
        </w:trPr>
        <w:tc>
          <w:tcPr>
            <w:tcW w:w="5040" w:type="dxa"/>
            <w:shd w:val="clear" w:color="auto" w:fill="D9EAD3"/>
            <w:vAlign w:val="center"/>
          </w:tcPr>
          <w:p w14:paraId="75DE744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Construct pair</w:t>
            </w:r>
          </w:p>
        </w:tc>
        <w:tc>
          <w:tcPr>
            <w:tcW w:w="5040" w:type="dxa"/>
            <w:shd w:val="clear" w:color="auto" w:fill="D9EAD3"/>
            <w:vAlign w:val="center"/>
          </w:tcPr>
          <w:p w14:paraId="43F07EA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HTMT</w:t>
            </w:r>
          </w:p>
        </w:tc>
      </w:tr>
      <w:tr w14:paraId="4AF21AA7">
        <w:trPr>
          <w:cantSplit/>
          <w:jc w:val="center"/>
        </w:trPr>
        <w:tc>
          <w:tcPr>
            <w:tcW w:w="5040" w:type="dxa"/>
            <w:vAlign w:val="center"/>
          </w:tcPr>
          <w:p w14:paraId="4429C82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Job stress - organizational commitment</w:t>
            </w:r>
          </w:p>
        </w:tc>
        <w:tc>
          <w:tcPr>
            <w:tcW w:w="5040" w:type="dxa"/>
            <w:vAlign w:val="center"/>
          </w:tcPr>
          <w:p w14:paraId="1CF8DD9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.58</w:t>
            </w:r>
          </w:p>
        </w:tc>
      </w:tr>
      <w:tr w14:paraId="057DF530">
        <w:trPr>
          <w:cantSplit/>
          <w:jc w:val="center"/>
        </w:trPr>
        <w:tc>
          <w:tcPr>
            <w:tcW w:w="5040" w:type="dxa"/>
            <w:vAlign w:val="center"/>
          </w:tcPr>
          <w:p w14:paraId="4BDC32A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Job stress - occupational self-efficacy</w:t>
            </w:r>
          </w:p>
        </w:tc>
        <w:tc>
          <w:tcPr>
            <w:tcW w:w="5040" w:type="dxa"/>
            <w:vAlign w:val="center"/>
          </w:tcPr>
          <w:p w14:paraId="594F4D2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.49</w:t>
            </w:r>
          </w:p>
        </w:tc>
      </w:tr>
      <w:tr w14:paraId="24B392DA">
        <w:trPr>
          <w:cantSplit/>
          <w:jc w:val="center"/>
        </w:trPr>
        <w:tc>
          <w:tcPr>
            <w:tcW w:w="5040" w:type="dxa"/>
            <w:vAlign w:val="center"/>
          </w:tcPr>
          <w:p w14:paraId="559704D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Job stress - work-related depletion</w:t>
            </w:r>
          </w:p>
        </w:tc>
        <w:tc>
          <w:tcPr>
            <w:tcW w:w="5040" w:type="dxa"/>
            <w:vAlign w:val="center"/>
          </w:tcPr>
          <w:p w14:paraId="5E65C81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.64</w:t>
            </w:r>
          </w:p>
        </w:tc>
      </w:tr>
      <w:tr w14:paraId="66799EF9">
        <w:trPr>
          <w:cantSplit/>
          <w:jc w:val="center"/>
        </w:trPr>
        <w:tc>
          <w:tcPr>
            <w:tcW w:w="5040" w:type="dxa"/>
            <w:vAlign w:val="center"/>
          </w:tcPr>
          <w:p w14:paraId="57F8A33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Job stress - moral disengagement</w:t>
            </w:r>
          </w:p>
        </w:tc>
        <w:tc>
          <w:tcPr>
            <w:tcW w:w="5040" w:type="dxa"/>
            <w:vAlign w:val="center"/>
          </w:tcPr>
          <w:p w14:paraId="7183FA4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.36</w:t>
            </w:r>
          </w:p>
        </w:tc>
      </w:tr>
      <w:tr w14:paraId="0A189793">
        <w:trPr>
          <w:cantSplit/>
          <w:jc w:val="center"/>
        </w:trPr>
        <w:tc>
          <w:tcPr>
            <w:tcW w:w="5040" w:type="dxa"/>
            <w:vAlign w:val="center"/>
          </w:tcPr>
          <w:p w14:paraId="484882A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Job stress - workplace deviance</w:t>
            </w:r>
          </w:p>
        </w:tc>
        <w:tc>
          <w:tcPr>
            <w:tcW w:w="5040" w:type="dxa"/>
            <w:vAlign w:val="center"/>
          </w:tcPr>
          <w:p w14:paraId="27F46F5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.57</w:t>
            </w:r>
          </w:p>
        </w:tc>
      </w:tr>
      <w:tr w14:paraId="58DFF28B">
        <w:trPr>
          <w:cantSplit/>
          <w:jc w:val="center"/>
        </w:trPr>
        <w:tc>
          <w:tcPr>
            <w:tcW w:w="5040" w:type="dxa"/>
            <w:vAlign w:val="center"/>
          </w:tcPr>
          <w:p w14:paraId="1A4944E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Organizational commitment - occupational self-efficacy</w:t>
            </w:r>
          </w:p>
        </w:tc>
        <w:tc>
          <w:tcPr>
            <w:tcW w:w="5040" w:type="dxa"/>
            <w:vAlign w:val="center"/>
          </w:tcPr>
          <w:p w14:paraId="30EDB19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.62</w:t>
            </w:r>
          </w:p>
        </w:tc>
      </w:tr>
      <w:tr w14:paraId="0FA21854">
        <w:trPr>
          <w:cantSplit/>
          <w:jc w:val="center"/>
        </w:trPr>
        <w:tc>
          <w:tcPr>
            <w:tcW w:w="5040" w:type="dxa"/>
            <w:vAlign w:val="center"/>
          </w:tcPr>
          <w:p w14:paraId="5F72E54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Organizational commitment - work-related depletion</w:t>
            </w:r>
          </w:p>
        </w:tc>
        <w:tc>
          <w:tcPr>
            <w:tcW w:w="5040" w:type="dxa"/>
            <w:vAlign w:val="center"/>
          </w:tcPr>
          <w:p w14:paraId="24574C1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.59</w:t>
            </w:r>
          </w:p>
        </w:tc>
      </w:tr>
      <w:tr w14:paraId="4C75B4A0">
        <w:trPr>
          <w:cantSplit/>
          <w:jc w:val="center"/>
        </w:trPr>
        <w:tc>
          <w:tcPr>
            <w:tcW w:w="5040" w:type="dxa"/>
            <w:vAlign w:val="center"/>
          </w:tcPr>
          <w:p w14:paraId="0B41951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Organizational commitment - moral disengagement</w:t>
            </w:r>
          </w:p>
        </w:tc>
        <w:tc>
          <w:tcPr>
            <w:tcW w:w="5040" w:type="dxa"/>
            <w:vAlign w:val="center"/>
          </w:tcPr>
          <w:p w14:paraId="215B12D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.31</w:t>
            </w:r>
          </w:p>
        </w:tc>
      </w:tr>
      <w:tr w14:paraId="480FDDDE">
        <w:trPr>
          <w:cantSplit/>
          <w:jc w:val="center"/>
        </w:trPr>
        <w:tc>
          <w:tcPr>
            <w:tcW w:w="5040" w:type="dxa"/>
            <w:vAlign w:val="center"/>
          </w:tcPr>
          <w:p w14:paraId="2083B4F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Organizational commitment - workplace deviance</w:t>
            </w:r>
          </w:p>
        </w:tc>
        <w:tc>
          <w:tcPr>
            <w:tcW w:w="5040" w:type="dxa"/>
            <w:vAlign w:val="center"/>
          </w:tcPr>
          <w:p w14:paraId="6A15FDA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.46</w:t>
            </w:r>
          </w:p>
        </w:tc>
      </w:tr>
      <w:tr w14:paraId="1BB48491">
        <w:trPr>
          <w:cantSplit/>
          <w:jc w:val="center"/>
        </w:trPr>
        <w:tc>
          <w:tcPr>
            <w:tcW w:w="5040" w:type="dxa"/>
            <w:vAlign w:val="center"/>
          </w:tcPr>
          <w:p w14:paraId="13991C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Occupational self-efficacy - work-related depletion</w:t>
            </w:r>
          </w:p>
        </w:tc>
        <w:tc>
          <w:tcPr>
            <w:tcW w:w="5040" w:type="dxa"/>
            <w:vAlign w:val="center"/>
          </w:tcPr>
          <w:p w14:paraId="4D2CC4B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.53</w:t>
            </w:r>
          </w:p>
        </w:tc>
      </w:tr>
      <w:tr w14:paraId="26D7B87C">
        <w:trPr>
          <w:cantSplit/>
          <w:jc w:val="center"/>
        </w:trPr>
        <w:tc>
          <w:tcPr>
            <w:tcW w:w="5040" w:type="dxa"/>
            <w:vAlign w:val="center"/>
          </w:tcPr>
          <w:p w14:paraId="23F01CB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Occupational self-efficacy - moral disengagement</w:t>
            </w:r>
          </w:p>
        </w:tc>
        <w:tc>
          <w:tcPr>
            <w:tcW w:w="5040" w:type="dxa"/>
            <w:vAlign w:val="center"/>
          </w:tcPr>
          <w:p w14:paraId="04E2717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.27</w:t>
            </w:r>
          </w:p>
        </w:tc>
      </w:tr>
      <w:tr w14:paraId="5E6C2BE2">
        <w:trPr>
          <w:cantSplit/>
          <w:jc w:val="center"/>
        </w:trPr>
        <w:tc>
          <w:tcPr>
            <w:tcW w:w="5040" w:type="dxa"/>
            <w:vAlign w:val="center"/>
          </w:tcPr>
          <w:p w14:paraId="661BE8A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Occupational self-efficacy - workplace deviance</w:t>
            </w:r>
          </w:p>
        </w:tc>
        <w:tc>
          <w:tcPr>
            <w:tcW w:w="5040" w:type="dxa"/>
            <w:vAlign w:val="center"/>
          </w:tcPr>
          <w:p w14:paraId="3899C3F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.38</w:t>
            </w:r>
          </w:p>
        </w:tc>
      </w:tr>
      <w:tr w14:paraId="53EDDA19">
        <w:trPr>
          <w:cantSplit/>
          <w:jc w:val="center"/>
        </w:trPr>
        <w:tc>
          <w:tcPr>
            <w:tcW w:w="5040" w:type="dxa"/>
            <w:vAlign w:val="center"/>
          </w:tcPr>
          <w:p w14:paraId="6C54B48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Work-related depletion - moral disengagement</w:t>
            </w:r>
          </w:p>
        </w:tc>
        <w:tc>
          <w:tcPr>
            <w:tcW w:w="5040" w:type="dxa"/>
            <w:vAlign w:val="center"/>
          </w:tcPr>
          <w:p w14:paraId="7DCC59B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.35</w:t>
            </w:r>
          </w:p>
        </w:tc>
      </w:tr>
      <w:tr w14:paraId="050359F3">
        <w:trPr>
          <w:cantSplit/>
          <w:jc w:val="center"/>
        </w:trPr>
        <w:tc>
          <w:tcPr>
            <w:tcW w:w="5040" w:type="dxa"/>
            <w:vAlign w:val="center"/>
          </w:tcPr>
          <w:p w14:paraId="14D9BEB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Work-related depletion - workplace deviance</w:t>
            </w:r>
          </w:p>
        </w:tc>
        <w:tc>
          <w:tcPr>
            <w:tcW w:w="5040" w:type="dxa"/>
            <w:vAlign w:val="center"/>
          </w:tcPr>
          <w:p w14:paraId="77E5B40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.66</w:t>
            </w:r>
          </w:p>
        </w:tc>
      </w:tr>
      <w:tr w14:paraId="3BC77A9E">
        <w:trPr>
          <w:cantSplit/>
          <w:jc w:val="center"/>
        </w:trPr>
        <w:tc>
          <w:tcPr>
            <w:tcW w:w="5040" w:type="dxa"/>
            <w:vAlign w:val="center"/>
          </w:tcPr>
          <w:p w14:paraId="5175B2D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Moral disengagement - workplace deviance</w:t>
            </w:r>
          </w:p>
        </w:tc>
        <w:tc>
          <w:tcPr>
            <w:tcW w:w="5040" w:type="dxa"/>
            <w:vAlign w:val="center"/>
          </w:tcPr>
          <w:p w14:paraId="4329FBD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.58</w:t>
            </w:r>
          </w:p>
        </w:tc>
      </w:tr>
    </w:tbl>
    <w:p w14:paraId="75315175"/>
    <w:p w14:paraId="1ED3F177">
      <w:r>
        <w:rPr>
          <w:rFonts w:ascii="Times New Roman" w:hAnsi="Times New Roman" w:eastAsia="Noto Serif CJK SC"/>
          <w:b/>
          <w:i/>
          <w:sz w:val="18"/>
        </w:rPr>
        <w:t>Supplementary Table S4. Common method bias diagnostics.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3360"/>
        <w:gridCol w:w="3360"/>
      </w:tblGrid>
      <w:tr w14:paraId="45C26483">
        <w:trPr>
          <w:cantSplit/>
          <w:jc w:val="center"/>
        </w:trPr>
        <w:tc>
          <w:tcPr>
            <w:tcW w:w="3360" w:type="dxa"/>
            <w:shd w:val="clear" w:color="auto" w:fill="D9EAD3"/>
            <w:vAlign w:val="center"/>
          </w:tcPr>
          <w:p w14:paraId="59E823C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Diagnostic</w:t>
            </w:r>
          </w:p>
        </w:tc>
        <w:tc>
          <w:tcPr>
            <w:tcW w:w="3360" w:type="dxa"/>
            <w:shd w:val="clear" w:color="auto" w:fill="D9EAD3"/>
            <w:vAlign w:val="center"/>
          </w:tcPr>
          <w:p w14:paraId="2F47ED7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Result</w:t>
            </w:r>
          </w:p>
        </w:tc>
        <w:tc>
          <w:tcPr>
            <w:tcW w:w="3360" w:type="dxa"/>
            <w:shd w:val="clear" w:color="auto" w:fill="D9EAD3"/>
            <w:vAlign w:val="center"/>
          </w:tcPr>
          <w:p w14:paraId="3A08ED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Interpretation</w:t>
            </w:r>
          </w:p>
        </w:tc>
      </w:tr>
      <w:tr w14:paraId="4E9640BA">
        <w:trPr>
          <w:cantSplit/>
          <w:jc w:val="center"/>
        </w:trPr>
        <w:tc>
          <w:tcPr>
            <w:tcW w:w="3360" w:type="dxa"/>
            <w:vAlign w:val="center"/>
          </w:tcPr>
          <w:p w14:paraId="2A8FF17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Procedural controls</w:t>
            </w:r>
          </w:p>
        </w:tc>
        <w:tc>
          <w:tcPr>
            <w:tcW w:w="3360" w:type="dxa"/>
            <w:vAlign w:val="center"/>
          </w:tcPr>
          <w:p w14:paraId="49C1CD3D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Anonymous questionnaire, no collection of direct identifiers, separated scale blocks, voluntary participation</w:t>
            </w:r>
          </w:p>
        </w:tc>
        <w:tc>
          <w:tcPr>
            <w:tcW w:w="3360" w:type="dxa"/>
            <w:vAlign w:val="center"/>
          </w:tcPr>
          <w:p w14:paraId="20113AF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Reduced evaluation apprehension and common-rater concerns</w:t>
            </w:r>
          </w:p>
        </w:tc>
      </w:tr>
      <w:tr w14:paraId="5B575DE9">
        <w:trPr>
          <w:cantSplit/>
          <w:jc w:val="center"/>
        </w:trPr>
        <w:tc>
          <w:tcPr>
            <w:tcW w:w="3360" w:type="dxa"/>
            <w:vAlign w:val="center"/>
          </w:tcPr>
          <w:p w14:paraId="26F559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Harman single-factor test</w:t>
            </w:r>
          </w:p>
        </w:tc>
        <w:tc>
          <w:tcPr>
            <w:tcW w:w="3360" w:type="dxa"/>
            <w:vAlign w:val="center"/>
          </w:tcPr>
          <w:p w14:paraId="55E24B1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First unrotated factor explained 31.84% of variance</w:t>
            </w:r>
          </w:p>
        </w:tc>
        <w:tc>
          <w:tcPr>
            <w:tcW w:w="3360" w:type="dxa"/>
            <w:vAlign w:val="center"/>
          </w:tcPr>
          <w:p w14:paraId="43F5CDB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Below the commonly used 40% heuristic</w:t>
            </w:r>
          </w:p>
        </w:tc>
      </w:tr>
      <w:tr w14:paraId="651BEE11">
        <w:trPr>
          <w:cantSplit/>
          <w:jc w:val="center"/>
        </w:trPr>
        <w:tc>
          <w:tcPr>
            <w:tcW w:w="3360" w:type="dxa"/>
            <w:vAlign w:val="center"/>
          </w:tcPr>
          <w:p w14:paraId="161250F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Single-factor CFA</w:t>
            </w:r>
          </w:p>
        </w:tc>
        <w:tc>
          <w:tcPr>
            <w:tcW w:w="3360" w:type="dxa"/>
            <w:vAlign w:val="center"/>
          </w:tcPr>
          <w:p w14:paraId="0005CDF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χ²/df = 5.96, CFI = .602, TLI = .581, RMSEA = .103, SRMR = .114</w:t>
            </w:r>
          </w:p>
        </w:tc>
        <w:tc>
          <w:tcPr>
            <w:tcW w:w="3360" w:type="dxa"/>
            <w:vAlign w:val="center"/>
          </w:tcPr>
          <w:p w14:paraId="04D3903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Poor fit indicates that one general factor cannot explain covariance</w:t>
            </w:r>
          </w:p>
        </w:tc>
      </w:tr>
      <w:tr w14:paraId="53260D5A">
        <w:trPr>
          <w:cantSplit/>
          <w:jc w:val="center"/>
        </w:trPr>
        <w:tc>
          <w:tcPr>
            <w:tcW w:w="3360" w:type="dxa"/>
            <w:vAlign w:val="center"/>
          </w:tcPr>
          <w:p w14:paraId="496903D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Common latent factor check</w:t>
            </w:r>
          </w:p>
        </w:tc>
        <w:tc>
          <w:tcPr>
            <w:tcW w:w="3360" w:type="dxa"/>
            <w:vAlign w:val="center"/>
          </w:tcPr>
          <w:p w14:paraId="0BE29EB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Maximum standardized loading change = .13</w:t>
            </w:r>
          </w:p>
        </w:tc>
        <w:tc>
          <w:tcPr>
            <w:tcW w:w="3360" w:type="dxa"/>
            <w:vAlign w:val="center"/>
          </w:tcPr>
          <w:p w14:paraId="365352D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Below .20; no severe common method distortion</w:t>
            </w:r>
          </w:p>
        </w:tc>
      </w:tr>
      <w:tr w14:paraId="4CD0BA91">
        <w:trPr>
          <w:cantSplit/>
          <w:jc w:val="center"/>
        </w:trPr>
        <w:tc>
          <w:tcPr>
            <w:tcW w:w="3360" w:type="dxa"/>
            <w:vAlign w:val="center"/>
          </w:tcPr>
          <w:p w14:paraId="6F8B1E7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Full collinearity VIF</w:t>
            </w:r>
          </w:p>
        </w:tc>
        <w:tc>
          <w:tcPr>
            <w:tcW w:w="3360" w:type="dxa"/>
            <w:vAlign w:val="center"/>
          </w:tcPr>
          <w:p w14:paraId="5D31516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Range = 1.24-2.18</w:t>
            </w:r>
          </w:p>
        </w:tc>
        <w:tc>
          <w:tcPr>
            <w:tcW w:w="3360" w:type="dxa"/>
            <w:vAlign w:val="center"/>
          </w:tcPr>
          <w:p w14:paraId="276648B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Below 3.3 threshold</w:t>
            </w:r>
          </w:p>
        </w:tc>
      </w:tr>
    </w:tbl>
    <w:p w14:paraId="65202A7D"/>
    <w:p w14:paraId="28E3FAED">
      <w:r>
        <w:rPr>
          <w:rFonts w:ascii="Times New Roman" w:hAnsi="Times New Roman" w:eastAsia="Noto Serif CJK SC"/>
          <w:b/>
          <w:i/>
          <w:sz w:val="18"/>
        </w:rPr>
        <w:t>Supplementary Table S5. PROCESS Model 4 full indirect associations.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680"/>
        <w:gridCol w:w="1680"/>
        <w:gridCol w:w="1680"/>
        <w:gridCol w:w="1680"/>
        <w:gridCol w:w="1680"/>
      </w:tblGrid>
      <w:tr w14:paraId="40E55C05">
        <w:trPr>
          <w:cantSplit/>
          <w:jc w:val="center"/>
        </w:trPr>
        <w:tc>
          <w:tcPr>
            <w:tcW w:w="1680" w:type="dxa"/>
            <w:shd w:val="clear" w:color="auto" w:fill="D9EAD3"/>
            <w:vAlign w:val="center"/>
          </w:tcPr>
          <w:p w14:paraId="6C715BF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Path / effect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4817590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B / Effect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4CF68ED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SE / BootSE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75DF0CC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t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4D8A7AB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714A0F1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95% CI / Boot CI</w:t>
            </w:r>
          </w:p>
        </w:tc>
      </w:tr>
      <w:tr w14:paraId="67D66A10">
        <w:trPr>
          <w:cantSplit/>
          <w:jc w:val="center"/>
        </w:trPr>
        <w:tc>
          <w:tcPr>
            <w:tcW w:w="1680" w:type="dxa"/>
            <w:vAlign w:val="center"/>
          </w:tcPr>
          <w:p w14:paraId="4C2252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Job stress → organizational commitment</w:t>
            </w:r>
          </w:p>
        </w:tc>
        <w:tc>
          <w:tcPr>
            <w:tcW w:w="1680" w:type="dxa"/>
            <w:vAlign w:val="center"/>
          </w:tcPr>
          <w:p w14:paraId="3F38815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-.388</w:t>
            </w:r>
          </w:p>
        </w:tc>
        <w:tc>
          <w:tcPr>
            <w:tcW w:w="1680" w:type="dxa"/>
            <w:vAlign w:val="center"/>
          </w:tcPr>
          <w:p w14:paraId="0BB7700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.042</w:t>
            </w:r>
          </w:p>
        </w:tc>
        <w:tc>
          <w:tcPr>
            <w:tcW w:w="1680" w:type="dxa"/>
            <w:vAlign w:val="center"/>
          </w:tcPr>
          <w:p w14:paraId="5EE664A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-9.24</w:t>
            </w:r>
          </w:p>
        </w:tc>
        <w:tc>
          <w:tcPr>
            <w:tcW w:w="1680" w:type="dxa"/>
            <w:vAlign w:val="center"/>
          </w:tcPr>
          <w:p w14:paraId="142955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46B88F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[-.471, -.305]</w:t>
            </w:r>
          </w:p>
        </w:tc>
      </w:tr>
      <w:tr w14:paraId="4AF3C0B6">
        <w:trPr>
          <w:cantSplit/>
          <w:jc w:val="center"/>
        </w:trPr>
        <w:tc>
          <w:tcPr>
            <w:tcW w:w="1680" w:type="dxa"/>
            <w:vAlign w:val="center"/>
          </w:tcPr>
          <w:p w14:paraId="0DC6FB5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Job stress → occupational self-efficacy</w:t>
            </w:r>
          </w:p>
        </w:tc>
        <w:tc>
          <w:tcPr>
            <w:tcW w:w="1680" w:type="dxa"/>
            <w:vAlign w:val="center"/>
          </w:tcPr>
          <w:p w14:paraId="1AB405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-.273</w:t>
            </w:r>
          </w:p>
        </w:tc>
        <w:tc>
          <w:tcPr>
            <w:tcW w:w="1680" w:type="dxa"/>
            <w:vAlign w:val="center"/>
          </w:tcPr>
          <w:p w14:paraId="1B82ADF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.039</w:t>
            </w:r>
          </w:p>
        </w:tc>
        <w:tc>
          <w:tcPr>
            <w:tcW w:w="1680" w:type="dxa"/>
            <w:vAlign w:val="center"/>
          </w:tcPr>
          <w:p w14:paraId="64FE43A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-7.00</w:t>
            </w:r>
          </w:p>
        </w:tc>
        <w:tc>
          <w:tcPr>
            <w:tcW w:w="1680" w:type="dxa"/>
            <w:vAlign w:val="center"/>
          </w:tcPr>
          <w:p w14:paraId="35577D0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7F50C7B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[-.350, -.196]</w:t>
            </w:r>
          </w:p>
        </w:tc>
      </w:tr>
      <w:tr w14:paraId="489D4150">
        <w:trPr>
          <w:cantSplit/>
          <w:jc w:val="center"/>
        </w:trPr>
        <w:tc>
          <w:tcPr>
            <w:tcW w:w="1680" w:type="dxa"/>
            <w:vAlign w:val="center"/>
          </w:tcPr>
          <w:p w14:paraId="3077956E">
            <w:r>
              <w:rPr>
                <w:rFonts w:ascii="Times New Roman" w:hAnsi="Times New Roman" w:eastAsia="Times New Roman"/>
                <w:sz w:val="16"/>
              </w:rPr>
              <w:t>Job stress → work-related depletion</w:t>
            </w:r>
          </w:p>
        </w:tc>
        <w:tc>
          <w:tcPr>
            <w:tcW w:w="1680" w:type="dxa"/>
            <w:vAlign w:val="center"/>
          </w:tcPr>
          <w:p w14:paraId="2CACB36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.569</w:t>
            </w:r>
          </w:p>
        </w:tc>
        <w:tc>
          <w:tcPr>
            <w:tcW w:w="1680" w:type="dxa"/>
            <w:vAlign w:val="center"/>
          </w:tcPr>
          <w:p w14:paraId="499044B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.039</w:t>
            </w:r>
          </w:p>
        </w:tc>
        <w:tc>
          <w:tcPr>
            <w:tcW w:w="1680" w:type="dxa"/>
            <w:vAlign w:val="center"/>
          </w:tcPr>
          <w:p w14:paraId="1D05D38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14.59</w:t>
            </w:r>
          </w:p>
        </w:tc>
        <w:tc>
          <w:tcPr>
            <w:tcW w:w="1680" w:type="dxa"/>
            <w:vAlign w:val="center"/>
          </w:tcPr>
          <w:p w14:paraId="28C827E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5B98D3F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[.493, .646]</w:t>
            </w:r>
          </w:p>
        </w:tc>
      </w:tr>
      <w:tr w14:paraId="476D4083">
        <w:trPr>
          <w:cantSplit/>
          <w:jc w:val="center"/>
        </w:trPr>
        <w:tc>
          <w:tcPr>
            <w:tcW w:w="1680" w:type="dxa"/>
            <w:vAlign w:val="center"/>
          </w:tcPr>
          <w:p w14:paraId="6742144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Direct association: job stress → workplace deviance</w:t>
            </w:r>
          </w:p>
        </w:tc>
        <w:tc>
          <w:tcPr>
            <w:tcW w:w="1680" w:type="dxa"/>
            <w:vAlign w:val="center"/>
          </w:tcPr>
          <w:p w14:paraId="1315C7A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.159</w:t>
            </w:r>
          </w:p>
        </w:tc>
        <w:tc>
          <w:tcPr>
            <w:tcW w:w="1680" w:type="dxa"/>
            <w:vAlign w:val="center"/>
          </w:tcPr>
          <w:p w14:paraId="694B16C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.043</w:t>
            </w:r>
          </w:p>
        </w:tc>
        <w:tc>
          <w:tcPr>
            <w:tcW w:w="1680" w:type="dxa"/>
            <w:vAlign w:val="center"/>
          </w:tcPr>
          <w:p w14:paraId="3730E52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3.70</w:t>
            </w:r>
          </w:p>
        </w:tc>
        <w:tc>
          <w:tcPr>
            <w:tcW w:w="1680" w:type="dxa"/>
            <w:vAlign w:val="center"/>
          </w:tcPr>
          <w:p w14:paraId="51DFCB7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02E1E8B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[.075, .244]</w:t>
            </w:r>
          </w:p>
        </w:tc>
      </w:tr>
      <w:tr w14:paraId="43D8A8CC">
        <w:trPr>
          <w:cantSplit/>
          <w:jc w:val="center"/>
        </w:trPr>
        <w:tc>
          <w:tcPr>
            <w:tcW w:w="1680" w:type="dxa"/>
            <w:vAlign w:val="center"/>
          </w:tcPr>
          <w:p w14:paraId="2513794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Indirect via organizational commitment</w:t>
            </w:r>
          </w:p>
        </w:tc>
        <w:tc>
          <w:tcPr>
            <w:tcW w:w="1680" w:type="dxa"/>
            <w:vAlign w:val="center"/>
          </w:tcPr>
          <w:p w14:paraId="1DC9106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.044</w:t>
            </w:r>
          </w:p>
        </w:tc>
        <w:tc>
          <w:tcPr>
            <w:tcW w:w="1680" w:type="dxa"/>
            <w:vAlign w:val="center"/>
          </w:tcPr>
          <w:p w14:paraId="12D4490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.019</w:t>
            </w:r>
          </w:p>
        </w:tc>
        <w:tc>
          <w:tcPr>
            <w:tcW w:w="1680" w:type="dxa"/>
            <w:vAlign w:val="center"/>
          </w:tcPr>
          <w:p w14:paraId="285BAC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2E236F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3FEFBAD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[.012, .087]</w:t>
            </w:r>
          </w:p>
        </w:tc>
      </w:tr>
      <w:tr w14:paraId="3EA6C78F">
        <w:trPr>
          <w:cantSplit/>
          <w:jc w:val="center"/>
        </w:trPr>
        <w:tc>
          <w:tcPr>
            <w:tcW w:w="1680" w:type="dxa"/>
            <w:vAlign w:val="center"/>
          </w:tcPr>
          <w:p w14:paraId="4788180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Indirect via occupational self-efficacy</w:t>
            </w:r>
          </w:p>
        </w:tc>
        <w:tc>
          <w:tcPr>
            <w:tcW w:w="1680" w:type="dxa"/>
            <w:vAlign w:val="center"/>
          </w:tcPr>
          <w:p w14:paraId="6D193C2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.023</w:t>
            </w:r>
          </w:p>
        </w:tc>
        <w:tc>
          <w:tcPr>
            <w:tcW w:w="1680" w:type="dxa"/>
            <w:vAlign w:val="center"/>
          </w:tcPr>
          <w:p w14:paraId="465862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.012</w:t>
            </w:r>
          </w:p>
        </w:tc>
        <w:tc>
          <w:tcPr>
            <w:tcW w:w="1680" w:type="dxa"/>
            <w:vAlign w:val="center"/>
          </w:tcPr>
          <w:p w14:paraId="26F9D3E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18EB94D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432B7CD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[.004, .052]</w:t>
            </w:r>
          </w:p>
        </w:tc>
      </w:tr>
      <w:tr w14:paraId="0F2C14E4">
        <w:trPr>
          <w:cantSplit/>
          <w:jc w:val="center"/>
        </w:trPr>
        <w:tc>
          <w:tcPr>
            <w:tcW w:w="1680" w:type="dxa"/>
            <w:vAlign w:val="center"/>
          </w:tcPr>
          <w:p w14:paraId="766DA2FA">
            <w:r>
              <w:rPr>
                <w:rFonts w:ascii="Times New Roman" w:hAnsi="Times New Roman" w:eastAsia="Times New Roman"/>
                <w:sz w:val="16"/>
              </w:rPr>
              <w:t>Indirect via work-related depletion</w:t>
            </w:r>
          </w:p>
        </w:tc>
        <w:tc>
          <w:tcPr>
            <w:tcW w:w="1680" w:type="dxa"/>
            <w:vAlign w:val="center"/>
          </w:tcPr>
          <w:p w14:paraId="15F9F200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.146</w:t>
            </w:r>
          </w:p>
        </w:tc>
        <w:tc>
          <w:tcPr>
            <w:tcW w:w="1680" w:type="dxa"/>
            <w:vAlign w:val="center"/>
          </w:tcPr>
          <w:p w14:paraId="65C631C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.027</w:t>
            </w:r>
          </w:p>
        </w:tc>
        <w:tc>
          <w:tcPr>
            <w:tcW w:w="1680" w:type="dxa"/>
            <w:vAlign w:val="center"/>
          </w:tcPr>
          <w:p w14:paraId="0D387A7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0917C4A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68D67AF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[.098, .204]</w:t>
            </w:r>
          </w:p>
        </w:tc>
      </w:tr>
      <w:tr w14:paraId="1B956399">
        <w:trPr>
          <w:cantSplit/>
          <w:jc w:val="center"/>
        </w:trPr>
        <w:tc>
          <w:tcPr>
            <w:tcW w:w="1680" w:type="dxa"/>
            <w:vAlign w:val="center"/>
          </w:tcPr>
          <w:p w14:paraId="4B32FB9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Total indirect association</w:t>
            </w:r>
          </w:p>
        </w:tc>
        <w:tc>
          <w:tcPr>
            <w:tcW w:w="1680" w:type="dxa"/>
            <w:vAlign w:val="center"/>
          </w:tcPr>
          <w:p w14:paraId="4774885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.213</w:t>
            </w:r>
          </w:p>
        </w:tc>
        <w:tc>
          <w:tcPr>
            <w:tcW w:w="1680" w:type="dxa"/>
            <w:vAlign w:val="center"/>
          </w:tcPr>
          <w:p w14:paraId="4344A02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.036</w:t>
            </w:r>
          </w:p>
        </w:tc>
        <w:tc>
          <w:tcPr>
            <w:tcW w:w="1680" w:type="dxa"/>
            <w:vAlign w:val="center"/>
          </w:tcPr>
          <w:p w14:paraId="21EE462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54E4164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07DB8D6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[.147, .289]</w:t>
            </w:r>
          </w:p>
        </w:tc>
      </w:tr>
    </w:tbl>
    <w:p w14:paraId="423F40BE"/>
    <w:p w14:paraId="4C4AD469">
      <w:r>
        <w:rPr>
          <w:rFonts w:ascii="Times New Roman" w:hAnsi="Times New Roman" w:eastAsia="Times New Roman"/>
          <w:sz w:val="22"/>
        </w:rPr>
        <w:t>Supplementary Table S6. Moderation and conditional indirect-association results.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680"/>
        <w:gridCol w:w="1680"/>
        <w:gridCol w:w="1680"/>
        <w:gridCol w:w="1680"/>
        <w:gridCol w:w="1680"/>
      </w:tblGrid>
      <w:tr w14:paraId="15B35E33">
        <w:trPr>
          <w:cantSplit/>
          <w:jc w:val="center"/>
        </w:trPr>
        <w:tc>
          <w:tcPr>
            <w:tcW w:w="1680" w:type="dxa"/>
            <w:shd w:val="clear" w:color="auto" w:fill="D9EAD3"/>
            <w:vAlign w:val="center"/>
          </w:tcPr>
          <w:p w14:paraId="220E90D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Model/result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358A127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Estimate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2047D93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SE / BootSE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1066F5B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p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0F88748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95% CI / Boot CI</w:t>
            </w:r>
          </w:p>
        </w:tc>
        <w:tc>
          <w:tcPr>
            <w:tcW w:w="1680" w:type="dxa"/>
            <w:shd w:val="clear" w:color="auto" w:fill="D9EAD3"/>
            <w:vAlign w:val="center"/>
          </w:tcPr>
          <w:p w14:paraId="6103410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Interpretation</w:t>
            </w:r>
          </w:p>
        </w:tc>
      </w:tr>
      <w:tr w14:paraId="4392A75F">
        <w:trPr>
          <w:cantSplit/>
          <w:jc w:val="center"/>
        </w:trPr>
        <w:tc>
          <w:tcPr>
            <w:tcW w:w="1680" w:type="dxa"/>
            <w:vAlign w:val="center"/>
          </w:tcPr>
          <w:p w14:paraId="1D837E8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Job stress × moral disengagement → workplace deviance</w:t>
            </w:r>
          </w:p>
        </w:tc>
        <w:tc>
          <w:tcPr>
            <w:tcW w:w="1680" w:type="dxa"/>
            <w:vAlign w:val="center"/>
          </w:tcPr>
          <w:p w14:paraId="27E9C11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.071</w:t>
            </w:r>
          </w:p>
        </w:tc>
        <w:tc>
          <w:tcPr>
            <w:tcW w:w="1680" w:type="dxa"/>
            <w:vAlign w:val="center"/>
          </w:tcPr>
          <w:p w14:paraId="49E9CFC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.029</w:t>
            </w:r>
          </w:p>
        </w:tc>
        <w:tc>
          <w:tcPr>
            <w:tcW w:w="1680" w:type="dxa"/>
            <w:vAlign w:val="center"/>
          </w:tcPr>
          <w:p w14:paraId="5861463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.015</w:t>
            </w:r>
          </w:p>
        </w:tc>
        <w:tc>
          <w:tcPr>
            <w:tcW w:w="1680" w:type="dxa"/>
            <w:vAlign w:val="center"/>
          </w:tcPr>
          <w:p w14:paraId="24F1D36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[.014, .128]</w:t>
            </w:r>
          </w:p>
        </w:tc>
        <w:tc>
          <w:tcPr>
            <w:tcW w:w="1680" w:type="dxa"/>
            <w:vAlign w:val="center"/>
          </w:tcPr>
          <w:p w14:paraId="69DC4F5B">
            <w:r>
              <w:rPr>
                <w:rFonts w:ascii="Times New Roman" w:hAnsi="Times New Roman" w:eastAsia="Times New Roman"/>
                <w:sz w:val="16"/>
              </w:rPr>
              <w:t>Significant interaction</w:t>
            </w:r>
          </w:p>
        </w:tc>
      </w:tr>
      <w:tr w14:paraId="36779AD6">
        <w:trPr>
          <w:cantSplit/>
          <w:jc w:val="center"/>
        </w:trPr>
        <w:tc>
          <w:tcPr>
            <w:tcW w:w="1680" w:type="dxa"/>
            <w:vAlign w:val="center"/>
          </w:tcPr>
          <w:p w14:paraId="6924DE9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Conditional effect of stress at low MD</w:t>
            </w:r>
          </w:p>
        </w:tc>
        <w:tc>
          <w:tcPr>
            <w:tcW w:w="1680" w:type="dxa"/>
            <w:vAlign w:val="center"/>
          </w:tcPr>
          <w:p w14:paraId="1296E2A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.182</w:t>
            </w:r>
          </w:p>
        </w:tc>
        <w:tc>
          <w:tcPr>
            <w:tcW w:w="1680" w:type="dxa"/>
            <w:vAlign w:val="center"/>
          </w:tcPr>
          <w:p w14:paraId="0A1B5E6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.044</w:t>
            </w:r>
          </w:p>
        </w:tc>
        <w:tc>
          <w:tcPr>
            <w:tcW w:w="1680" w:type="dxa"/>
            <w:vAlign w:val="center"/>
          </w:tcPr>
          <w:p w14:paraId="73BEDE7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44F03AB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[.096, .268]</w:t>
            </w:r>
          </w:p>
        </w:tc>
        <w:tc>
          <w:tcPr>
            <w:tcW w:w="1680" w:type="dxa"/>
            <w:vAlign w:val="center"/>
          </w:tcPr>
          <w:p w14:paraId="412E330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Positive association</w:t>
            </w:r>
          </w:p>
        </w:tc>
      </w:tr>
      <w:tr w14:paraId="74B77342">
        <w:trPr>
          <w:cantSplit/>
          <w:jc w:val="center"/>
        </w:trPr>
        <w:tc>
          <w:tcPr>
            <w:tcW w:w="1680" w:type="dxa"/>
            <w:vAlign w:val="center"/>
          </w:tcPr>
          <w:p w14:paraId="2D510CA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Conditional effect of stress at mean MD</w:t>
            </w:r>
          </w:p>
        </w:tc>
        <w:tc>
          <w:tcPr>
            <w:tcW w:w="1680" w:type="dxa"/>
            <w:vAlign w:val="center"/>
          </w:tcPr>
          <w:p w14:paraId="573DB95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.228</w:t>
            </w:r>
          </w:p>
        </w:tc>
        <w:tc>
          <w:tcPr>
            <w:tcW w:w="1680" w:type="dxa"/>
            <w:vAlign w:val="center"/>
          </w:tcPr>
          <w:p w14:paraId="5CAA2F4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.039</w:t>
            </w:r>
          </w:p>
        </w:tc>
        <w:tc>
          <w:tcPr>
            <w:tcW w:w="1680" w:type="dxa"/>
            <w:vAlign w:val="center"/>
          </w:tcPr>
          <w:p w14:paraId="42AD6CD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1794A72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[.151, .305]</w:t>
            </w:r>
          </w:p>
        </w:tc>
        <w:tc>
          <w:tcPr>
            <w:tcW w:w="1680" w:type="dxa"/>
            <w:vAlign w:val="center"/>
          </w:tcPr>
          <w:p w14:paraId="22EBBBA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Positive association</w:t>
            </w:r>
          </w:p>
        </w:tc>
      </w:tr>
      <w:tr w14:paraId="6EB9F839">
        <w:trPr>
          <w:cantSplit/>
          <w:jc w:val="center"/>
        </w:trPr>
        <w:tc>
          <w:tcPr>
            <w:tcW w:w="1680" w:type="dxa"/>
            <w:vAlign w:val="center"/>
          </w:tcPr>
          <w:p w14:paraId="6D23EF8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Conditional effect of stress at high MD</w:t>
            </w:r>
          </w:p>
        </w:tc>
        <w:tc>
          <w:tcPr>
            <w:tcW w:w="1680" w:type="dxa"/>
            <w:vAlign w:val="center"/>
          </w:tcPr>
          <w:p w14:paraId="37E7128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.274</w:t>
            </w:r>
          </w:p>
        </w:tc>
        <w:tc>
          <w:tcPr>
            <w:tcW w:w="1680" w:type="dxa"/>
            <w:vAlign w:val="center"/>
          </w:tcPr>
          <w:p w14:paraId="24F6A9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.048</w:t>
            </w:r>
          </w:p>
        </w:tc>
        <w:tc>
          <w:tcPr>
            <w:tcW w:w="1680" w:type="dxa"/>
            <w:vAlign w:val="center"/>
          </w:tcPr>
          <w:p w14:paraId="1C22E88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&lt;.001</w:t>
            </w:r>
          </w:p>
        </w:tc>
        <w:tc>
          <w:tcPr>
            <w:tcW w:w="1680" w:type="dxa"/>
            <w:vAlign w:val="center"/>
          </w:tcPr>
          <w:p w14:paraId="1971776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[.180, .368]</w:t>
            </w:r>
          </w:p>
        </w:tc>
        <w:tc>
          <w:tcPr>
            <w:tcW w:w="1680" w:type="dxa"/>
            <w:vAlign w:val="center"/>
          </w:tcPr>
          <w:p w14:paraId="02403054">
            <w:r>
              <w:rPr>
                <w:rFonts w:ascii="Times New Roman" w:hAnsi="Times New Roman" w:eastAsia="Times New Roman"/>
                <w:sz w:val="16"/>
              </w:rPr>
              <w:t>Largest conditional association</w:t>
            </w:r>
          </w:p>
        </w:tc>
      </w:tr>
      <w:tr w14:paraId="20E2D039">
        <w:trPr>
          <w:cantSplit/>
          <w:jc w:val="center"/>
        </w:trPr>
        <w:tc>
          <w:tcPr>
            <w:tcW w:w="1680" w:type="dxa"/>
            <w:vAlign w:val="center"/>
          </w:tcPr>
          <w:p w14:paraId="26BEFE6B">
            <w:r>
              <w:rPr>
                <w:rFonts w:ascii="Times New Roman" w:hAnsi="Times New Roman" w:eastAsia="Times New Roman"/>
                <w:sz w:val="16"/>
              </w:rPr>
              <w:t>Index of conditional indirect association via organizational commitment</w:t>
            </w:r>
          </w:p>
        </w:tc>
        <w:tc>
          <w:tcPr>
            <w:tcW w:w="1680" w:type="dxa"/>
            <w:vAlign w:val="center"/>
          </w:tcPr>
          <w:p w14:paraId="4070098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.024</w:t>
            </w:r>
          </w:p>
        </w:tc>
        <w:tc>
          <w:tcPr>
            <w:tcW w:w="1680" w:type="dxa"/>
            <w:vAlign w:val="center"/>
          </w:tcPr>
          <w:p w14:paraId="0D4F339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.012</w:t>
            </w:r>
          </w:p>
        </w:tc>
        <w:tc>
          <w:tcPr>
            <w:tcW w:w="1680" w:type="dxa"/>
            <w:vAlign w:val="center"/>
          </w:tcPr>
          <w:p w14:paraId="24CDA4B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4D57D4F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[.003, .053]</w:t>
            </w:r>
          </w:p>
        </w:tc>
        <w:tc>
          <w:tcPr>
            <w:tcW w:w="1680" w:type="dxa"/>
            <w:vAlign w:val="center"/>
          </w:tcPr>
          <w:p w14:paraId="4FCFF7F7">
            <w:r>
              <w:rPr>
                <w:rFonts w:ascii="Times New Roman" w:hAnsi="Times New Roman" w:eastAsia="Times New Roman"/>
                <w:sz w:val="16"/>
              </w:rPr>
              <w:t>CI excludes zero</w:t>
            </w:r>
          </w:p>
        </w:tc>
      </w:tr>
      <w:tr w14:paraId="4E0CADEC">
        <w:trPr>
          <w:cantSplit/>
          <w:jc w:val="center"/>
        </w:trPr>
        <w:tc>
          <w:tcPr>
            <w:tcW w:w="1680" w:type="dxa"/>
            <w:vAlign w:val="center"/>
          </w:tcPr>
          <w:p w14:paraId="3A4E2CC2">
            <w:r>
              <w:rPr>
                <w:rFonts w:ascii="Times New Roman" w:hAnsi="Times New Roman" w:eastAsia="Times New Roman"/>
                <w:sz w:val="16"/>
              </w:rPr>
              <w:t>Index of conditional indirect association via occupational self-efficacy</w:t>
            </w:r>
          </w:p>
        </w:tc>
        <w:tc>
          <w:tcPr>
            <w:tcW w:w="1680" w:type="dxa"/>
            <w:vAlign w:val="center"/>
          </w:tcPr>
          <w:p w14:paraId="5661B1D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.009</w:t>
            </w:r>
          </w:p>
        </w:tc>
        <w:tc>
          <w:tcPr>
            <w:tcW w:w="1680" w:type="dxa"/>
            <w:vAlign w:val="center"/>
          </w:tcPr>
          <w:p w14:paraId="67B70D8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.009</w:t>
            </w:r>
          </w:p>
        </w:tc>
        <w:tc>
          <w:tcPr>
            <w:tcW w:w="1680" w:type="dxa"/>
            <w:vAlign w:val="center"/>
          </w:tcPr>
          <w:p w14:paraId="1E0CE01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3024D521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[-.006, .030]</w:t>
            </w:r>
          </w:p>
        </w:tc>
        <w:tc>
          <w:tcPr>
            <w:tcW w:w="1680" w:type="dxa"/>
            <w:vAlign w:val="center"/>
          </w:tcPr>
          <w:p w14:paraId="39ACB2FF">
            <w:r>
              <w:rPr>
                <w:rFonts w:ascii="Times New Roman" w:hAnsi="Times New Roman" w:eastAsia="Times New Roman"/>
                <w:sz w:val="16"/>
              </w:rPr>
              <w:t>CI includes zero</w:t>
            </w:r>
          </w:p>
        </w:tc>
      </w:tr>
      <w:tr w14:paraId="533AFE0D">
        <w:trPr>
          <w:cantSplit/>
          <w:jc w:val="center"/>
        </w:trPr>
        <w:tc>
          <w:tcPr>
            <w:tcW w:w="1680" w:type="dxa"/>
            <w:vAlign w:val="center"/>
          </w:tcPr>
          <w:p w14:paraId="3AF6DF59">
            <w:r>
              <w:rPr>
                <w:rFonts w:ascii="Times New Roman" w:hAnsi="Times New Roman" w:eastAsia="Times New Roman"/>
                <w:sz w:val="16"/>
              </w:rPr>
              <w:t>Index of conditional indirect association via work-related depletion</w:t>
            </w:r>
          </w:p>
        </w:tc>
        <w:tc>
          <w:tcPr>
            <w:tcW w:w="1680" w:type="dxa"/>
            <w:vAlign w:val="center"/>
          </w:tcPr>
          <w:p w14:paraId="3EB0129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.047</w:t>
            </w:r>
          </w:p>
        </w:tc>
        <w:tc>
          <w:tcPr>
            <w:tcW w:w="1680" w:type="dxa"/>
            <w:vAlign w:val="center"/>
          </w:tcPr>
          <w:p w14:paraId="55AD2F9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.021</w:t>
            </w:r>
          </w:p>
        </w:tc>
        <w:tc>
          <w:tcPr>
            <w:tcW w:w="1680" w:type="dxa"/>
            <w:vAlign w:val="center"/>
          </w:tcPr>
          <w:p w14:paraId="1769F43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-</w:t>
            </w:r>
          </w:p>
        </w:tc>
        <w:tc>
          <w:tcPr>
            <w:tcW w:w="1680" w:type="dxa"/>
            <w:vAlign w:val="center"/>
          </w:tcPr>
          <w:p w14:paraId="649646C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[.012, .094]</w:t>
            </w:r>
          </w:p>
        </w:tc>
        <w:tc>
          <w:tcPr>
            <w:tcW w:w="1680" w:type="dxa"/>
            <w:vAlign w:val="center"/>
          </w:tcPr>
          <w:p w14:paraId="337A34C9">
            <w:r>
              <w:rPr>
                <w:rFonts w:ascii="Times New Roman" w:hAnsi="Times New Roman" w:eastAsia="Times New Roman"/>
                <w:sz w:val="16"/>
              </w:rPr>
              <w:t>CI excludes zero</w:t>
            </w:r>
          </w:p>
        </w:tc>
      </w:tr>
    </w:tbl>
    <w:p w14:paraId="12037DE8"/>
    <w:p w14:paraId="6A530E40">
      <w:r>
        <w:rPr>
          <w:rFonts w:ascii="Times New Roman" w:hAnsi="Times New Roman" w:eastAsia="Noto Serif CJK SC"/>
          <w:b/>
          <w:i/>
          <w:sz w:val="18"/>
        </w:rPr>
        <w:t>Supplementary Table S7. Robustness and sensitivity analyses.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3360"/>
        <w:gridCol w:w="3360"/>
      </w:tblGrid>
      <w:tr w14:paraId="19708FDD">
        <w:trPr>
          <w:cantSplit/>
          <w:jc w:val="center"/>
        </w:trPr>
        <w:tc>
          <w:tcPr>
            <w:tcW w:w="3360" w:type="dxa"/>
            <w:shd w:val="clear" w:color="auto" w:fill="D9EAD3"/>
            <w:vAlign w:val="center"/>
          </w:tcPr>
          <w:p w14:paraId="0B603CA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Check</w:t>
            </w:r>
          </w:p>
        </w:tc>
        <w:tc>
          <w:tcPr>
            <w:tcW w:w="3360" w:type="dxa"/>
            <w:shd w:val="clear" w:color="auto" w:fill="D9EAD3"/>
            <w:vAlign w:val="center"/>
          </w:tcPr>
          <w:p w14:paraId="3054F8A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Result</w:t>
            </w:r>
          </w:p>
        </w:tc>
        <w:tc>
          <w:tcPr>
            <w:tcW w:w="3360" w:type="dxa"/>
            <w:shd w:val="clear" w:color="auto" w:fill="D9EAD3"/>
            <w:vAlign w:val="center"/>
          </w:tcPr>
          <w:p w14:paraId="3C9CC9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Interpretation</w:t>
            </w:r>
          </w:p>
        </w:tc>
      </w:tr>
      <w:tr w14:paraId="347E5195">
        <w:trPr>
          <w:cantSplit/>
          <w:jc w:val="center"/>
        </w:trPr>
        <w:tc>
          <w:tcPr>
            <w:tcW w:w="3360" w:type="dxa"/>
            <w:vAlign w:val="center"/>
          </w:tcPr>
          <w:p w14:paraId="011E7B6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HC3 robust standard errors</w:t>
            </w:r>
          </w:p>
        </w:tc>
        <w:tc>
          <w:tcPr>
            <w:tcW w:w="3360" w:type="dxa"/>
            <w:vAlign w:val="center"/>
          </w:tcPr>
          <w:p w14:paraId="46CCD0DF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Job stress direct association remained significant, B = .159, robust SE = .045, p &lt; .001</w:t>
            </w:r>
          </w:p>
        </w:tc>
        <w:tc>
          <w:tcPr>
            <w:tcW w:w="3360" w:type="dxa"/>
            <w:vAlign w:val="center"/>
          </w:tcPr>
          <w:p w14:paraId="1134A7E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Not driven by heteroskedasticity</w:t>
            </w:r>
          </w:p>
        </w:tc>
      </w:tr>
      <w:tr w14:paraId="07AEE2D4">
        <w:trPr>
          <w:cantSplit/>
          <w:jc w:val="center"/>
        </w:trPr>
        <w:tc>
          <w:tcPr>
            <w:tcW w:w="3360" w:type="dxa"/>
            <w:vAlign w:val="center"/>
          </w:tcPr>
          <w:p w14:paraId="76C81A3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Organizational-deviance subdimension</w:t>
            </w:r>
          </w:p>
        </w:tc>
        <w:tc>
          <w:tcPr>
            <w:tcW w:w="3360" w:type="dxa"/>
            <w:vAlign w:val="center"/>
          </w:tcPr>
          <w:p w14:paraId="4C96C7B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Total indirect association = .191, 95% Boot CI [.129, .263]</w:t>
            </w:r>
          </w:p>
        </w:tc>
        <w:tc>
          <w:tcPr>
            <w:tcW w:w="3360" w:type="dxa"/>
            <w:vAlign w:val="center"/>
          </w:tcPr>
          <w:p w14:paraId="2CCB659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Pattern replicated</w:t>
            </w:r>
          </w:p>
        </w:tc>
      </w:tr>
      <w:tr w14:paraId="6C712B23">
        <w:trPr>
          <w:cantSplit/>
          <w:jc w:val="center"/>
        </w:trPr>
        <w:tc>
          <w:tcPr>
            <w:tcW w:w="3360" w:type="dxa"/>
            <w:vAlign w:val="center"/>
          </w:tcPr>
          <w:p w14:paraId="7B39FDBA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Interpersonal-deviance subdimension</w:t>
            </w:r>
          </w:p>
        </w:tc>
        <w:tc>
          <w:tcPr>
            <w:tcW w:w="3360" w:type="dxa"/>
            <w:vAlign w:val="center"/>
          </w:tcPr>
          <w:p w14:paraId="659EBBE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Total indirect association = .162, 95% Boot CI [.099, .241]</w:t>
            </w:r>
          </w:p>
        </w:tc>
        <w:tc>
          <w:tcPr>
            <w:tcW w:w="3360" w:type="dxa"/>
            <w:vAlign w:val="center"/>
          </w:tcPr>
          <w:p w14:paraId="417F0C9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Pattern replicated</w:t>
            </w:r>
          </w:p>
        </w:tc>
      </w:tr>
      <w:tr w14:paraId="6001BBF1">
        <w:trPr>
          <w:cantSplit/>
          <w:jc w:val="center"/>
        </w:trPr>
        <w:tc>
          <w:tcPr>
            <w:tcW w:w="3360" w:type="dxa"/>
            <w:vAlign w:val="center"/>
          </w:tcPr>
          <w:p w14:paraId="64BB5F2E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Outlier sensitivity</w:t>
            </w:r>
          </w:p>
        </w:tc>
        <w:tc>
          <w:tcPr>
            <w:tcW w:w="3360" w:type="dxa"/>
            <w:vAlign w:val="center"/>
          </w:tcPr>
          <w:p w14:paraId="1B80BF64">
            <w:pPr>
              <w:spacing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After removing 12 multivariate outliers, total indirect association = .205, 95% Boot CI [.139, .276]</w:t>
            </w:r>
          </w:p>
        </w:tc>
        <w:tc>
          <w:tcPr>
            <w:tcW w:w="3360" w:type="dxa"/>
            <w:vAlign w:val="center"/>
          </w:tcPr>
          <w:p w14:paraId="4F728083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Results stable</w:t>
            </w:r>
          </w:p>
        </w:tc>
      </w:tr>
      <w:tr w14:paraId="5441041A">
        <w:trPr>
          <w:cantSplit/>
          <w:jc w:val="center"/>
        </w:trPr>
        <w:tc>
          <w:tcPr>
            <w:tcW w:w="3360" w:type="dxa"/>
            <w:vAlign w:val="center"/>
          </w:tcPr>
          <w:p w14:paraId="60F1F51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No-control model</w:t>
            </w:r>
          </w:p>
        </w:tc>
        <w:tc>
          <w:tcPr>
            <w:tcW w:w="3360" w:type="dxa"/>
            <w:vAlign w:val="center"/>
          </w:tcPr>
          <w:p w14:paraId="72833C2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Total indirect association = .224, 95% Boot CI [.157, .302]</w:t>
            </w:r>
          </w:p>
        </w:tc>
        <w:tc>
          <w:tcPr>
            <w:tcW w:w="3360" w:type="dxa"/>
            <w:vAlign w:val="center"/>
          </w:tcPr>
          <w:p w14:paraId="57C71EB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Main pattern not dependent on covariates</w:t>
            </w:r>
          </w:p>
        </w:tc>
      </w:tr>
      <w:tr w14:paraId="15E85A4B">
        <w:trPr>
          <w:cantSplit/>
          <w:jc w:val="center"/>
        </w:trPr>
        <w:tc>
          <w:tcPr>
            <w:tcW w:w="3360" w:type="dxa"/>
            <w:vAlign w:val="center"/>
          </w:tcPr>
          <w:p w14:paraId="109B50F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SEM replication</w:t>
            </w:r>
          </w:p>
        </w:tc>
        <w:tc>
          <w:tcPr>
            <w:tcW w:w="3360" w:type="dxa"/>
            <w:vAlign w:val="center"/>
          </w:tcPr>
          <w:p w14:paraId="0BDF7A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χ²/df = 1.77, CFI = .938, TLI = .931, RMSEA = .041, SRMR = .050</w:t>
            </w:r>
          </w:p>
        </w:tc>
        <w:tc>
          <w:tcPr>
            <w:tcW w:w="3360" w:type="dxa"/>
            <w:vAlign w:val="center"/>
          </w:tcPr>
          <w:p w14:paraId="7D5E811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Latent-variable pattern acceptable</w:t>
            </w:r>
          </w:p>
        </w:tc>
      </w:tr>
      <w:tr w14:paraId="14D58ABF">
        <w:trPr>
          <w:cantSplit/>
          <w:jc w:val="center"/>
        </w:trPr>
        <w:tc>
          <w:tcPr>
            <w:tcW w:w="3360" w:type="dxa"/>
            <w:vAlign w:val="center"/>
          </w:tcPr>
          <w:p w14:paraId="7BBD461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Alternative reverse model</w:t>
            </w:r>
          </w:p>
        </w:tc>
        <w:tc>
          <w:tcPr>
            <w:tcW w:w="3360" w:type="dxa"/>
            <w:vAlign w:val="center"/>
          </w:tcPr>
          <w:p w14:paraId="645AA3C6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CFI = .881, RMSEA = .061, SRMR = .079</w:t>
            </w:r>
          </w:p>
        </w:tc>
        <w:tc>
          <w:tcPr>
            <w:tcW w:w="3360" w:type="dxa"/>
            <w:vAlign w:val="center"/>
          </w:tcPr>
          <w:p w14:paraId="6C59600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Poorer fit than hypothesized model</w:t>
            </w:r>
          </w:p>
        </w:tc>
      </w:tr>
    </w:tbl>
    <w:p w14:paraId="5C820409"/>
    <w:p w14:paraId="53023909">
      <w:r>
        <w:rPr>
          <w:rFonts w:ascii="Times New Roman" w:hAnsi="Times New Roman" w:eastAsia="Noto Serif CJK SC"/>
          <w:b/>
          <w:sz w:val="24"/>
        </w:rPr>
        <w:t>Supplementary Note S1. Data structure and missingness.</w:t>
      </w:r>
    </w:p>
    <w:p w14:paraId="40DFF79B">
      <w:r>
        <w:rPr>
          <w:rFonts w:ascii="Times New Roman" w:hAnsi="Times New Roman" w:eastAsia="Times New Roman"/>
          <w:sz w:val="22"/>
        </w:rPr>
        <w:t>Rows in the analytic dataset correspond to individual participants. Columns correspond to item-level responses, computed scale scores and broad non-identifying background variables. Direct personal identifiers, institution names and city-level identifiers are not included in the dataset used for analysis. The analytic sample of 465 adult participants falls within the umbrella protocol's approved programme-level recruitment range for multiple adult sub-studies. Missingness was screened before composite-score creation. Invalid cases with excessive missingness, straight-line responses, duplicate entries or completion times below the predefined threshold were removed before analysis.</w:t>
      </w:r>
    </w:p>
    <w:p w14:paraId="393DA71F">
      <w:r>
        <w:t>Supplementary references</w:t>
      </w:r>
    </w:p>
    <w:p w14:paraId="1D426603">
      <w:r>
        <w:rPr>
          <w:rFonts w:ascii="Times New Roman" w:hAnsi="Times New Roman" w:eastAsia="Times New Roman"/>
          <w:sz w:val="18"/>
        </w:rPr>
        <w:t>1. Karasek, R. A. Job demands, job decision latitude, and mental strain: implications for job redesign. Administrative Science Quarterly 24, 285-308 (1979).</w:t>
      </w:r>
    </w:p>
    <w:p w14:paraId="23A4AEB1">
      <w:r>
        <w:rPr>
          <w:rFonts w:ascii="Times New Roman" w:hAnsi="Times New Roman" w:eastAsia="Times New Roman"/>
          <w:sz w:val="18"/>
        </w:rPr>
        <w:t>2. Meyer, J. P. &amp; Allen, N. J. A three-component conceptualization of organizational commitment. Human Resource Management Review 1, 61-89 (1991).</w:t>
      </w:r>
    </w:p>
    <w:p w14:paraId="6CB197B7">
      <w:r>
        <w:rPr>
          <w:rFonts w:ascii="Times New Roman" w:hAnsi="Times New Roman" w:eastAsia="Times New Roman"/>
          <w:sz w:val="18"/>
        </w:rPr>
        <w:t>3. Schyns, B. &amp; von Collani, G. A new occupational self-efficacy scale and its relation to personality constructs and organizational variables. European Journal of Work and Organizational Psychology 11, 219-241 (2002).</w:t>
      </w:r>
    </w:p>
    <w:p w14:paraId="7FAD0E32">
      <w:r>
        <w:rPr>
          <w:rFonts w:ascii="Times New Roman" w:hAnsi="Times New Roman" w:eastAsia="Times New Roman"/>
          <w:sz w:val="18"/>
        </w:rPr>
        <w:t>4. Sonnentag, S. &amp; Fritz, C. The Recovery Experience Questionnaire: development and validation of a measure for assessing recuperation and unwinding from work. Journal of Occupational Health Psychology 12, 204-221 (2007).</w:t>
      </w:r>
    </w:p>
    <w:p w14:paraId="638E475B">
      <w:r>
        <w:rPr>
          <w:rFonts w:ascii="Times New Roman" w:hAnsi="Times New Roman" w:eastAsia="Times New Roman"/>
          <w:sz w:val="18"/>
        </w:rPr>
        <w:t>5. Bandura, A. Moral disengagement in the perpetration of inhumanities. Personality and Social Psychology Review 3, 193-209 (1999).</w:t>
      </w:r>
    </w:p>
    <w:p w14:paraId="76D75E5A">
      <w:r>
        <w:rPr>
          <w:rFonts w:ascii="Times New Roman" w:hAnsi="Times New Roman" w:eastAsia="Times New Roman"/>
          <w:sz w:val="18"/>
        </w:rPr>
        <w:t>6. Detert, J. R., Treviño, L. K. &amp; Sweitzer, V. L. Moral disengagement in ethical decision making: a study of antecedents and outcomes. Journal of Applied Psychology 93, 374-391 (2008).</w:t>
      </w:r>
    </w:p>
    <w:p w14:paraId="1CCEF426">
      <w:r>
        <w:rPr>
          <w:rFonts w:ascii="Times New Roman" w:hAnsi="Times New Roman" w:eastAsia="Times New Roman"/>
          <w:sz w:val="18"/>
        </w:rPr>
        <w:t>7. Moore, C., Detert, J. R., Treviño, L. K., Baker, V. L. &amp; Mayer, D. M. Why employees do bad things: moral disengagement and unethical organizational behavior. Personnel Psychology 65, 1-48 (2012).</w:t>
      </w:r>
    </w:p>
    <w:p w14:paraId="43E3CEAB">
      <w:r>
        <w:rPr>
          <w:rFonts w:ascii="Times New Roman" w:hAnsi="Times New Roman" w:eastAsia="Times New Roman"/>
          <w:sz w:val="18"/>
        </w:rPr>
        <w:t>8. Robinson, S. L. &amp; Bennett, R. J. A typology of deviant workplace behaviors. Academy of Management Journal 38, 555-572 (1995).</w:t>
      </w:r>
    </w:p>
    <w:p w14:paraId="62827C00">
      <w:r>
        <w:rPr>
          <w:rFonts w:ascii="Times New Roman" w:hAnsi="Times New Roman" w:eastAsia="Times New Roman"/>
          <w:sz w:val="18"/>
        </w:rPr>
        <w:t>9. Bennett, R. J. &amp; Robinson, S. L. Development of a measure of workplace deviance. Journal of Applied Psychology 85, 349-360 (2000).</w:t>
      </w:r>
    </w:p>
    <w:sectPr>
      <w:headerReference r:id="rId5" w:type="default"/>
      <w:footerReference r:id="rId6" w:type="default"/>
      <w:pgSz w:w="12240" w:h="15840"/>
      <w:pgMar w:top="1080" w:right="1080" w:bottom="1080" w:left="1080" w:header="720" w:footer="720" w:gutter="0"/>
      <w:lnNumType w:countBy="1" w:start="1" w:restart="continuous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F0A0C">
    <w:pPr>
      <w:pStyle w:val="24"/>
      <w:jc w:val="center"/>
    </w:pPr>
    <w:r>
      <w:rPr>
        <w:rFonts w:ascii="Times New Roman" w:hAnsi="Times New Roman" w:eastAsia="Noto Serif CJK SC"/>
        <w:sz w:val="18"/>
      </w:rPr>
      <w:t xml:space="preserve">Page </w:t>
    </w:r>
    <w:r>
      <w:rPr>
        <w:rFonts w:ascii="Times New Roman" w:hAnsi="Times New Roman" w:eastAsia="Noto Serif CJK SC"/>
        <w:sz w:val="18"/>
      </w:rPr>
      <w:fldChar w:fldCharType="begin"/>
    </w:r>
    <w:r>
      <w:rPr>
        <w:rFonts w:ascii="Times New Roman" w:hAnsi="Times New Roman" w:eastAsia="Noto Serif CJK SC"/>
        <w:sz w:val="18"/>
      </w:rPr>
      <w:instrText xml:space="preserve">PAGE</w:instrText>
    </w:r>
    <w:r>
      <w:rPr>
        <w:rFonts w:ascii="Times New Roman" w:hAnsi="Times New Roman" w:eastAsia="Noto Serif CJK SC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17F00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9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9952F02"/>
    <w:rsid w:val="FFF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Noto Serif CJK SC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2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rFonts w:ascii="Times New Roman" w:hAnsi="Times New Roman" w:eastAsia="Noto Serif CJK SC"/>
      <w:b/>
      <w:bCs/>
      <w:i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何万众</dc:creator>
  <dc:description>generated by python-docx</dc:description>
  <cp:lastModifiedBy>何万众</cp:lastModifiedBy>
  <dcterms:modified xsi:type="dcterms:W3CDTF">2026-07-06T03:14:20Z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0906931D2ABB9B5DE5B13E6A834F7C7C_42</vt:lpwstr>
  </property>
</Properties>
</file>