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582840" w14:textId="77777777" w:rsidR="006B5BFC" w:rsidRPr="00AC1D03" w:rsidRDefault="006B5BFC" w:rsidP="006B5BFC">
      <w:pPr>
        <w:jc w:val="center"/>
        <w:rPr>
          <w:color w:val="auto"/>
        </w:rPr>
      </w:pPr>
      <w:r w:rsidRPr="00AC1D03">
        <w:rPr>
          <w:color w:val="auto"/>
        </w:rPr>
        <w:t>Table 4.29 Thematic Table of Guest Experience</w:t>
      </w:r>
    </w:p>
    <w:tbl>
      <w:tblPr>
        <w:tblStyle w:val="LightShading-Accent11"/>
        <w:tblW w:w="0" w:type="auto"/>
        <w:jc w:val="center"/>
        <w:tblLook w:val="04A0" w:firstRow="1" w:lastRow="0" w:firstColumn="1" w:lastColumn="0" w:noHBand="0" w:noVBand="1"/>
      </w:tblPr>
      <w:tblGrid>
        <w:gridCol w:w="2616"/>
        <w:gridCol w:w="2009"/>
        <w:gridCol w:w="1432"/>
        <w:gridCol w:w="2969"/>
      </w:tblGrid>
      <w:tr w:rsidR="006B5BFC" w:rsidRPr="00AC1D03" w14:paraId="2D409DF5" w14:textId="77777777" w:rsidTr="002259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60CF319" w14:textId="77777777" w:rsidR="006B5BFC" w:rsidRPr="00AC1D03" w:rsidRDefault="006B5BFC" w:rsidP="00225983">
            <w:pPr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  <w:t>Theme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9D6C35F" w14:textId="77777777" w:rsidR="006B5BFC" w:rsidRPr="00AC1D03" w:rsidRDefault="006B5BFC" w:rsidP="00225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  <w:t>Category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12" w:space="0" w:color="auto"/>
            </w:tcBorders>
          </w:tcPr>
          <w:p w14:paraId="1F1203AF" w14:textId="77777777" w:rsidR="006B5BFC" w:rsidRPr="00AC1D03" w:rsidRDefault="006B5BFC" w:rsidP="00225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  <w:t>Frequency (Statements)</w:t>
            </w:r>
          </w:p>
        </w:tc>
        <w:tc>
          <w:tcPr>
            <w:tcW w:w="2969" w:type="dxa"/>
            <w:tcBorders>
              <w:top w:val="single" w:sz="12" w:space="0" w:color="auto"/>
              <w:bottom w:val="single" w:sz="12" w:space="0" w:color="auto"/>
            </w:tcBorders>
          </w:tcPr>
          <w:p w14:paraId="112400D5" w14:textId="77777777" w:rsidR="006B5BFC" w:rsidRPr="00AC1D03" w:rsidRDefault="006B5BFC" w:rsidP="00225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  <w:t>Core Concept</w:t>
            </w:r>
          </w:p>
        </w:tc>
      </w:tr>
      <w:tr w:rsidR="006B5BFC" w:rsidRPr="00AC1D03" w14:paraId="65E6B6DF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</w:tcBorders>
          </w:tcPr>
          <w:p w14:paraId="22F88AC9" w14:textId="77777777" w:rsidR="006B5BFC" w:rsidRPr="00AC1D03" w:rsidRDefault="006B5BFC" w:rsidP="00225983">
            <w:pPr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  <w:t>1.Technological Integration &amp; Innovativeness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3F0FF23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Perception of Modernity</w:t>
            </w:r>
          </w:p>
        </w:tc>
        <w:tc>
          <w:tcPr>
            <w:tcW w:w="1432" w:type="dxa"/>
            <w:tcBorders>
              <w:top w:val="single" w:sz="12" w:space="0" w:color="auto"/>
            </w:tcBorders>
          </w:tcPr>
          <w:p w14:paraId="3F78AB72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5</w:t>
            </w:r>
          </w:p>
        </w:tc>
        <w:tc>
          <w:tcPr>
            <w:tcW w:w="2969" w:type="dxa"/>
            <w:tcBorders>
              <w:top w:val="single" w:sz="12" w:space="0" w:color="auto"/>
            </w:tcBorders>
          </w:tcPr>
          <w:p w14:paraId="13560411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The "WOW" factor; technology as a brand differentiator</w:t>
            </w:r>
          </w:p>
        </w:tc>
      </w:tr>
      <w:tr w:rsidR="006B5BFC" w:rsidRPr="00AC1D03" w14:paraId="4B910775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0279C7" w14:textId="77777777" w:rsidR="006B5BFC" w:rsidRPr="00AC1D03" w:rsidRDefault="006B5BFC" w:rsidP="00225983">
            <w:pPr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  <w:t>2.Efficiency &amp;  Convenience</w:t>
            </w:r>
          </w:p>
        </w:tc>
        <w:tc>
          <w:tcPr>
            <w:tcW w:w="0" w:type="auto"/>
          </w:tcPr>
          <w:p w14:paraId="7D06AF4A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Functional Benefit</w:t>
            </w:r>
          </w:p>
        </w:tc>
        <w:tc>
          <w:tcPr>
            <w:tcW w:w="1432" w:type="dxa"/>
          </w:tcPr>
          <w:p w14:paraId="047FAE96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6</w:t>
            </w:r>
          </w:p>
        </w:tc>
        <w:tc>
          <w:tcPr>
            <w:tcW w:w="2969" w:type="dxa"/>
          </w:tcPr>
          <w:p w14:paraId="315957FB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Time-saving; friction reduction</w:t>
            </w:r>
          </w:p>
        </w:tc>
      </w:tr>
      <w:tr w:rsidR="006B5BFC" w:rsidRPr="00AC1D03" w14:paraId="41A732E7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D7F417" w14:textId="77777777" w:rsidR="006B5BFC" w:rsidRPr="00AC1D03" w:rsidRDefault="006B5BFC" w:rsidP="00225983">
            <w:pPr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  <w:t>3. Digital Readiness</w:t>
            </w:r>
          </w:p>
        </w:tc>
        <w:tc>
          <w:tcPr>
            <w:tcW w:w="0" w:type="auto"/>
          </w:tcPr>
          <w:p w14:paraId="18BBCF01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Organizational Trust</w:t>
            </w:r>
          </w:p>
        </w:tc>
        <w:tc>
          <w:tcPr>
            <w:tcW w:w="1432" w:type="dxa"/>
          </w:tcPr>
          <w:p w14:paraId="78011920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</w:t>
            </w:r>
          </w:p>
        </w:tc>
        <w:tc>
          <w:tcPr>
            <w:tcW w:w="2969" w:type="dxa"/>
          </w:tcPr>
          <w:p w14:paraId="5D2DD091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Confidence in infrastructure</w:t>
            </w:r>
          </w:p>
        </w:tc>
      </w:tr>
      <w:tr w:rsidR="006B5BFC" w:rsidRPr="00AC1D03" w14:paraId="0653E153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</w:tcPr>
          <w:p w14:paraId="465894CB" w14:textId="77777777" w:rsidR="006B5BFC" w:rsidRPr="00AC1D03" w:rsidRDefault="006B5BFC" w:rsidP="00225983">
            <w:pPr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  <w:t>4.Staff Digital Competence</w:t>
            </w:r>
          </w:p>
        </w:tc>
        <w:tc>
          <w:tcPr>
            <w:tcW w:w="0" w:type="auto"/>
            <w:tcBorders>
              <w:bottom w:val="nil"/>
            </w:tcBorders>
          </w:tcPr>
          <w:p w14:paraId="4F511785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Human-Technology Interface</w:t>
            </w:r>
          </w:p>
        </w:tc>
        <w:tc>
          <w:tcPr>
            <w:tcW w:w="1432" w:type="dxa"/>
            <w:tcBorders>
              <w:bottom w:val="nil"/>
            </w:tcBorders>
          </w:tcPr>
          <w:p w14:paraId="7500391B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</w:t>
            </w:r>
          </w:p>
        </w:tc>
        <w:tc>
          <w:tcPr>
            <w:tcW w:w="2969" w:type="dxa"/>
            <w:tcBorders>
              <w:bottom w:val="nil"/>
            </w:tcBorders>
          </w:tcPr>
          <w:p w14:paraId="249BC150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Technology is only as good as the people supporting it</w:t>
            </w:r>
          </w:p>
        </w:tc>
      </w:tr>
      <w:tr w:rsidR="006B5BFC" w:rsidRPr="00AC1D03" w14:paraId="2B239510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12" w:space="0" w:color="auto"/>
            </w:tcBorders>
          </w:tcPr>
          <w:p w14:paraId="5AF7D6A9" w14:textId="77777777" w:rsidR="006B5BFC" w:rsidRPr="00AC1D03" w:rsidRDefault="006B5BFC" w:rsidP="00225983">
            <w:pPr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  <w:t>5.Cross-Departmental Coordination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14:paraId="70F3035C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Systemic Fluidity</w:t>
            </w:r>
          </w:p>
        </w:tc>
        <w:tc>
          <w:tcPr>
            <w:tcW w:w="1432" w:type="dxa"/>
            <w:tcBorders>
              <w:top w:val="nil"/>
              <w:bottom w:val="single" w:sz="12" w:space="0" w:color="auto"/>
            </w:tcBorders>
          </w:tcPr>
          <w:p w14:paraId="35D4C4D4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</w:t>
            </w:r>
          </w:p>
        </w:tc>
        <w:tc>
          <w:tcPr>
            <w:tcW w:w="2969" w:type="dxa"/>
            <w:tcBorders>
              <w:top w:val="nil"/>
              <w:bottom w:val="single" w:sz="12" w:space="0" w:color="auto"/>
            </w:tcBorders>
          </w:tcPr>
          <w:p w14:paraId="3E8FBBC7" w14:textId="77777777" w:rsidR="006B5BFC" w:rsidRPr="00AC1D03" w:rsidRDefault="006B5BFC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Silent operations; invisible service</w:t>
            </w:r>
          </w:p>
        </w:tc>
      </w:tr>
    </w:tbl>
    <w:p w14:paraId="0F1A6381" w14:textId="77777777" w:rsidR="006B5BFC" w:rsidRPr="00AC1D03" w:rsidRDefault="006B5BFC" w:rsidP="006B5BFC">
      <w:pPr>
        <w:pStyle w:val="ds-markdown-paragraph"/>
        <w:rPr>
          <w:color w:val="auto"/>
        </w:rPr>
      </w:pPr>
      <w:r w:rsidRPr="00AC1D03">
        <w:rPr>
          <w:color w:val="auto"/>
        </w:rPr>
        <w:t>Source: Staff Respondents’ data, 2025</w:t>
      </w:r>
    </w:p>
    <w:p w14:paraId="024DC48E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FC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6B5BFC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203382"/>
  <w15:chartTrackingRefBased/>
  <w15:docId w15:val="{9166D8EB-56BD-7A4C-A90E-D49F1BE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6B5BFC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B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BF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B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B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B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BFC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BFC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BFC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BFC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BFC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B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B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6B5B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BFC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6B5B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BFC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6B5BFC"/>
    <w:rPr>
      <w:b/>
      <w:bCs/>
      <w:smallCaps/>
      <w:color w:val="0F4761" w:themeColor="accent1" w:themeShade="BF"/>
      <w:spacing w:val="5"/>
    </w:rPr>
  </w:style>
  <w:style w:type="table" w:customStyle="1" w:styleId="LightShading-Accent11">
    <w:name w:val="Light Shading - Accent 11"/>
    <w:basedOn w:val="TableNormal"/>
    <w:autoRedefine/>
    <w:uiPriority w:val="60"/>
    <w:qFormat/>
    <w:rsid w:val="006B5BFC"/>
    <w:pPr>
      <w:spacing w:before="0" w:beforeAutospacing="0" w:after="0" w:afterAutospacing="0"/>
      <w:jc w:val="left"/>
    </w:pPr>
    <w:rPr>
      <w:rFonts w:ascii="Calibri" w:eastAsia="Calibri" w:hAnsi="Calibri"/>
      <w:color w:val="365F91"/>
      <w:sz w:val="22"/>
      <w:szCs w:val="22"/>
      <w:lang w:eastAsia="en-GB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2026-07-14T16:50:00Z</dcterms:created>
  <dcterms:modified xsi:type="dcterms:W3CDTF">2026-07-14T16:50:00Z</dcterms:modified>
</cp:coreProperties>
</file>