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Additional file 2. CASP qualitative appraisal of included studies</w:t>
      </w:r>
    </w:p>
    <w:p>
      <w:pPr>
        <w:spacing w:after="140" w:line="276"/>
      </w:pPr>
      <w:r>
        <w:rPr>
          <w:rFonts w:ascii="Arial" w:cs="Arial" w:eastAsia="Arial" w:hAnsi="Arial"/>
          <w:sz w:val="18"/>
          <w:szCs w:val="18"/>
        </w:rPr>
        <w:t xml:space="preserve">Review: Why caregivers start but do not finish: a qualitative evidence synthesis of barriers and facilitators to malaria vaccine dose completion in sub-Saharan Africa.</w:t>
      </w:r>
    </w:p>
    <w:p>
      <w:pPr>
        <w:spacing w:after="140" w:line="276"/>
      </w:pPr>
      <w:r>
        <w:rPr>
          <w:rFonts w:ascii="Arial" w:cs="Arial" w:eastAsia="Arial" w:hAnsi="Arial"/>
          <w:sz w:val="18"/>
          <w:szCs w:val="18"/>
        </w:rPr>
        <w:t xml:space="preserve">Each included study was appraised independently by two reviewers (KCN and AN) using the 10-item Critical Appraisal Skills Programme (CASP) qualitative checklist. Discrepancies were resolved by discussion. Appraisal informed interpretation and the GRADE-CERQual confidence assessment and was not used as an exclusion threshold. Mixed-methods and survey-dominant studies were appraised on their qualitative component. Y, yes; P, partial; C, can't tell.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blHeader/>
        </w:trP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Study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Q1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Q2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Q3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Q4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Q5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Q6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Q7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Q8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Q9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Q10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Bam (2023), Ghana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Bugase (2024), Ghana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Hoyt (2023), Kenya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Darkwa (2022), Ghana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Price (2023), multi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Okyere (2023), Ghana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Hamid (2026), Sudan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Achieng (2020), Kenya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McCoy (2021), S. Leone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Price (2025), multi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Anye (2025), Cameroon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Puleh (2026), Uganda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  <w:tr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Adamu (2025), Nigeria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  <w:tc>
          <w:tcPr>
            <w:tcW w:type="dxa" w:w="1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Y</w:t>
            </w:r>
          </w:p>
        </w:tc>
      </w:tr>
    </w:tbl>
    <w:p>
      <w:pPr>
        <w:spacing w:after="140" w:before="1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CASP item key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Q1 Clear statement of aims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Q2 Qualitative methodology appropriate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Q3 Research design appropriate to aims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Q4 Recruitment strategy appropriate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Q5 Data collection addressed the issue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Q6 Researcher and participant relationship considered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Q7 Ethical issues considered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Q8 Data analysis sufficiently rigorous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Q9 Clear statement of findings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Q10 Value of the research</w:t>
      </w:r>
    </w:p>
    <w:p>
      <w:pPr>
        <w:spacing w:after="140" w:line="276"/>
      </w:pPr>
      <w:r>
        <w:rPr>
          <w:rFonts w:ascii="Arial" w:cs="Arial" w:eastAsia="Arial" w:hAnsi="Arial"/>
          <w:sz w:val="18"/>
          <w:szCs w:val="18"/>
        </w:rPr>
        <w:t xml:space="preserve">Note: studies with thinner or survey-dominant qualitative components (for example Hamid 2026, Puleh 2026, and Adamu 2025) received more partial or can't-tell ratings on data collection, reflexivity, and analytic rigour items; these limitations were carried into the relevance and adequacy judgements of the CERQual assessment in the main text.</w:t>
      </w:r>
    </w:p>
    <w:sectPr>
      <w:pgSz w:w="15840" w:h="12240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00"/>
      <w:outlineLvl w:val="0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2026-06-24T10:02:28.228Z</dcterms:created>
  <dcterms:modified xsi:type="dcterms:W3CDTF">2026-06-24T10:02:28.229Z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