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6086A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4"/>
          <w:szCs w:val="24"/>
          <w:shd w:val="clear" w:fill="FFFFFF"/>
        </w:rPr>
        <w:t>TRIPOD Checklist: Prediction Model Development and External Validation</w:t>
      </w:r>
    </w:p>
    <w:p w14:paraId="00B948B9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Manuscript title: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Dynamic Nomogram for Predicting Mortality in Critically Ill Patients with Diabetic Nephropathy: Development, SHAP Interpretation, and External Validation Using MIMIC-IV and eICU-CRD Databases</w:t>
      </w:r>
    </w:p>
    <w:tbl>
      <w:tblPr>
        <w:tblStyle w:val="4"/>
        <w:tblW w:w="9422" w:type="dxa"/>
        <w:jc w:val="center"/>
        <w:tblDescription w:val="{&quot;row&quot;:{&quot;emphasizeNum&quot;:1,&quot;emphasizeType&quot;:2,&quot;originStyle&quot;:{&quot;bBoldFont&quot;:true,&quot;bValid&quot;:true,&quot;backgroundColor&quot;:&quot;#ffffff&quot;,&quot;borders&quot;:[{&quot;borderColor&quot;:&quot;#000000&quot;,&quot;borderType&quot;:-4,&quot;lineStyle&quot;:0,&quot;lineWidth&quot;:45},{&quot;borderColor&quot;:&quot;#ffffff&quot;,&quot;borderType&quot;:-3,&quot;lineStyle&quot;:9999999,&quot;lineWidth&quot;:9999999},{&quot;borderColor&quot;:&quot;#000000&quot;,&quot;borderType&quot;:-2,&quot;lineStyle&quot;:0,&quot;lineWidth&quot;:0},{&quot;borderColor&quot;:&quot;#000000&quot;,&quot;borderType&quot;:-1,&quot;lineStyle&quot;:1,&quot;lineWidth&quot;:12}],&quot;fontColor&quot;:&quot;#0f1115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9"/>
        <w:gridCol w:w="758"/>
        <w:gridCol w:w="745"/>
        <w:gridCol w:w="2551"/>
        <w:gridCol w:w="3839"/>
      </w:tblGrid>
      <w:tr w14:paraId="42D3D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529" w:type="dxa"/>
            <w:tcBorders>
              <w:top w:val="single" w:color="E54C5E" w:themeColor="accent6" w:sz="8" w:space="0"/>
              <w:left w:val="single" w:color="E54C5E" w:themeColor="accent6" w:sz="8" w:space="0"/>
              <w:bottom w:val="single" w:color="E54C5E" w:themeColor="accent6" w:sz="8" w:space="0"/>
              <w:right w:val="nil"/>
            </w:tcBorders>
            <w:shd w:val="clear" w:color="auto" w:fill="E54C5E" w:themeFill="accent6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107AC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kern w:val="0"/>
                <w:sz w:val="21"/>
                <w:szCs w:val="21"/>
                <w:lang w:val="en-US" w:eastAsia="zh-CN" w:bidi="ar"/>
              </w:rPr>
              <w:t>Section/Topic</w:t>
            </w:r>
          </w:p>
        </w:tc>
        <w:tc>
          <w:tcPr>
            <w:tcW w:w="758" w:type="dxa"/>
            <w:tcBorders>
              <w:top w:val="single" w:color="E54C5E" w:themeColor="accent6" w:sz="8" w:space="0"/>
              <w:left w:val="nil"/>
              <w:bottom w:val="single" w:color="E54C5E" w:themeColor="accent6" w:sz="8" w:space="0"/>
              <w:right w:val="nil"/>
            </w:tcBorders>
            <w:shd w:val="clear" w:color="auto" w:fill="E54C5E" w:themeFill="accent6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4042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kern w:val="0"/>
                <w:sz w:val="21"/>
                <w:szCs w:val="21"/>
                <w:lang w:val="en-US" w:eastAsia="zh-CN" w:bidi="ar"/>
              </w:rPr>
              <w:t>Item</w:t>
            </w:r>
          </w:p>
        </w:tc>
        <w:tc>
          <w:tcPr>
            <w:tcW w:w="745" w:type="dxa"/>
            <w:tcBorders>
              <w:top w:val="single" w:color="E54C5E" w:themeColor="accent6" w:sz="8" w:space="0"/>
              <w:left w:val="nil"/>
              <w:bottom w:val="single" w:color="E54C5E" w:themeColor="accent6" w:sz="8" w:space="0"/>
              <w:right w:val="nil"/>
            </w:tcBorders>
            <w:shd w:val="clear" w:color="auto" w:fill="E54C5E" w:themeFill="accent6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4EA9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kern w:val="0"/>
                <w:sz w:val="21"/>
                <w:szCs w:val="21"/>
                <w:lang w:val="en-US" w:eastAsia="zh-CN" w:bidi="ar"/>
              </w:rPr>
              <w:t>D/V</w:t>
            </w:r>
          </w:p>
        </w:tc>
        <w:tc>
          <w:tcPr>
            <w:tcW w:w="2551" w:type="dxa"/>
            <w:tcBorders>
              <w:top w:val="single" w:color="E54C5E" w:themeColor="accent6" w:sz="8" w:space="0"/>
              <w:left w:val="nil"/>
              <w:bottom w:val="single" w:color="E54C5E" w:themeColor="accent6" w:sz="8" w:space="0"/>
              <w:right w:val="nil"/>
            </w:tcBorders>
            <w:shd w:val="clear" w:color="auto" w:fill="E54C5E" w:themeFill="accent6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11A5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kern w:val="0"/>
                <w:sz w:val="21"/>
                <w:szCs w:val="21"/>
                <w:lang w:val="en-US" w:eastAsia="zh-CN" w:bidi="ar"/>
              </w:rPr>
              <w:t>Description</w:t>
            </w:r>
          </w:p>
        </w:tc>
        <w:tc>
          <w:tcPr>
            <w:tcW w:w="3839" w:type="dxa"/>
            <w:tcBorders>
              <w:top w:val="single" w:color="E54C5E" w:themeColor="accent6" w:sz="8" w:space="0"/>
              <w:left w:val="nil"/>
              <w:bottom w:val="single" w:color="E54C5E" w:themeColor="accent6" w:sz="8" w:space="0"/>
              <w:right w:val="single" w:color="E54C5E" w:themeColor="accent6" w:sz="8" w:space="0"/>
            </w:tcBorders>
            <w:shd w:val="clear" w:color="auto" w:fill="E54C5E" w:themeFill="accent6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598A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i w:val="0"/>
                <w:iCs w:val="0"/>
                <w:caps w:val="0"/>
                <w:color w:val="FFFFFF"/>
                <w:spacing w:val="0"/>
                <w:kern w:val="0"/>
                <w:sz w:val="21"/>
                <w:szCs w:val="21"/>
                <w:lang w:val="en-US" w:eastAsia="zh-CN" w:bidi="ar"/>
              </w:rPr>
              <w:t>Page/Lines(estimated)</w:t>
            </w:r>
          </w:p>
        </w:tc>
      </w:tr>
      <w:tr w14:paraId="2BB35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single" w:color="E54C5E" w:themeColor="accent6" w:sz="8" w:space="0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41373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Title and abstract</w:t>
            </w:r>
          </w:p>
        </w:tc>
        <w:tc>
          <w:tcPr>
            <w:tcW w:w="758" w:type="dxa"/>
            <w:tcBorders>
              <w:top w:val="single" w:color="E54C5E" w:themeColor="accent6" w:sz="8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1657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color="E54C5E" w:themeColor="accent6" w:sz="8" w:space="0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1C8D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E54C5E" w:themeColor="accent6" w:sz="8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EAEA1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3839" w:type="dxa"/>
            <w:tcBorders>
              <w:top w:val="single" w:color="E54C5E" w:themeColor="accent6" w:sz="8" w:space="0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EEECC6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43A46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A6A71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Title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F233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1937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7C21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CE49A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 1 (Title)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“Dynamic Nomogram for Predicting Mortality in Critically Ill Patients with Diabetic Nephropathy: Development, SHAP Interpretation, and External Validation Using MIMIC-IV and eICU-CRD”</w:t>
            </w:r>
          </w:p>
        </w:tc>
      </w:tr>
      <w:tr w14:paraId="157B4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CB648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Abstract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FD601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CF3F6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6304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035C0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 2 (Abstract)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entire abstract (Background, Methods, Results, Conclusion)</w:t>
            </w:r>
          </w:p>
        </w:tc>
      </w:tr>
      <w:tr w14:paraId="03E4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70B3D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Introduction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1BB3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402C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87562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C95150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3BE1F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0B93F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Background and objectives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F73C1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6DC6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7DB0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Explain the medical context and rationale for developing/validating the model, including references to existing models.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1748E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 3-4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Introduction, paragraphs 1-3 (citations 1-9, 10-13, 14-18)</w:t>
            </w:r>
          </w:p>
        </w:tc>
      </w:tr>
      <w:tr w14:paraId="58D2B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D6F92E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2CFC4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FC2B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7377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Specify the objectives, including whether the study describes development or validation or both.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FABCF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 4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Introduction, last paragraph: “This study aimed to construct a web-based, interactive mortality risk prediction tool… develop and internally validate… and conduct multicenter external validation”</w:t>
            </w:r>
          </w:p>
        </w:tc>
      </w:tr>
      <w:tr w14:paraId="4D3D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3BCBF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Methods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60DC97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CCB8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7402E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17263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74EB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334B56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Source of data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4D62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D5806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2563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Describe study design or source of data (e.g., randomized trial, cohort, registry) separately for development and validation datasets.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0AAF5B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Database Overview (MIMIC-IV v3.0 for development; eICU-CRD v2.0 for validation)</w:t>
            </w:r>
          </w:p>
        </w:tc>
      </w:tr>
      <w:tr w14:paraId="3949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841654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0D43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72C2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CB4D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Specify key study dates (accrual, end of follow-up).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9A4C2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– MIMIC-IV: 2008-2022; eICU-CRD: 2014-2015</w:t>
            </w:r>
          </w:p>
        </w:tc>
      </w:tr>
      <w:tr w14:paraId="2F1A3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95DD2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Participants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9DB0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F548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456FA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Specify key elements of study setting (e.g., primary, secondary care, number and location of centers).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D0562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Database Overview (single center for MIMIC-IV; 208 hospitals across US for eICU-CRD)</w:t>
            </w:r>
          </w:p>
        </w:tc>
      </w:tr>
      <w:tr w14:paraId="55CB3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30701B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B105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A82C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0C46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Describe eligibility criteria for participants.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FB107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Patient inclusion criteria (ICD codes, exclusions, ICU stay &lt;24h exclusion for eICU-CRD)</w:t>
            </w:r>
          </w:p>
        </w:tc>
      </w:tr>
      <w:tr w14:paraId="28729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F9DF79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2FB9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AE5F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0C87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Give details of treatments received, if relevant.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E2406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n/a – not applicable (prediction model does not include treatment information)</w:t>
            </w:r>
          </w:p>
        </w:tc>
      </w:tr>
      <w:tr w14:paraId="054F0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7C092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Outcome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9A26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DB382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2FED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Clearly define the outcome that is predicted, including how and when assessed.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F0578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4-5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Data extraction: MIMIC cohort used 365-day mortality; eICU-CRD used in-hospital mortality</w:t>
            </w:r>
          </w:p>
        </w:tc>
      </w:tr>
      <w:tr w14:paraId="60A4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139486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FCF07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3654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490D9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Report any actions to blind assessment of the outcome.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0B4D06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n/a – retrospective database analysis, blinding not applicable</w:t>
            </w:r>
          </w:p>
        </w:tc>
      </w:tr>
      <w:tr w14:paraId="4FA74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F6C14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Predictors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29351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BF92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D967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Clearly define all predictors used, including how and when they were measured.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C1651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Data extraction (list of demographic, laboratory, comorbidity, and intervention variables)</w:t>
            </w:r>
          </w:p>
        </w:tc>
      </w:tr>
      <w:tr w14:paraId="24266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B5F16A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90D0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1F9F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26F6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Report any actions to blind assessment of predictors.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EB5DEB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n/a – retrospective database analysis, blinding not applicable</w:t>
            </w:r>
          </w:p>
        </w:tc>
      </w:tr>
      <w:tr w14:paraId="79144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EEF2C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Sample size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6B974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5CF6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2669E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Explain how study size was arrived at.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DC8DE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5-6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Model Development and Internal Validation (7:3 split with repeated cross-validation; EPV ratio ~78) – discussed in Limitations (Page 17)</w:t>
            </w:r>
          </w:p>
        </w:tc>
      </w:tr>
      <w:tr w14:paraId="43CDB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57303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Missing data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C98E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460F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E0A5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Describe how missing data were handled, including details of imputation methods.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CDE36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Handling of missing data and outliers (MICE with m=20 imputed datasets)</w:t>
            </w:r>
          </w:p>
        </w:tc>
      </w:tr>
      <w:tr w14:paraId="455FF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329607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Statistical analysis methods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81F5E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D6E7A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C344C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Describe how predictors were handled in the analyses.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F695C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5-6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Model Development (VIF, standardization, LASSO, univariate Cox, refitting)</w:t>
            </w:r>
          </w:p>
        </w:tc>
      </w:tr>
      <w:tr w14:paraId="7275D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DD5D04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D5C1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C9157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74D3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Specify type of model, all model-building procedures, and method for internal validation.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AF710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LASSO-Cox, 10-fold cross-validation, λ.1se, 7:3 split repeated 5 times</w:t>
            </w:r>
          </w:p>
        </w:tc>
      </w:tr>
      <w:tr w14:paraId="4932C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21CEA6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9A56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CB27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6482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If validating, describe how predictions were calculated.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FE5D8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External validation (logistic model refitted with same 14 predictors)</w:t>
            </w:r>
          </w:p>
        </w:tc>
      </w:tr>
      <w:tr w14:paraId="5B554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32D82B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681C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E383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C5138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Specify all measures used to assess model performance (e.g., C-index, calibration, Brier, DCA).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47227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5-6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C-index, calibration curves (bootstrap 500), DCA, Brier score, calibration intercept/slope, HL test</w:t>
            </w:r>
          </w:p>
        </w:tc>
      </w:tr>
      <w:tr w14:paraId="50ACD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7458EF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C17D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C813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93249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Describe any model updating (e.g., recalibration) arising from validation.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685E2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n/a – recalibration not performed (only recommended in Discussion)</w:t>
            </w:r>
          </w:p>
        </w:tc>
      </w:tr>
      <w:tr w14:paraId="12C32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1B895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Risk groups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281E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89FCA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EE3F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Specify all measures used to present the model (e.g., risk groups) and to assess performance.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5402A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Static and dynamic nomograms; risk score dichotomization in Results (Page 10)</w:t>
            </w:r>
          </w:p>
        </w:tc>
      </w:tr>
      <w:tr w14:paraId="32B5A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EB96F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Development vs. validation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BBC36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6B6B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69CBB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For validation, describe how predictions were calculated.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D1B79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External validation (logistic model refitted)</w:t>
            </w:r>
          </w:p>
        </w:tc>
      </w:tr>
      <w:tr w14:paraId="5EAA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F0B28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Results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B2D7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C18B7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02E36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5248AE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4FC1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8D142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Participants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FDCB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13a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B16D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5CE2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Describe flow of participants through the study, including number with and without outcome and follow-up summary.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CE0A9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6-7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Baseline Clinical Characteristics; </w:t>
            </w: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Figure 1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(flowchart)</w:t>
            </w:r>
          </w:p>
        </w:tc>
      </w:tr>
      <w:tr w14:paraId="7BF7C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4DF8DE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827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13b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28449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4C4E7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Describe participant characteristics (demographics, clinical features, predictors), including missing data.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3278D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6-7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Baseline Clinical Characteristics; </w:t>
            </w: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Tables 1 &amp; 2</w:t>
            </w:r>
          </w:p>
        </w:tc>
      </w:tr>
      <w:tr w14:paraId="48237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873F23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D088D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13c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0507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882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For validation, show comparison of important variables between development and validation datasets.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9BA33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6-7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“Significant differences between survival and death groups in both cohorts are detailed in Tables 1 and 2.”</w:t>
            </w:r>
          </w:p>
        </w:tc>
      </w:tr>
      <w:tr w14:paraId="28469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37042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Model development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9ED5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14a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92A11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EF81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Specify number of participants and outcome events in each analysis.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835E1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7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MIMIC-IV: 4,478 total (1,096 deaths)</w:t>
            </w:r>
          </w:p>
        </w:tc>
      </w:tr>
      <w:tr w14:paraId="73DE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6B25C7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3B96C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14b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8386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005B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If done, report unadjusted association between each candidate predictor and outcome.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D662F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Univariate survival analysis; </w:t>
            </w: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Table 3</w:t>
            </w:r>
          </w:p>
        </w:tc>
      </w:tr>
      <w:tr w14:paraId="4A730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1B71E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Model specification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4B1A5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15a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DF270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32B5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Present the full prediction model to allow predictions for individuals (coefficients, baseline survival, etc.).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90725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7-8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Model performance; </w:t>
            </w: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Figure 2d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(static nomogram); online Shiny app (URL provided)</w:t>
            </w:r>
          </w:p>
        </w:tc>
      </w:tr>
      <w:tr w14:paraId="63DB6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DA440E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5A71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15b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ED20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4108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Explain how to use the prediction model.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02174D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“static and dynamic nomograms, accessible at [URL]”; </w:t>
            </w: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Figure 2e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(dynamic nomogram interface)</w:t>
            </w:r>
          </w:p>
        </w:tc>
      </w:tr>
      <w:tr w14:paraId="56BA7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D5DA9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Model performance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05C0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E09C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6592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Report performance measures (with CIs) for the prediction model.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A0ABC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8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External validation results (AUC 0.784, 95% CI 0.732-0.837; Brier 0.085, 95% CI 0.071-0.104; intercept 0.476, 95% CI -0.207-1.199; slope 1.366, 95% CI 1.023-1.753; HL p=0.082)</w:t>
            </w:r>
          </w:p>
        </w:tc>
      </w:tr>
      <w:tr w14:paraId="44700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DDCF3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Model-updating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5B7D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CB57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FB7B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If done, report results from any model updating (e.g., recalibration).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EC333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n/a – not performed</w:t>
            </w:r>
          </w:p>
        </w:tc>
      </w:tr>
      <w:tr w14:paraId="44E3F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224CC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Discussion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20A5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787C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3631A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5DE3A1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D0AE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E595E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Limitations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F233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C242C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0125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Discuss limitations of the study (e.g., non-representative sample, missing data, overfitting).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A3C6E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Page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11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Limitations and Future Directions (7 bullet points)</w:t>
            </w:r>
          </w:p>
        </w:tc>
      </w:tr>
      <w:tr w14:paraId="7E17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E63FD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Interpretation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47F4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19a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4E455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1F5E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Give an overall interpretation of the main results, considering objectives, limitations, and similar studies.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8F0F5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8-9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Main Findings and Clinical Significance</w:t>
            </w:r>
          </w:p>
        </w:tc>
      </w:tr>
      <w:tr w14:paraId="7CDF4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60C7F7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4A51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19b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5ED5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C3B1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Discuss the potential clinical use of the model and implications for future research.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64C9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9-10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Implications for practice</w:t>
            </w:r>
          </w:p>
        </w:tc>
      </w:tr>
      <w:tr w14:paraId="0990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CC15D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Other information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CC0F4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A715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2C7C7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0492058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17A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9A605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Supplementary information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5410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F8A6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0A1C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Provide information about availability of supplementary resources (Web calculator, datasets, code).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A14C3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Data availability (Zenodo DOI, GitHub link); Shiny app URL in Results</w:t>
            </w:r>
          </w:p>
        </w:tc>
      </w:tr>
      <w:tr w14:paraId="72D1F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29" w:type="dxa"/>
            <w:tcBorders>
              <w:top w:val="nil"/>
              <w:left w:val="single" w:color="E54C5E" w:themeColor="accent6" w:sz="8" w:space="0"/>
              <w:bottom w:val="single" w:color="E54C5E" w:themeColor="accent6" w:sz="8" w:space="0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931AE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Funding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E54C5E" w:themeColor="accent6" w:sz="8" w:space="0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7B08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E54C5E" w:themeColor="accent6" w:sz="8" w:space="0"/>
              <w:right w:val="nil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5B1C7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D；V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E54C5E" w:themeColor="accent6" w:sz="8" w:space="0"/>
              <w:right w:val="nil"/>
            </w:tcBorders>
            <w:shd w:val="clear" w:color="auto" w:fill="FFFFFF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707D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Give source of funding and the role of the funders.</w:t>
            </w:r>
          </w:p>
        </w:tc>
        <w:tc>
          <w:tcPr>
            <w:tcW w:w="3839" w:type="dxa"/>
            <w:tcBorders>
              <w:top w:val="nil"/>
              <w:left w:val="nil"/>
              <w:bottom w:val="single" w:color="E54C5E" w:themeColor="accent6" w:sz="8" w:space="0"/>
              <w:right w:val="single" w:color="E54C5E" w:themeColor="accent6" w:sz="8" w:space="0"/>
            </w:tcBorders>
            <w:shd w:val="clear" w:color="auto" w:fill="FCEDEF" w:themeFill="accent6" w:themeFillTint="19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41159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Page </w:t>
            </w:r>
            <w:r>
              <w:rPr>
                <w:rFonts w:hint="eastAsia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  <w:bookmarkStart w:id="0" w:name="_GoBack"/>
            <w:bookmarkEnd w:id="0"/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– Funding (Guangzhou Science and Technology Plan Project, etc.)</w:t>
            </w:r>
          </w:p>
        </w:tc>
      </w:tr>
    </w:tbl>
    <w:p w14:paraId="5076A17A"/>
    <w:p w14:paraId="599A9F61"/>
    <w:p w14:paraId="1A52F734"/>
    <w:sectPr>
      <w:pgSz w:w="11906" w:h="16838"/>
      <w:pgMar w:top="1440" w:right="148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1" w:fontKey="{09F33018-767E-4EF6-90F9-899962D563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00A77"/>
    <w:rsid w:val="00923458"/>
    <w:rsid w:val="09D41E1C"/>
    <w:rsid w:val="0C0B3597"/>
    <w:rsid w:val="12D00A77"/>
    <w:rsid w:val="1639576D"/>
    <w:rsid w:val="2295141F"/>
    <w:rsid w:val="24801866"/>
    <w:rsid w:val="29D53327"/>
    <w:rsid w:val="2A060A90"/>
    <w:rsid w:val="2F8564EE"/>
    <w:rsid w:val="307E5E7A"/>
    <w:rsid w:val="313C26CD"/>
    <w:rsid w:val="31473450"/>
    <w:rsid w:val="360C5BE0"/>
    <w:rsid w:val="49492F9E"/>
    <w:rsid w:val="57F20CFE"/>
    <w:rsid w:val="59AD7026"/>
    <w:rsid w:val="608148DF"/>
    <w:rsid w:val="7875022C"/>
    <w:rsid w:val="7A10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customStyle="1" w:styleId="6">
    <w:name w:val="标题 2 字符"/>
    <w:link w:val="2"/>
    <w:autoRedefine/>
    <w:qFormat/>
    <w:uiPriority w:val="9"/>
    <w:rPr>
      <w:rFonts w:ascii="Calibri" w:hAnsi="Calibri" w:eastAsia="Times New Roman" w:cs="黑体"/>
      <w:bCs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2026-06-14T07:54:00Z</dcterms:created>
  <dc:creator>ShenghuaDU</dc:creator>
  <cp:lastModifiedBy>ShenghuaDU</cp:lastModifiedBy>
  <dcterms:modified xsi:type="dcterms:W3CDTF">2026-06-14T08:12:56Z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F9F01DD89A824690AA992267D6F7EAE0_11</vt:lpwstr>
  </property>
  <property fmtid="{D5CDD505-2E9C-101B-9397-08002B2CF9AE}" pid="4" name="KSOTemplateDocerSaveRecord">
    <vt:lpwstr>eyJoZGlkIjoiMmNiZTQ2NjVmYmJmMGNlZjIwZDI1NTI1ODEwMzlmYzciLCJ1c2VySWQiOiI1NTg5ODgyNTgifQ==</vt:lpwstr>
  </property>
</Properties>
</file>