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p w14:paraId="08493350" w14:textId="754F7FF9" w:rsidR="00E4260D" w:rsidRDefault="00240788">
      <w:pPr>
        <w:pStyle w:val="Title"/>
      </w:pPr>
      <w:r>
        <w:t xml:space="preserve">Supplementary Information: </w:t>
      </w:r>
      <w:r w:rsidRPr="006D61E8">
        <w:rPr>
          <w:i/>
          <w:iCs/>
        </w:rPr>
        <w:t>T</w:t>
      </w:r>
      <w:r w:rsidR="006D61E8" w:rsidRPr="006D61E8">
        <w:rPr>
          <w:i/>
          <w:iCs/>
        </w:rPr>
        <w:t>rails</w:t>
      </w:r>
      <w:r>
        <w:t xml:space="preserve"> data model and temporalization assumptions</w:t>
      </w:r>
    </w:p>
    <w:p w14:paraId="7B422CE5" w14:textId="7BB2AA3D" w:rsidR="00E4260D" w:rsidRDefault="00240788">
      <w:r>
        <w:t xml:space="preserve">This supplementary information accompanies the manuscript "A graph-matrix hybrid approach for deep temporalization in time-explicit LCA". It documents the data structures and assumptions needed to reproduce the demonstrations, with emphasis on the temporal distributions added to exchanges before </w:t>
      </w:r>
      <w:r w:rsidR="005F3D61" w:rsidRPr="005F3D61">
        <w:rPr>
          <w:i/>
          <w:iCs/>
        </w:rPr>
        <w:t>Trails</w:t>
      </w:r>
      <w:r>
        <w:t xml:space="preserve"> performs temporal routing and year-wise matrix solves.</w:t>
      </w:r>
    </w:p>
    <w:p w14:paraId="76BA4DC0" w14:textId="6F6B048C" w:rsidR="00E4260D" w:rsidRDefault="00240788">
      <w:r>
        <w:t xml:space="preserve">Usage examples and API details are maintained in the </w:t>
      </w:r>
      <w:hyperlink r:id="rId8" w:history="1">
        <w:r w:rsidRPr="008C7474">
          <w:rPr>
            <w:rStyle w:val="Hyperlink"/>
          </w:rPr>
          <w:t>package documentation</w:t>
        </w:r>
      </w:hyperlink>
      <w:r>
        <w:t xml:space="preserve"> and are not repeated in full here. See the local </w:t>
      </w:r>
      <w:proofErr w:type="spellStart"/>
      <w:r>
        <w:t>quickstart</w:t>
      </w:r>
      <w:proofErr w:type="spellEnd"/>
      <w:r>
        <w:t xml:space="preserve">, user guide, theory notes, LCIA method notes, impact dashboard notes, and API reference. Example notebooks are in </w:t>
      </w:r>
      <w:hyperlink r:id="rId9" w:history="1">
        <w:r w:rsidR="00557853" w:rsidRPr="00557853">
          <w:rPr>
            <w:rStyle w:val="Hyperlink"/>
          </w:rPr>
          <w:t xml:space="preserve">the repository </w:t>
        </w:r>
        <w:r w:rsidRPr="00557853">
          <w:rPr>
            <w:rStyle w:val="Hyperlink"/>
          </w:rPr>
          <w:t>examples</w:t>
        </w:r>
        <w:r w:rsidR="00557853" w:rsidRPr="00557853">
          <w:rPr>
            <w:rStyle w:val="Hyperlink"/>
          </w:rPr>
          <w:t xml:space="preserve"> folder</w:t>
        </w:r>
      </w:hyperlink>
      <w:r>
        <w:t>.</w:t>
      </w:r>
    </w:p>
    <w:sdt>
      <w:sdtPr>
        <w:rPr>
          <w:color w:val="auto"/>
          <w:sz w:val="20"/>
          <w:szCs w:val="20"/>
          <w:lang w:eastAsia="de-DE"/>
        </w:rPr>
        <w:id w:val="585731113"/>
        <w:docPartObj>
          <w:docPartGallery w:val="Table of Contents"/>
          <w:docPartUnique/>
        </w:docPartObj>
      </w:sdtPr>
      <w:sdtEndPr>
        <w:rPr>
          <w:noProof/>
        </w:rPr>
      </w:sdtEndPr>
      <w:sdtContent>
        <w:p w14:paraId="53A48EDE" w14:textId="31B1EA42" w:rsidR="00371937" w:rsidRPr="00185C5D" w:rsidRDefault="00371937" w:rsidP="00B169C0">
          <w:pPr>
            <w:pStyle w:val="TOCHeading"/>
            <w:numPr>
              <w:ilvl w:val="0"/>
              <w:numId w:val="0"/>
            </w:numPr>
            <w:rPr>
              <w:color w:val="auto"/>
              <w:sz w:val="20"/>
              <w:szCs w:val="20"/>
            </w:rPr>
          </w:pPr>
          <w:r w:rsidRPr="00185C5D">
            <w:rPr>
              <w:color w:val="auto"/>
              <w:sz w:val="20"/>
              <w:szCs w:val="20"/>
            </w:rPr>
            <w:t>Table of Contents</w:t>
          </w:r>
        </w:p>
        <w:p w14:paraId="57FB6232" w14:textId="22AB9B02" w:rsidR="00780962" w:rsidRPr="00185C5D" w:rsidRDefault="00371937">
          <w:pPr>
            <w:pStyle w:val="TOC1"/>
            <w:rPr>
              <w:rFonts w:ascii="Times New Roman" w:eastAsiaTheme="minorEastAsia" w:hAnsi="Times New Roman" w:cs="Times New Roman"/>
              <w:b w:val="0"/>
              <w:bCs w:val="0"/>
              <w:i w:val="0"/>
              <w:iCs w:val="0"/>
              <w:noProof/>
              <w:kern w:val="2"/>
              <w:sz w:val="20"/>
              <w:szCs w:val="20"/>
              <w:lang w:eastAsia="en-GB"/>
              <w14:ligatures w14:val="standardContextual"/>
            </w:rPr>
          </w:pPr>
          <w:r w:rsidRPr="00185C5D">
            <w:rPr>
              <w:rFonts w:ascii="Times New Roman" w:hAnsi="Times New Roman" w:cs="Times New Roman"/>
              <w:b w:val="0"/>
              <w:bCs w:val="0"/>
              <w:i w:val="0"/>
              <w:iCs w:val="0"/>
              <w:sz w:val="20"/>
              <w:szCs w:val="20"/>
            </w:rPr>
            <w:fldChar w:fldCharType="begin"/>
          </w:r>
          <w:r w:rsidRPr="00185C5D">
            <w:rPr>
              <w:rFonts w:ascii="Times New Roman" w:hAnsi="Times New Roman" w:cs="Times New Roman"/>
              <w:b w:val="0"/>
              <w:bCs w:val="0"/>
              <w:i w:val="0"/>
              <w:iCs w:val="0"/>
              <w:sz w:val="20"/>
              <w:szCs w:val="20"/>
            </w:rPr>
            <w:instrText xml:space="preserve"> TOC \o "1-3" \h \z \u </w:instrText>
          </w:r>
          <w:r w:rsidRPr="00185C5D">
            <w:rPr>
              <w:rFonts w:ascii="Times New Roman" w:hAnsi="Times New Roman" w:cs="Times New Roman"/>
              <w:b w:val="0"/>
              <w:bCs w:val="0"/>
              <w:i w:val="0"/>
              <w:iCs w:val="0"/>
              <w:sz w:val="20"/>
              <w:szCs w:val="20"/>
            </w:rPr>
            <w:fldChar w:fldCharType="separate"/>
          </w:r>
          <w:hyperlink w:anchor="_Toc233129498" w:history="1">
            <w:r w:rsidR="00780962" w:rsidRPr="00185C5D">
              <w:rPr>
                <w:rStyle w:val="Hyperlink"/>
                <w:rFonts w:ascii="Times New Roman" w:hAnsi="Times New Roman" w:cs="Times New Roman"/>
                <w:b w:val="0"/>
                <w:bCs w:val="0"/>
                <w:i w:val="0"/>
                <w:iCs w:val="0"/>
                <w:noProof/>
                <w:sz w:val="20"/>
                <w:szCs w:val="20"/>
              </w:rPr>
              <w:t>1.</w:t>
            </w:r>
            <w:r w:rsidR="00780962" w:rsidRPr="00185C5D">
              <w:rPr>
                <w:rFonts w:ascii="Times New Roman" w:eastAsiaTheme="minorEastAsia" w:hAnsi="Times New Roman" w:cs="Times New Roman"/>
                <w:b w:val="0"/>
                <w:bCs w:val="0"/>
                <w:i w:val="0"/>
                <w:iCs w:val="0"/>
                <w:noProof/>
                <w:kern w:val="2"/>
                <w:sz w:val="20"/>
                <w:szCs w:val="20"/>
                <w:lang w:eastAsia="en-GB"/>
                <w14:ligatures w14:val="standardContextual"/>
              </w:rPr>
              <w:tab/>
            </w:r>
            <w:r w:rsidR="00780962" w:rsidRPr="00185C5D">
              <w:rPr>
                <w:rStyle w:val="Hyperlink"/>
                <w:rFonts w:ascii="Times New Roman" w:hAnsi="Times New Roman" w:cs="Times New Roman"/>
                <w:b w:val="0"/>
                <w:bCs w:val="0"/>
                <w:i w:val="0"/>
                <w:iCs w:val="0"/>
                <w:noProof/>
                <w:sz w:val="20"/>
                <w:szCs w:val="20"/>
              </w:rPr>
              <w:t>Computational pathway</w:t>
            </w:r>
            <w:r w:rsidR="00780962" w:rsidRPr="00185C5D">
              <w:rPr>
                <w:rFonts w:ascii="Times New Roman" w:hAnsi="Times New Roman" w:cs="Times New Roman"/>
                <w:b w:val="0"/>
                <w:bCs w:val="0"/>
                <w:i w:val="0"/>
                <w:iCs w:val="0"/>
                <w:noProof/>
                <w:webHidden/>
                <w:sz w:val="20"/>
                <w:szCs w:val="20"/>
              </w:rPr>
              <w:tab/>
            </w:r>
            <w:r w:rsidR="00780962" w:rsidRPr="00185C5D">
              <w:rPr>
                <w:rFonts w:ascii="Times New Roman" w:hAnsi="Times New Roman" w:cs="Times New Roman"/>
                <w:b w:val="0"/>
                <w:bCs w:val="0"/>
                <w:i w:val="0"/>
                <w:iCs w:val="0"/>
                <w:noProof/>
                <w:webHidden/>
                <w:sz w:val="20"/>
                <w:szCs w:val="20"/>
              </w:rPr>
              <w:fldChar w:fldCharType="begin"/>
            </w:r>
            <w:r w:rsidR="00780962" w:rsidRPr="00185C5D">
              <w:rPr>
                <w:rFonts w:ascii="Times New Roman" w:hAnsi="Times New Roman" w:cs="Times New Roman"/>
                <w:b w:val="0"/>
                <w:bCs w:val="0"/>
                <w:i w:val="0"/>
                <w:iCs w:val="0"/>
                <w:noProof/>
                <w:webHidden/>
                <w:sz w:val="20"/>
                <w:szCs w:val="20"/>
              </w:rPr>
              <w:instrText xml:space="preserve"> PAGEREF _Toc233129498 \h </w:instrText>
            </w:r>
            <w:r w:rsidR="00780962" w:rsidRPr="00185C5D">
              <w:rPr>
                <w:rFonts w:ascii="Times New Roman" w:hAnsi="Times New Roman" w:cs="Times New Roman"/>
                <w:b w:val="0"/>
                <w:bCs w:val="0"/>
                <w:i w:val="0"/>
                <w:iCs w:val="0"/>
                <w:noProof/>
                <w:webHidden/>
                <w:sz w:val="20"/>
                <w:szCs w:val="20"/>
              </w:rPr>
            </w:r>
            <w:r w:rsidR="00780962" w:rsidRPr="00185C5D">
              <w:rPr>
                <w:rFonts w:ascii="Times New Roman" w:hAnsi="Times New Roman" w:cs="Times New Roman"/>
                <w:b w:val="0"/>
                <w:bCs w:val="0"/>
                <w:i w:val="0"/>
                <w:iCs w:val="0"/>
                <w:noProof/>
                <w:webHidden/>
                <w:sz w:val="20"/>
                <w:szCs w:val="20"/>
              </w:rPr>
              <w:fldChar w:fldCharType="separate"/>
            </w:r>
            <w:r w:rsidR="00EA18CE">
              <w:rPr>
                <w:rFonts w:ascii="Times New Roman" w:hAnsi="Times New Roman" w:cs="Times New Roman"/>
                <w:b w:val="0"/>
                <w:bCs w:val="0"/>
                <w:i w:val="0"/>
                <w:iCs w:val="0"/>
                <w:noProof/>
                <w:webHidden/>
                <w:sz w:val="20"/>
                <w:szCs w:val="20"/>
              </w:rPr>
              <w:t>2</w:t>
            </w:r>
            <w:r w:rsidR="00780962" w:rsidRPr="00185C5D">
              <w:rPr>
                <w:rFonts w:ascii="Times New Roman" w:hAnsi="Times New Roman" w:cs="Times New Roman"/>
                <w:b w:val="0"/>
                <w:bCs w:val="0"/>
                <w:i w:val="0"/>
                <w:iCs w:val="0"/>
                <w:noProof/>
                <w:webHidden/>
                <w:sz w:val="20"/>
                <w:szCs w:val="20"/>
              </w:rPr>
              <w:fldChar w:fldCharType="end"/>
            </w:r>
          </w:hyperlink>
        </w:p>
        <w:p w14:paraId="61F2F17A" w14:textId="1A740345" w:rsidR="00780962" w:rsidRPr="00185C5D" w:rsidRDefault="00780962">
          <w:pPr>
            <w:pStyle w:val="TOC1"/>
            <w:rPr>
              <w:rFonts w:ascii="Times New Roman" w:eastAsiaTheme="minorEastAsia" w:hAnsi="Times New Roman" w:cs="Times New Roman"/>
              <w:b w:val="0"/>
              <w:bCs w:val="0"/>
              <w:i w:val="0"/>
              <w:iCs w:val="0"/>
              <w:noProof/>
              <w:kern w:val="2"/>
              <w:sz w:val="20"/>
              <w:szCs w:val="20"/>
              <w:lang w:eastAsia="en-GB"/>
              <w14:ligatures w14:val="standardContextual"/>
            </w:rPr>
          </w:pPr>
          <w:hyperlink w:anchor="_Toc233129499" w:history="1">
            <w:r w:rsidRPr="00185C5D">
              <w:rPr>
                <w:rStyle w:val="Hyperlink"/>
                <w:rFonts w:ascii="Times New Roman" w:hAnsi="Times New Roman" w:cs="Times New Roman"/>
                <w:b w:val="0"/>
                <w:bCs w:val="0"/>
                <w:i w:val="0"/>
                <w:iCs w:val="0"/>
                <w:noProof/>
                <w:sz w:val="20"/>
                <w:szCs w:val="20"/>
              </w:rPr>
              <w:t>2.</w:t>
            </w:r>
            <w:r w:rsidRPr="00185C5D">
              <w:rPr>
                <w:rFonts w:ascii="Times New Roman" w:eastAsiaTheme="minorEastAsia" w:hAnsi="Times New Roman" w:cs="Times New Roman"/>
                <w:b w:val="0"/>
                <w:bCs w:val="0"/>
                <w:i w:val="0"/>
                <w:iCs w:val="0"/>
                <w:noProof/>
                <w:kern w:val="2"/>
                <w:sz w:val="20"/>
                <w:szCs w:val="20"/>
                <w:lang w:eastAsia="en-GB"/>
                <w14:ligatures w14:val="standardContextual"/>
              </w:rPr>
              <w:tab/>
            </w:r>
            <w:r w:rsidRPr="00185C5D">
              <w:rPr>
                <w:rStyle w:val="Hyperlink"/>
                <w:rFonts w:ascii="Times New Roman" w:hAnsi="Times New Roman" w:cs="Times New Roman"/>
                <w:b w:val="0"/>
                <w:bCs w:val="0"/>
                <w:i w:val="0"/>
                <w:iCs w:val="0"/>
                <w:noProof/>
                <w:sz w:val="20"/>
                <w:szCs w:val="20"/>
              </w:rPr>
              <w:t>Datapackage consumed by Trails</w:t>
            </w:r>
            <w:r w:rsidRPr="00185C5D">
              <w:rPr>
                <w:rFonts w:ascii="Times New Roman" w:hAnsi="Times New Roman" w:cs="Times New Roman"/>
                <w:b w:val="0"/>
                <w:bCs w:val="0"/>
                <w:i w:val="0"/>
                <w:iCs w:val="0"/>
                <w:noProof/>
                <w:webHidden/>
                <w:sz w:val="20"/>
                <w:szCs w:val="20"/>
              </w:rPr>
              <w:tab/>
            </w:r>
            <w:r w:rsidRPr="00185C5D">
              <w:rPr>
                <w:rFonts w:ascii="Times New Roman" w:hAnsi="Times New Roman" w:cs="Times New Roman"/>
                <w:b w:val="0"/>
                <w:bCs w:val="0"/>
                <w:i w:val="0"/>
                <w:iCs w:val="0"/>
                <w:noProof/>
                <w:webHidden/>
                <w:sz w:val="20"/>
                <w:szCs w:val="20"/>
              </w:rPr>
              <w:fldChar w:fldCharType="begin"/>
            </w:r>
            <w:r w:rsidRPr="00185C5D">
              <w:rPr>
                <w:rFonts w:ascii="Times New Roman" w:hAnsi="Times New Roman" w:cs="Times New Roman"/>
                <w:b w:val="0"/>
                <w:bCs w:val="0"/>
                <w:i w:val="0"/>
                <w:iCs w:val="0"/>
                <w:noProof/>
                <w:webHidden/>
                <w:sz w:val="20"/>
                <w:szCs w:val="20"/>
              </w:rPr>
              <w:instrText xml:space="preserve"> PAGEREF _Toc233129499 \h </w:instrText>
            </w:r>
            <w:r w:rsidRPr="00185C5D">
              <w:rPr>
                <w:rFonts w:ascii="Times New Roman" w:hAnsi="Times New Roman" w:cs="Times New Roman"/>
                <w:b w:val="0"/>
                <w:bCs w:val="0"/>
                <w:i w:val="0"/>
                <w:iCs w:val="0"/>
                <w:noProof/>
                <w:webHidden/>
                <w:sz w:val="20"/>
                <w:szCs w:val="20"/>
              </w:rPr>
            </w:r>
            <w:r w:rsidRPr="00185C5D">
              <w:rPr>
                <w:rFonts w:ascii="Times New Roman" w:hAnsi="Times New Roman" w:cs="Times New Roman"/>
                <w:b w:val="0"/>
                <w:bCs w:val="0"/>
                <w:i w:val="0"/>
                <w:iCs w:val="0"/>
                <w:noProof/>
                <w:webHidden/>
                <w:sz w:val="20"/>
                <w:szCs w:val="20"/>
              </w:rPr>
              <w:fldChar w:fldCharType="separate"/>
            </w:r>
            <w:r w:rsidR="00EA18CE">
              <w:rPr>
                <w:rFonts w:ascii="Times New Roman" w:hAnsi="Times New Roman" w:cs="Times New Roman"/>
                <w:b w:val="0"/>
                <w:bCs w:val="0"/>
                <w:i w:val="0"/>
                <w:iCs w:val="0"/>
                <w:noProof/>
                <w:webHidden/>
                <w:sz w:val="20"/>
                <w:szCs w:val="20"/>
              </w:rPr>
              <w:t>3</w:t>
            </w:r>
            <w:r w:rsidRPr="00185C5D">
              <w:rPr>
                <w:rFonts w:ascii="Times New Roman" w:hAnsi="Times New Roman" w:cs="Times New Roman"/>
                <w:b w:val="0"/>
                <w:bCs w:val="0"/>
                <w:i w:val="0"/>
                <w:iCs w:val="0"/>
                <w:noProof/>
                <w:webHidden/>
                <w:sz w:val="20"/>
                <w:szCs w:val="20"/>
              </w:rPr>
              <w:fldChar w:fldCharType="end"/>
            </w:r>
          </w:hyperlink>
        </w:p>
        <w:p w14:paraId="4026C2F1" w14:textId="6906BDC8" w:rsidR="00780962" w:rsidRPr="00185C5D" w:rsidRDefault="00780962">
          <w:pPr>
            <w:pStyle w:val="TOC2"/>
            <w:tabs>
              <w:tab w:val="left" w:pos="800"/>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00" w:history="1">
            <w:r w:rsidRPr="00185C5D">
              <w:rPr>
                <w:rStyle w:val="Hyperlink"/>
                <w:rFonts w:ascii="Times New Roman" w:hAnsi="Times New Roman" w:cs="Times New Roman"/>
                <w:b w:val="0"/>
                <w:bCs w:val="0"/>
                <w:noProof/>
                <w:sz w:val="20"/>
                <w:szCs w:val="20"/>
              </w:rPr>
              <w:t>2.1</w:t>
            </w:r>
            <w:r w:rsidRPr="00185C5D">
              <w:rPr>
                <w:rFonts w:ascii="Times New Roman" w:eastAsiaTheme="minorEastAsia" w:hAnsi="Times New Roman" w:cs="Times New Roman"/>
                <w:b w:val="0"/>
                <w:bCs w:val="0"/>
                <w:noProof/>
                <w:kern w:val="2"/>
                <w:sz w:val="20"/>
                <w:szCs w:val="20"/>
                <w:lang w:eastAsia="en-GB"/>
                <w14:ligatures w14:val="standardContextual"/>
              </w:rPr>
              <w:tab/>
            </w:r>
            <w:r w:rsidRPr="00185C5D">
              <w:rPr>
                <w:rStyle w:val="Hyperlink"/>
                <w:rFonts w:ascii="Times New Roman" w:hAnsi="Times New Roman" w:cs="Times New Roman"/>
                <w:b w:val="0"/>
                <w:bCs w:val="0"/>
                <w:noProof/>
                <w:sz w:val="20"/>
                <w:szCs w:val="20"/>
              </w:rPr>
              <w:t>Temporal distributions</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_Toc233129500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5</w:t>
            </w:r>
            <w:r w:rsidRPr="00185C5D">
              <w:rPr>
                <w:rFonts w:ascii="Times New Roman" w:hAnsi="Times New Roman" w:cs="Times New Roman"/>
                <w:b w:val="0"/>
                <w:bCs w:val="0"/>
                <w:noProof/>
                <w:webHidden/>
                <w:sz w:val="20"/>
                <w:szCs w:val="20"/>
              </w:rPr>
              <w:fldChar w:fldCharType="end"/>
            </w:r>
          </w:hyperlink>
        </w:p>
        <w:p w14:paraId="2A11676D" w14:textId="207BA7BD" w:rsidR="00780962" w:rsidRPr="00185C5D" w:rsidRDefault="00780962">
          <w:pPr>
            <w:pStyle w:val="TOC2"/>
            <w:tabs>
              <w:tab w:val="left" w:pos="800"/>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01" w:history="1">
            <w:r w:rsidRPr="00185C5D">
              <w:rPr>
                <w:rStyle w:val="Hyperlink"/>
                <w:rFonts w:ascii="Times New Roman" w:hAnsi="Times New Roman" w:cs="Times New Roman"/>
                <w:b w:val="0"/>
                <w:bCs w:val="0"/>
                <w:noProof/>
                <w:sz w:val="20"/>
                <w:szCs w:val="20"/>
              </w:rPr>
              <w:t>2.2</w:t>
            </w:r>
            <w:r w:rsidRPr="00185C5D">
              <w:rPr>
                <w:rFonts w:ascii="Times New Roman" w:eastAsiaTheme="minorEastAsia" w:hAnsi="Times New Roman" w:cs="Times New Roman"/>
                <w:b w:val="0"/>
                <w:bCs w:val="0"/>
                <w:noProof/>
                <w:kern w:val="2"/>
                <w:sz w:val="20"/>
                <w:szCs w:val="20"/>
                <w:lang w:eastAsia="en-GB"/>
                <w14:ligatures w14:val="standardContextual"/>
              </w:rPr>
              <w:tab/>
            </w:r>
            <w:r w:rsidRPr="00185C5D">
              <w:rPr>
                <w:rStyle w:val="Hyperlink"/>
                <w:rFonts w:ascii="Times New Roman" w:hAnsi="Times New Roman" w:cs="Times New Roman"/>
                <w:b w:val="0"/>
                <w:bCs w:val="0"/>
                <w:noProof/>
                <w:sz w:val="20"/>
                <w:szCs w:val="20"/>
              </w:rPr>
              <w:t>Amount semantics</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_Toc233129501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8</w:t>
            </w:r>
            <w:r w:rsidRPr="00185C5D">
              <w:rPr>
                <w:rFonts w:ascii="Times New Roman" w:hAnsi="Times New Roman" w:cs="Times New Roman"/>
                <w:b w:val="0"/>
                <w:bCs w:val="0"/>
                <w:noProof/>
                <w:webHidden/>
                <w:sz w:val="20"/>
                <w:szCs w:val="20"/>
              </w:rPr>
              <w:fldChar w:fldCharType="end"/>
            </w:r>
          </w:hyperlink>
        </w:p>
        <w:p w14:paraId="78B98C32" w14:textId="0DD2CD74" w:rsidR="00780962" w:rsidRPr="00185C5D" w:rsidRDefault="00780962">
          <w:pPr>
            <w:pStyle w:val="TOC2"/>
            <w:tabs>
              <w:tab w:val="left" w:pos="800"/>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02" w:history="1">
            <w:r w:rsidRPr="00185C5D">
              <w:rPr>
                <w:rStyle w:val="Hyperlink"/>
                <w:rFonts w:ascii="Times New Roman" w:hAnsi="Times New Roman" w:cs="Times New Roman"/>
                <w:b w:val="0"/>
                <w:bCs w:val="0"/>
                <w:noProof/>
                <w:sz w:val="20"/>
                <w:szCs w:val="20"/>
              </w:rPr>
              <w:t>2.3</w:t>
            </w:r>
            <w:r w:rsidRPr="00185C5D">
              <w:rPr>
                <w:rFonts w:ascii="Times New Roman" w:eastAsiaTheme="minorEastAsia" w:hAnsi="Times New Roman" w:cs="Times New Roman"/>
                <w:b w:val="0"/>
                <w:bCs w:val="0"/>
                <w:noProof/>
                <w:kern w:val="2"/>
                <w:sz w:val="20"/>
                <w:szCs w:val="20"/>
                <w:lang w:eastAsia="en-GB"/>
                <w14:ligatures w14:val="standardContextual"/>
              </w:rPr>
              <w:tab/>
            </w:r>
            <w:r w:rsidRPr="00185C5D">
              <w:rPr>
                <w:rStyle w:val="Hyperlink"/>
                <w:rFonts w:ascii="Times New Roman" w:hAnsi="Times New Roman" w:cs="Times New Roman"/>
                <w:b w:val="0"/>
                <w:bCs w:val="0"/>
                <w:noProof/>
                <w:sz w:val="20"/>
                <w:szCs w:val="20"/>
              </w:rPr>
              <w:t>Annual resolution</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_Toc233129502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8</w:t>
            </w:r>
            <w:r w:rsidRPr="00185C5D">
              <w:rPr>
                <w:rFonts w:ascii="Times New Roman" w:hAnsi="Times New Roman" w:cs="Times New Roman"/>
                <w:b w:val="0"/>
                <w:bCs w:val="0"/>
                <w:noProof/>
                <w:webHidden/>
                <w:sz w:val="20"/>
                <w:szCs w:val="20"/>
              </w:rPr>
              <w:fldChar w:fldCharType="end"/>
            </w:r>
          </w:hyperlink>
        </w:p>
        <w:p w14:paraId="014464EF" w14:textId="72E875D4" w:rsidR="00780962" w:rsidRPr="00185C5D" w:rsidRDefault="00780962">
          <w:pPr>
            <w:pStyle w:val="TOC1"/>
            <w:rPr>
              <w:rFonts w:ascii="Times New Roman" w:eastAsiaTheme="minorEastAsia" w:hAnsi="Times New Roman" w:cs="Times New Roman"/>
              <w:b w:val="0"/>
              <w:bCs w:val="0"/>
              <w:i w:val="0"/>
              <w:iCs w:val="0"/>
              <w:noProof/>
              <w:kern w:val="2"/>
              <w:sz w:val="20"/>
              <w:szCs w:val="20"/>
              <w:lang w:eastAsia="en-GB"/>
              <w14:ligatures w14:val="standardContextual"/>
            </w:rPr>
          </w:pPr>
          <w:hyperlink w:anchor="_Toc233129503" w:history="1">
            <w:r w:rsidRPr="00185C5D">
              <w:rPr>
                <w:rStyle w:val="Hyperlink"/>
                <w:rFonts w:ascii="Times New Roman" w:hAnsi="Times New Roman" w:cs="Times New Roman"/>
                <w:b w:val="0"/>
                <w:bCs w:val="0"/>
                <w:i w:val="0"/>
                <w:iCs w:val="0"/>
                <w:noProof/>
                <w:sz w:val="20"/>
                <w:szCs w:val="20"/>
              </w:rPr>
              <w:t>3</w:t>
            </w:r>
            <w:r w:rsidRPr="00185C5D">
              <w:rPr>
                <w:rFonts w:ascii="Times New Roman" w:eastAsiaTheme="minorEastAsia" w:hAnsi="Times New Roman" w:cs="Times New Roman"/>
                <w:b w:val="0"/>
                <w:bCs w:val="0"/>
                <w:i w:val="0"/>
                <w:iCs w:val="0"/>
                <w:noProof/>
                <w:kern w:val="2"/>
                <w:sz w:val="20"/>
                <w:szCs w:val="20"/>
                <w:lang w:eastAsia="en-GB"/>
                <w14:ligatures w14:val="standardContextual"/>
              </w:rPr>
              <w:tab/>
            </w:r>
            <w:r w:rsidRPr="00185C5D">
              <w:rPr>
                <w:rStyle w:val="Hyperlink"/>
                <w:rFonts w:ascii="Times New Roman" w:hAnsi="Times New Roman" w:cs="Times New Roman"/>
                <w:b w:val="0"/>
                <w:bCs w:val="0"/>
                <w:i w:val="0"/>
                <w:iCs w:val="0"/>
                <w:noProof/>
                <w:sz w:val="20"/>
                <w:szCs w:val="20"/>
              </w:rPr>
              <w:t>Temporal routing and year-wise solving</w:t>
            </w:r>
            <w:r w:rsidRPr="00185C5D">
              <w:rPr>
                <w:rFonts w:ascii="Times New Roman" w:hAnsi="Times New Roman" w:cs="Times New Roman"/>
                <w:b w:val="0"/>
                <w:bCs w:val="0"/>
                <w:i w:val="0"/>
                <w:iCs w:val="0"/>
                <w:noProof/>
                <w:webHidden/>
                <w:sz w:val="20"/>
                <w:szCs w:val="20"/>
              </w:rPr>
              <w:tab/>
            </w:r>
            <w:r w:rsidRPr="00185C5D">
              <w:rPr>
                <w:rFonts w:ascii="Times New Roman" w:hAnsi="Times New Roman" w:cs="Times New Roman"/>
                <w:b w:val="0"/>
                <w:bCs w:val="0"/>
                <w:i w:val="0"/>
                <w:iCs w:val="0"/>
                <w:noProof/>
                <w:webHidden/>
                <w:sz w:val="20"/>
                <w:szCs w:val="20"/>
              </w:rPr>
              <w:fldChar w:fldCharType="begin"/>
            </w:r>
            <w:r w:rsidRPr="00185C5D">
              <w:rPr>
                <w:rFonts w:ascii="Times New Roman" w:hAnsi="Times New Roman" w:cs="Times New Roman"/>
                <w:b w:val="0"/>
                <w:bCs w:val="0"/>
                <w:i w:val="0"/>
                <w:iCs w:val="0"/>
                <w:noProof/>
                <w:webHidden/>
                <w:sz w:val="20"/>
                <w:szCs w:val="20"/>
              </w:rPr>
              <w:instrText xml:space="preserve"> PAGEREF _Toc233129503 \h </w:instrText>
            </w:r>
            <w:r w:rsidRPr="00185C5D">
              <w:rPr>
                <w:rFonts w:ascii="Times New Roman" w:hAnsi="Times New Roman" w:cs="Times New Roman"/>
                <w:b w:val="0"/>
                <w:bCs w:val="0"/>
                <w:i w:val="0"/>
                <w:iCs w:val="0"/>
                <w:noProof/>
                <w:webHidden/>
                <w:sz w:val="20"/>
                <w:szCs w:val="20"/>
              </w:rPr>
            </w:r>
            <w:r w:rsidRPr="00185C5D">
              <w:rPr>
                <w:rFonts w:ascii="Times New Roman" w:hAnsi="Times New Roman" w:cs="Times New Roman"/>
                <w:b w:val="0"/>
                <w:bCs w:val="0"/>
                <w:i w:val="0"/>
                <w:iCs w:val="0"/>
                <w:noProof/>
                <w:webHidden/>
                <w:sz w:val="20"/>
                <w:szCs w:val="20"/>
              </w:rPr>
              <w:fldChar w:fldCharType="separate"/>
            </w:r>
            <w:r w:rsidR="00EA18CE">
              <w:rPr>
                <w:rFonts w:ascii="Times New Roman" w:hAnsi="Times New Roman" w:cs="Times New Roman"/>
                <w:b w:val="0"/>
                <w:bCs w:val="0"/>
                <w:i w:val="0"/>
                <w:iCs w:val="0"/>
                <w:noProof/>
                <w:webHidden/>
                <w:sz w:val="20"/>
                <w:szCs w:val="20"/>
              </w:rPr>
              <w:t>8</w:t>
            </w:r>
            <w:r w:rsidRPr="00185C5D">
              <w:rPr>
                <w:rFonts w:ascii="Times New Roman" w:hAnsi="Times New Roman" w:cs="Times New Roman"/>
                <w:b w:val="0"/>
                <w:bCs w:val="0"/>
                <w:i w:val="0"/>
                <w:iCs w:val="0"/>
                <w:noProof/>
                <w:webHidden/>
                <w:sz w:val="20"/>
                <w:szCs w:val="20"/>
              </w:rPr>
              <w:fldChar w:fldCharType="end"/>
            </w:r>
          </w:hyperlink>
        </w:p>
        <w:p w14:paraId="37E0E796" w14:textId="432C737A" w:rsidR="00780962" w:rsidRPr="00185C5D" w:rsidRDefault="00780962">
          <w:pPr>
            <w:pStyle w:val="TOC1"/>
            <w:rPr>
              <w:rFonts w:ascii="Times New Roman" w:eastAsiaTheme="minorEastAsia" w:hAnsi="Times New Roman" w:cs="Times New Roman"/>
              <w:b w:val="0"/>
              <w:bCs w:val="0"/>
              <w:i w:val="0"/>
              <w:iCs w:val="0"/>
              <w:noProof/>
              <w:kern w:val="2"/>
              <w:sz w:val="20"/>
              <w:szCs w:val="20"/>
              <w:lang w:eastAsia="en-GB"/>
              <w14:ligatures w14:val="standardContextual"/>
            </w:rPr>
          </w:pPr>
          <w:hyperlink w:anchor="_Toc233129504" w:history="1">
            <w:r w:rsidRPr="00185C5D">
              <w:rPr>
                <w:rStyle w:val="Hyperlink"/>
                <w:rFonts w:ascii="Times New Roman" w:hAnsi="Times New Roman" w:cs="Times New Roman"/>
                <w:b w:val="0"/>
                <w:bCs w:val="0"/>
                <w:i w:val="0"/>
                <w:iCs w:val="0"/>
                <w:noProof/>
                <w:sz w:val="20"/>
                <w:szCs w:val="20"/>
              </w:rPr>
              <w:t>4</w:t>
            </w:r>
            <w:r w:rsidRPr="00185C5D">
              <w:rPr>
                <w:rFonts w:ascii="Times New Roman" w:eastAsiaTheme="minorEastAsia" w:hAnsi="Times New Roman" w:cs="Times New Roman"/>
                <w:b w:val="0"/>
                <w:bCs w:val="0"/>
                <w:i w:val="0"/>
                <w:iCs w:val="0"/>
                <w:noProof/>
                <w:kern w:val="2"/>
                <w:sz w:val="20"/>
                <w:szCs w:val="20"/>
                <w:lang w:eastAsia="en-GB"/>
                <w14:ligatures w14:val="standardContextual"/>
              </w:rPr>
              <w:tab/>
            </w:r>
            <w:r w:rsidRPr="00185C5D">
              <w:rPr>
                <w:rStyle w:val="Hyperlink"/>
                <w:rFonts w:ascii="Times New Roman" w:hAnsi="Times New Roman" w:cs="Times New Roman"/>
                <w:b w:val="0"/>
                <w:bCs w:val="0"/>
                <w:i w:val="0"/>
                <w:iCs w:val="0"/>
                <w:noProof/>
                <w:sz w:val="20"/>
                <w:szCs w:val="20"/>
              </w:rPr>
              <w:t>Temporal distributions added by Premise</w:t>
            </w:r>
            <w:r w:rsidRPr="00185C5D">
              <w:rPr>
                <w:rFonts w:ascii="Times New Roman" w:hAnsi="Times New Roman" w:cs="Times New Roman"/>
                <w:b w:val="0"/>
                <w:bCs w:val="0"/>
                <w:i w:val="0"/>
                <w:iCs w:val="0"/>
                <w:noProof/>
                <w:webHidden/>
                <w:sz w:val="20"/>
                <w:szCs w:val="20"/>
              </w:rPr>
              <w:tab/>
            </w:r>
            <w:r w:rsidRPr="00185C5D">
              <w:rPr>
                <w:rFonts w:ascii="Times New Roman" w:hAnsi="Times New Roman" w:cs="Times New Roman"/>
                <w:b w:val="0"/>
                <w:bCs w:val="0"/>
                <w:i w:val="0"/>
                <w:iCs w:val="0"/>
                <w:noProof/>
                <w:webHidden/>
                <w:sz w:val="20"/>
                <w:szCs w:val="20"/>
              </w:rPr>
              <w:fldChar w:fldCharType="begin"/>
            </w:r>
            <w:r w:rsidRPr="00185C5D">
              <w:rPr>
                <w:rFonts w:ascii="Times New Roman" w:hAnsi="Times New Roman" w:cs="Times New Roman"/>
                <w:b w:val="0"/>
                <w:bCs w:val="0"/>
                <w:i w:val="0"/>
                <w:iCs w:val="0"/>
                <w:noProof/>
                <w:webHidden/>
                <w:sz w:val="20"/>
                <w:szCs w:val="20"/>
              </w:rPr>
              <w:instrText xml:space="preserve"> PAGEREF _Toc233129504 \h </w:instrText>
            </w:r>
            <w:r w:rsidRPr="00185C5D">
              <w:rPr>
                <w:rFonts w:ascii="Times New Roman" w:hAnsi="Times New Roman" w:cs="Times New Roman"/>
                <w:b w:val="0"/>
                <w:bCs w:val="0"/>
                <w:i w:val="0"/>
                <w:iCs w:val="0"/>
                <w:noProof/>
                <w:webHidden/>
                <w:sz w:val="20"/>
                <w:szCs w:val="20"/>
              </w:rPr>
            </w:r>
            <w:r w:rsidRPr="00185C5D">
              <w:rPr>
                <w:rFonts w:ascii="Times New Roman" w:hAnsi="Times New Roman" w:cs="Times New Roman"/>
                <w:b w:val="0"/>
                <w:bCs w:val="0"/>
                <w:i w:val="0"/>
                <w:iCs w:val="0"/>
                <w:noProof/>
                <w:webHidden/>
                <w:sz w:val="20"/>
                <w:szCs w:val="20"/>
              </w:rPr>
              <w:fldChar w:fldCharType="separate"/>
            </w:r>
            <w:r w:rsidR="00EA18CE">
              <w:rPr>
                <w:rFonts w:ascii="Times New Roman" w:hAnsi="Times New Roman" w:cs="Times New Roman"/>
                <w:b w:val="0"/>
                <w:bCs w:val="0"/>
                <w:i w:val="0"/>
                <w:iCs w:val="0"/>
                <w:noProof/>
                <w:webHidden/>
                <w:sz w:val="20"/>
                <w:szCs w:val="20"/>
              </w:rPr>
              <w:t>9</w:t>
            </w:r>
            <w:r w:rsidRPr="00185C5D">
              <w:rPr>
                <w:rFonts w:ascii="Times New Roman" w:hAnsi="Times New Roman" w:cs="Times New Roman"/>
                <w:b w:val="0"/>
                <w:bCs w:val="0"/>
                <w:i w:val="0"/>
                <w:iCs w:val="0"/>
                <w:noProof/>
                <w:webHidden/>
                <w:sz w:val="20"/>
                <w:szCs w:val="20"/>
              </w:rPr>
              <w:fldChar w:fldCharType="end"/>
            </w:r>
          </w:hyperlink>
        </w:p>
        <w:p w14:paraId="4A213943" w14:textId="43451731" w:rsidR="00780962" w:rsidRPr="00185C5D" w:rsidRDefault="00780962">
          <w:pPr>
            <w:pStyle w:val="TOC2"/>
            <w:tabs>
              <w:tab w:val="left" w:pos="800"/>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05" w:history="1">
            <w:r w:rsidRPr="00185C5D">
              <w:rPr>
                <w:rStyle w:val="Hyperlink"/>
                <w:rFonts w:ascii="Times New Roman" w:hAnsi="Times New Roman" w:cs="Times New Roman"/>
                <w:b w:val="0"/>
                <w:bCs w:val="0"/>
                <w:noProof/>
                <w:sz w:val="20"/>
                <w:szCs w:val="20"/>
              </w:rPr>
              <w:t>4.1</w:t>
            </w:r>
            <w:r w:rsidRPr="00185C5D">
              <w:rPr>
                <w:rFonts w:ascii="Times New Roman" w:eastAsiaTheme="minorEastAsia" w:hAnsi="Times New Roman" w:cs="Times New Roman"/>
                <w:b w:val="0"/>
                <w:bCs w:val="0"/>
                <w:noProof/>
                <w:kern w:val="2"/>
                <w:sz w:val="20"/>
                <w:szCs w:val="20"/>
                <w:lang w:eastAsia="en-GB"/>
                <w14:ligatures w14:val="standardContextual"/>
              </w:rPr>
              <w:tab/>
            </w:r>
            <w:r w:rsidRPr="00185C5D">
              <w:rPr>
                <w:rStyle w:val="Hyperlink"/>
                <w:rFonts w:ascii="Times New Roman" w:hAnsi="Times New Roman" w:cs="Times New Roman"/>
                <w:b w:val="0"/>
                <w:bCs w:val="0"/>
                <w:noProof/>
                <w:sz w:val="20"/>
                <w:szCs w:val="20"/>
              </w:rPr>
              <w:t>Tags and direct effects</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_Toc233129505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11</w:t>
            </w:r>
            <w:r w:rsidRPr="00185C5D">
              <w:rPr>
                <w:rFonts w:ascii="Times New Roman" w:hAnsi="Times New Roman" w:cs="Times New Roman"/>
                <w:b w:val="0"/>
                <w:bCs w:val="0"/>
                <w:noProof/>
                <w:webHidden/>
                <w:sz w:val="20"/>
                <w:szCs w:val="20"/>
              </w:rPr>
              <w:fldChar w:fldCharType="end"/>
            </w:r>
          </w:hyperlink>
        </w:p>
        <w:p w14:paraId="779EA77D" w14:textId="1F896FD6" w:rsidR="00780962" w:rsidRPr="00185C5D" w:rsidRDefault="00780962">
          <w:pPr>
            <w:pStyle w:val="TOC2"/>
            <w:tabs>
              <w:tab w:val="left" w:pos="800"/>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06" w:history="1">
            <w:r w:rsidRPr="00185C5D">
              <w:rPr>
                <w:rStyle w:val="Hyperlink"/>
                <w:rFonts w:ascii="Times New Roman" w:hAnsi="Times New Roman" w:cs="Times New Roman"/>
                <w:b w:val="0"/>
                <w:bCs w:val="0"/>
                <w:noProof/>
                <w:sz w:val="20"/>
                <w:szCs w:val="20"/>
              </w:rPr>
              <w:t>4.2</w:t>
            </w:r>
            <w:r w:rsidRPr="00185C5D">
              <w:rPr>
                <w:rFonts w:ascii="Times New Roman" w:eastAsiaTheme="minorEastAsia" w:hAnsi="Times New Roman" w:cs="Times New Roman"/>
                <w:b w:val="0"/>
                <w:bCs w:val="0"/>
                <w:noProof/>
                <w:kern w:val="2"/>
                <w:sz w:val="20"/>
                <w:szCs w:val="20"/>
                <w:lang w:eastAsia="en-GB"/>
                <w14:ligatures w14:val="standardContextual"/>
              </w:rPr>
              <w:tab/>
            </w:r>
            <w:r w:rsidRPr="00185C5D">
              <w:rPr>
                <w:rStyle w:val="Hyperlink"/>
                <w:rFonts w:ascii="Times New Roman" w:hAnsi="Times New Roman" w:cs="Times New Roman"/>
                <w:b w:val="0"/>
                <w:bCs w:val="0"/>
                <w:noProof/>
                <w:sz w:val="20"/>
                <w:szCs w:val="20"/>
              </w:rPr>
              <w:t>Biomass growth and biogenic uptake</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_Toc233129506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13</w:t>
            </w:r>
            <w:r w:rsidRPr="00185C5D">
              <w:rPr>
                <w:rFonts w:ascii="Times New Roman" w:hAnsi="Times New Roman" w:cs="Times New Roman"/>
                <w:b w:val="0"/>
                <w:bCs w:val="0"/>
                <w:noProof/>
                <w:webHidden/>
                <w:sz w:val="20"/>
                <w:szCs w:val="20"/>
              </w:rPr>
              <w:fldChar w:fldCharType="end"/>
            </w:r>
          </w:hyperlink>
        </w:p>
        <w:p w14:paraId="1C8C52AF" w14:textId="7DA35BF4" w:rsidR="00780962" w:rsidRPr="00185C5D" w:rsidRDefault="00780962">
          <w:pPr>
            <w:pStyle w:val="TOC2"/>
            <w:tabs>
              <w:tab w:val="left" w:pos="800"/>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07" w:history="1">
            <w:r w:rsidRPr="00185C5D">
              <w:rPr>
                <w:rStyle w:val="Hyperlink"/>
                <w:rFonts w:ascii="Times New Roman" w:hAnsi="Times New Roman" w:cs="Times New Roman"/>
                <w:b w:val="0"/>
                <w:bCs w:val="0"/>
                <w:noProof/>
                <w:sz w:val="20"/>
                <w:szCs w:val="20"/>
              </w:rPr>
              <w:t>4.3</w:t>
            </w:r>
            <w:r w:rsidRPr="00185C5D">
              <w:rPr>
                <w:rFonts w:ascii="Times New Roman" w:eastAsiaTheme="minorEastAsia" w:hAnsi="Times New Roman" w:cs="Times New Roman"/>
                <w:b w:val="0"/>
                <w:bCs w:val="0"/>
                <w:noProof/>
                <w:kern w:val="2"/>
                <w:sz w:val="20"/>
                <w:szCs w:val="20"/>
                <w:lang w:eastAsia="en-GB"/>
                <w14:ligatures w14:val="standardContextual"/>
              </w:rPr>
              <w:tab/>
            </w:r>
            <w:r w:rsidRPr="00185C5D">
              <w:rPr>
                <w:rStyle w:val="Hyperlink"/>
                <w:rFonts w:ascii="Times New Roman" w:hAnsi="Times New Roman" w:cs="Times New Roman"/>
                <w:b w:val="0"/>
                <w:bCs w:val="0"/>
                <w:noProof/>
                <w:sz w:val="20"/>
                <w:szCs w:val="20"/>
              </w:rPr>
              <w:t>Stock assets and fleet vintages</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_Toc233129507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18</w:t>
            </w:r>
            <w:r w:rsidRPr="00185C5D">
              <w:rPr>
                <w:rFonts w:ascii="Times New Roman" w:hAnsi="Times New Roman" w:cs="Times New Roman"/>
                <w:b w:val="0"/>
                <w:bCs w:val="0"/>
                <w:noProof/>
                <w:webHidden/>
                <w:sz w:val="20"/>
                <w:szCs w:val="20"/>
              </w:rPr>
              <w:fldChar w:fldCharType="end"/>
            </w:r>
          </w:hyperlink>
        </w:p>
        <w:p w14:paraId="4E4CC92F" w14:textId="71A32099" w:rsidR="00780962" w:rsidRPr="00185C5D" w:rsidRDefault="00780962">
          <w:pPr>
            <w:pStyle w:val="TOC2"/>
            <w:tabs>
              <w:tab w:val="left" w:pos="800"/>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08" w:history="1">
            <w:r w:rsidRPr="00185C5D">
              <w:rPr>
                <w:rStyle w:val="Hyperlink"/>
                <w:rFonts w:ascii="Times New Roman" w:hAnsi="Times New Roman" w:cs="Times New Roman"/>
                <w:b w:val="0"/>
                <w:bCs w:val="0"/>
                <w:noProof/>
                <w:sz w:val="20"/>
                <w:szCs w:val="20"/>
              </w:rPr>
              <w:t>4.4</w:t>
            </w:r>
            <w:r w:rsidRPr="00185C5D">
              <w:rPr>
                <w:rFonts w:ascii="Times New Roman" w:eastAsiaTheme="minorEastAsia" w:hAnsi="Times New Roman" w:cs="Times New Roman"/>
                <w:b w:val="0"/>
                <w:bCs w:val="0"/>
                <w:noProof/>
                <w:kern w:val="2"/>
                <w:sz w:val="20"/>
                <w:szCs w:val="20"/>
                <w:lang w:eastAsia="en-GB"/>
                <w14:ligatures w14:val="standardContextual"/>
              </w:rPr>
              <w:tab/>
            </w:r>
            <w:r w:rsidRPr="00185C5D">
              <w:rPr>
                <w:rStyle w:val="Hyperlink"/>
                <w:rFonts w:ascii="Times New Roman" w:hAnsi="Times New Roman" w:cs="Times New Roman"/>
                <w:b w:val="0"/>
                <w:bCs w:val="0"/>
                <w:noProof/>
                <w:sz w:val="20"/>
                <w:szCs w:val="20"/>
              </w:rPr>
              <w:t>Maintenance</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_Toc233129508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21</w:t>
            </w:r>
            <w:r w:rsidRPr="00185C5D">
              <w:rPr>
                <w:rFonts w:ascii="Times New Roman" w:hAnsi="Times New Roman" w:cs="Times New Roman"/>
                <w:b w:val="0"/>
                <w:bCs w:val="0"/>
                <w:noProof/>
                <w:webHidden/>
                <w:sz w:val="20"/>
                <w:szCs w:val="20"/>
              </w:rPr>
              <w:fldChar w:fldCharType="end"/>
            </w:r>
          </w:hyperlink>
        </w:p>
        <w:p w14:paraId="72CEE018" w14:textId="4D1A4A18" w:rsidR="00780962" w:rsidRPr="00185C5D" w:rsidRDefault="00780962">
          <w:pPr>
            <w:pStyle w:val="TOC2"/>
            <w:tabs>
              <w:tab w:val="left" w:pos="800"/>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09" w:history="1">
            <w:r w:rsidRPr="00185C5D">
              <w:rPr>
                <w:rStyle w:val="Hyperlink"/>
                <w:rFonts w:ascii="Times New Roman" w:hAnsi="Times New Roman" w:cs="Times New Roman"/>
                <w:b w:val="0"/>
                <w:bCs w:val="0"/>
                <w:noProof/>
                <w:sz w:val="20"/>
                <w:szCs w:val="20"/>
              </w:rPr>
              <w:t>4.5</w:t>
            </w:r>
            <w:r w:rsidRPr="00185C5D">
              <w:rPr>
                <w:rFonts w:ascii="Times New Roman" w:eastAsiaTheme="minorEastAsia" w:hAnsi="Times New Roman" w:cs="Times New Roman"/>
                <w:b w:val="0"/>
                <w:bCs w:val="0"/>
                <w:noProof/>
                <w:kern w:val="2"/>
                <w:sz w:val="20"/>
                <w:szCs w:val="20"/>
                <w:lang w:eastAsia="en-GB"/>
                <w14:ligatures w14:val="standardContextual"/>
              </w:rPr>
              <w:tab/>
            </w:r>
            <w:r w:rsidRPr="00185C5D">
              <w:rPr>
                <w:rStyle w:val="Hyperlink"/>
                <w:rFonts w:ascii="Times New Roman" w:hAnsi="Times New Roman" w:cs="Times New Roman"/>
                <w:b w:val="0"/>
                <w:bCs w:val="0"/>
                <w:noProof/>
                <w:sz w:val="20"/>
                <w:szCs w:val="20"/>
              </w:rPr>
              <w:t>End-of-life</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_Toc233129509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23</w:t>
            </w:r>
            <w:r w:rsidRPr="00185C5D">
              <w:rPr>
                <w:rFonts w:ascii="Times New Roman" w:hAnsi="Times New Roman" w:cs="Times New Roman"/>
                <w:b w:val="0"/>
                <w:bCs w:val="0"/>
                <w:noProof/>
                <w:webHidden/>
                <w:sz w:val="20"/>
                <w:szCs w:val="20"/>
              </w:rPr>
              <w:fldChar w:fldCharType="end"/>
            </w:r>
          </w:hyperlink>
        </w:p>
        <w:p w14:paraId="0577F8A0" w14:textId="55552681" w:rsidR="00780962" w:rsidRPr="00185C5D" w:rsidRDefault="00780962">
          <w:pPr>
            <w:pStyle w:val="TOC2"/>
            <w:tabs>
              <w:tab w:val="left" w:pos="800"/>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10" w:history="1">
            <w:r w:rsidRPr="00185C5D">
              <w:rPr>
                <w:rStyle w:val="Hyperlink"/>
                <w:rFonts w:ascii="Times New Roman" w:hAnsi="Times New Roman" w:cs="Times New Roman"/>
                <w:b w:val="0"/>
                <w:bCs w:val="0"/>
                <w:noProof/>
                <w:sz w:val="20"/>
                <w:szCs w:val="20"/>
              </w:rPr>
              <w:t>4.6</w:t>
            </w:r>
            <w:r w:rsidRPr="00185C5D">
              <w:rPr>
                <w:rFonts w:ascii="Times New Roman" w:eastAsiaTheme="minorEastAsia" w:hAnsi="Times New Roman" w:cs="Times New Roman"/>
                <w:b w:val="0"/>
                <w:bCs w:val="0"/>
                <w:noProof/>
                <w:kern w:val="2"/>
                <w:sz w:val="20"/>
                <w:szCs w:val="20"/>
                <w:lang w:eastAsia="en-GB"/>
                <w14:ligatures w14:val="standardContextual"/>
              </w:rPr>
              <w:tab/>
            </w:r>
            <w:r w:rsidRPr="00185C5D">
              <w:rPr>
                <w:rStyle w:val="Hyperlink"/>
                <w:rFonts w:ascii="Times New Roman" w:hAnsi="Times New Roman" w:cs="Times New Roman"/>
                <w:b w:val="0"/>
                <w:bCs w:val="0"/>
                <w:noProof/>
                <w:sz w:val="20"/>
                <w:szCs w:val="20"/>
              </w:rPr>
              <w:t>Long-term biosphere emissions</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_Toc233129510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24</w:t>
            </w:r>
            <w:r w:rsidRPr="00185C5D">
              <w:rPr>
                <w:rFonts w:ascii="Times New Roman" w:hAnsi="Times New Roman" w:cs="Times New Roman"/>
                <w:b w:val="0"/>
                <w:bCs w:val="0"/>
                <w:noProof/>
                <w:webHidden/>
                <w:sz w:val="20"/>
                <w:szCs w:val="20"/>
              </w:rPr>
              <w:fldChar w:fldCharType="end"/>
            </w:r>
          </w:hyperlink>
        </w:p>
        <w:p w14:paraId="6689C7FF" w14:textId="5445AEBF" w:rsidR="00780962" w:rsidRPr="00185C5D" w:rsidRDefault="00780962">
          <w:pPr>
            <w:pStyle w:val="TOC2"/>
            <w:tabs>
              <w:tab w:val="left" w:pos="800"/>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11" w:history="1">
            <w:r w:rsidRPr="00185C5D">
              <w:rPr>
                <w:rStyle w:val="Hyperlink"/>
                <w:rFonts w:ascii="Times New Roman" w:hAnsi="Times New Roman" w:cs="Times New Roman"/>
                <w:b w:val="0"/>
                <w:bCs w:val="0"/>
                <w:noProof/>
                <w:sz w:val="20"/>
                <w:szCs w:val="20"/>
              </w:rPr>
              <w:t>4.7</w:t>
            </w:r>
            <w:r w:rsidRPr="00185C5D">
              <w:rPr>
                <w:rFonts w:ascii="Times New Roman" w:eastAsiaTheme="minorEastAsia" w:hAnsi="Times New Roman" w:cs="Times New Roman"/>
                <w:b w:val="0"/>
                <w:bCs w:val="0"/>
                <w:noProof/>
                <w:kern w:val="2"/>
                <w:sz w:val="20"/>
                <w:szCs w:val="20"/>
                <w:lang w:eastAsia="en-GB"/>
                <w14:ligatures w14:val="standardContextual"/>
              </w:rPr>
              <w:tab/>
            </w:r>
            <w:r w:rsidRPr="00185C5D">
              <w:rPr>
                <w:rStyle w:val="Hyperlink"/>
                <w:rFonts w:ascii="Times New Roman" w:hAnsi="Times New Roman" w:cs="Times New Roman"/>
                <w:b w:val="0"/>
                <w:bCs w:val="0"/>
                <w:noProof/>
                <w:sz w:val="20"/>
                <w:szCs w:val="20"/>
              </w:rPr>
              <w:t>Lifetime and CPC-code patterns</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_Toc233129511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26</w:t>
            </w:r>
            <w:r w:rsidRPr="00185C5D">
              <w:rPr>
                <w:rFonts w:ascii="Times New Roman" w:hAnsi="Times New Roman" w:cs="Times New Roman"/>
                <w:b w:val="0"/>
                <w:bCs w:val="0"/>
                <w:noProof/>
                <w:webHidden/>
                <w:sz w:val="20"/>
                <w:szCs w:val="20"/>
              </w:rPr>
              <w:fldChar w:fldCharType="end"/>
            </w:r>
          </w:hyperlink>
        </w:p>
        <w:p w14:paraId="4ECA727A" w14:textId="092A9012" w:rsidR="00780962" w:rsidRPr="00185C5D" w:rsidRDefault="00780962">
          <w:pPr>
            <w:pStyle w:val="TOC2"/>
            <w:tabs>
              <w:tab w:val="left" w:pos="800"/>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12" w:history="1">
            <w:r w:rsidRPr="00185C5D">
              <w:rPr>
                <w:rStyle w:val="Hyperlink"/>
                <w:rFonts w:ascii="Times New Roman" w:hAnsi="Times New Roman" w:cs="Times New Roman"/>
                <w:b w:val="0"/>
                <w:bCs w:val="0"/>
                <w:noProof/>
                <w:sz w:val="20"/>
                <w:szCs w:val="20"/>
              </w:rPr>
              <w:t>4.8</w:t>
            </w:r>
            <w:r w:rsidRPr="00185C5D">
              <w:rPr>
                <w:rFonts w:ascii="Times New Roman" w:eastAsiaTheme="minorEastAsia" w:hAnsi="Times New Roman" w:cs="Times New Roman"/>
                <w:b w:val="0"/>
                <w:bCs w:val="0"/>
                <w:noProof/>
                <w:kern w:val="2"/>
                <w:sz w:val="20"/>
                <w:szCs w:val="20"/>
                <w:lang w:eastAsia="en-GB"/>
                <w14:ligatures w14:val="standardContextual"/>
              </w:rPr>
              <w:tab/>
            </w:r>
            <w:r w:rsidRPr="00185C5D">
              <w:rPr>
                <w:rStyle w:val="Hyperlink"/>
                <w:rFonts w:ascii="Times New Roman" w:hAnsi="Times New Roman" w:cs="Times New Roman"/>
                <w:b w:val="0"/>
                <w:bCs w:val="0"/>
                <w:noProof/>
                <w:sz w:val="20"/>
                <w:szCs w:val="20"/>
              </w:rPr>
              <w:t>Throughput processes</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_Toc233129512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31</w:t>
            </w:r>
            <w:r w:rsidRPr="00185C5D">
              <w:rPr>
                <w:rFonts w:ascii="Times New Roman" w:hAnsi="Times New Roman" w:cs="Times New Roman"/>
                <w:b w:val="0"/>
                <w:bCs w:val="0"/>
                <w:noProof/>
                <w:webHidden/>
                <w:sz w:val="20"/>
                <w:szCs w:val="20"/>
              </w:rPr>
              <w:fldChar w:fldCharType="end"/>
            </w:r>
          </w:hyperlink>
        </w:p>
        <w:p w14:paraId="4796A14A" w14:textId="3FBB81F0" w:rsidR="00780962" w:rsidRPr="00185C5D" w:rsidRDefault="00780962">
          <w:pPr>
            <w:pStyle w:val="TOC1"/>
            <w:rPr>
              <w:rFonts w:ascii="Times New Roman" w:eastAsiaTheme="minorEastAsia" w:hAnsi="Times New Roman" w:cs="Times New Roman"/>
              <w:b w:val="0"/>
              <w:bCs w:val="0"/>
              <w:i w:val="0"/>
              <w:iCs w:val="0"/>
              <w:noProof/>
              <w:kern w:val="2"/>
              <w:sz w:val="20"/>
              <w:szCs w:val="20"/>
              <w:lang w:eastAsia="en-GB"/>
              <w14:ligatures w14:val="standardContextual"/>
            </w:rPr>
          </w:pPr>
          <w:hyperlink w:anchor="_Toc233129513" w:history="1">
            <w:r w:rsidRPr="00185C5D">
              <w:rPr>
                <w:rStyle w:val="Hyperlink"/>
                <w:rFonts w:ascii="Times New Roman" w:hAnsi="Times New Roman" w:cs="Times New Roman"/>
                <w:b w:val="0"/>
                <w:bCs w:val="0"/>
                <w:i w:val="0"/>
                <w:iCs w:val="0"/>
                <w:noProof/>
                <w:sz w:val="20"/>
                <w:szCs w:val="20"/>
              </w:rPr>
              <w:t>5</w:t>
            </w:r>
            <w:r w:rsidRPr="00185C5D">
              <w:rPr>
                <w:rFonts w:ascii="Times New Roman" w:eastAsiaTheme="minorEastAsia" w:hAnsi="Times New Roman" w:cs="Times New Roman"/>
                <w:b w:val="0"/>
                <w:bCs w:val="0"/>
                <w:i w:val="0"/>
                <w:iCs w:val="0"/>
                <w:noProof/>
                <w:kern w:val="2"/>
                <w:sz w:val="20"/>
                <w:szCs w:val="20"/>
                <w:lang w:eastAsia="en-GB"/>
                <w14:ligatures w14:val="standardContextual"/>
              </w:rPr>
              <w:tab/>
            </w:r>
            <w:r w:rsidRPr="00185C5D">
              <w:rPr>
                <w:rStyle w:val="Hyperlink"/>
                <w:rFonts w:ascii="Times New Roman" w:hAnsi="Times New Roman" w:cs="Times New Roman"/>
                <w:b w:val="0"/>
                <w:bCs w:val="0"/>
                <w:i w:val="0"/>
                <w:iCs w:val="0"/>
                <w:noProof/>
                <w:sz w:val="20"/>
                <w:szCs w:val="20"/>
              </w:rPr>
              <w:t>Validation against limiting cases</w:t>
            </w:r>
            <w:r w:rsidRPr="00185C5D">
              <w:rPr>
                <w:rFonts w:ascii="Times New Roman" w:hAnsi="Times New Roman" w:cs="Times New Roman"/>
                <w:b w:val="0"/>
                <w:bCs w:val="0"/>
                <w:i w:val="0"/>
                <w:iCs w:val="0"/>
                <w:noProof/>
                <w:webHidden/>
                <w:sz w:val="20"/>
                <w:szCs w:val="20"/>
              </w:rPr>
              <w:tab/>
            </w:r>
            <w:r w:rsidRPr="00185C5D">
              <w:rPr>
                <w:rFonts w:ascii="Times New Roman" w:hAnsi="Times New Roman" w:cs="Times New Roman"/>
                <w:b w:val="0"/>
                <w:bCs w:val="0"/>
                <w:i w:val="0"/>
                <w:iCs w:val="0"/>
                <w:noProof/>
                <w:webHidden/>
                <w:sz w:val="20"/>
                <w:szCs w:val="20"/>
              </w:rPr>
              <w:fldChar w:fldCharType="begin"/>
            </w:r>
            <w:r w:rsidRPr="00185C5D">
              <w:rPr>
                <w:rFonts w:ascii="Times New Roman" w:hAnsi="Times New Roman" w:cs="Times New Roman"/>
                <w:b w:val="0"/>
                <w:bCs w:val="0"/>
                <w:i w:val="0"/>
                <w:iCs w:val="0"/>
                <w:noProof/>
                <w:webHidden/>
                <w:sz w:val="20"/>
                <w:szCs w:val="20"/>
              </w:rPr>
              <w:instrText xml:space="preserve"> PAGEREF _Toc233129513 \h </w:instrText>
            </w:r>
            <w:r w:rsidRPr="00185C5D">
              <w:rPr>
                <w:rFonts w:ascii="Times New Roman" w:hAnsi="Times New Roman" w:cs="Times New Roman"/>
                <w:b w:val="0"/>
                <w:bCs w:val="0"/>
                <w:i w:val="0"/>
                <w:iCs w:val="0"/>
                <w:noProof/>
                <w:webHidden/>
                <w:sz w:val="20"/>
                <w:szCs w:val="20"/>
              </w:rPr>
            </w:r>
            <w:r w:rsidRPr="00185C5D">
              <w:rPr>
                <w:rFonts w:ascii="Times New Roman" w:hAnsi="Times New Roman" w:cs="Times New Roman"/>
                <w:b w:val="0"/>
                <w:bCs w:val="0"/>
                <w:i w:val="0"/>
                <w:iCs w:val="0"/>
                <w:noProof/>
                <w:webHidden/>
                <w:sz w:val="20"/>
                <w:szCs w:val="20"/>
              </w:rPr>
              <w:fldChar w:fldCharType="separate"/>
            </w:r>
            <w:r w:rsidR="00EA18CE">
              <w:rPr>
                <w:rFonts w:ascii="Times New Roman" w:hAnsi="Times New Roman" w:cs="Times New Roman"/>
                <w:b w:val="0"/>
                <w:bCs w:val="0"/>
                <w:i w:val="0"/>
                <w:iCs w:val="0"/>
                <w:noProof/>
                <w:webHidden/>
                <w:sz w:val="20"/>
                <w:szCs w:val="20"/>
              </w:rPr>
              <w:t>32</w:t>
            </w:r>
            <w:r w:rsidRPr="00185C5D">
              <w:rPr>
                <w:rFonts w:ascii="Times New Roman" w:hAnsi="Times New Roman" w:cs="Times New Roman"/>
                <w:b w:val="0"/>
                <w:bCs w:val="0"/>
                <w:i w:val="0"/>
                <w:iCs w:val="0"/>
                <w:noProof/>
                <w:webHidden/>
                <w:sz w:val="20"/>
                <w:szCs w:val="20"/>
              </w:rPr>
              <w:fldChar w:fldCharType="end"/>
            </w:r>
          </w:hyperlink>
        </w:p>
        <w:p w14:paraId="78B66E18" w14:textId="3DF2F2E2" w:rsidR="00780962" w:rsidRPr="00185C5D" w:rsidRDefault="00780962">
          <w:pPr>
            <w:pStyle w:val="TOC1"/>
            <w:rPr>
              <w:rFonts w:ascii="Times New Roman" w:eastAsiaTheme="minorEastAsia" w:hAnsi="Times New Roman" w:cs="Times New Roman"/>
              <w:b w:val="0"/>
              <w:bCs w:val="0"/>
              <w:i w:val="0"/>
              <w:iCs w:val="0"/>
              <w:noProof/>
              <w:kern w:val="2"/>
              <w:sz w:val="20"/>
              <w:szCs w:val="20"/>
              <w:lang w:eastAsia="en-GB"/>
              <w14:ligatures w14:val="standardContextual"/>
            </w:rPr>
          </w:pPr>
          <w:hyperlink w:anchor="_Toc233129514" w:history="1">
            <w:r w:rsidRPr="00185C5D">
              <w:rPr>
                <w:rStyle w:val="Hyperlink"/>
                <w:rFonts w:ascii="Times New Roman" w:hAnsi="Times New Roman" w:cs="Times New Roman"/>
                <w:b w:val="0"/>
                <w:bCs w:val="0"/>
                <w:i w:val="0"/>
                <w:iCs w:val="0"/>
                <w:noProof/>
                <w:sz w:val="20"/>
                <w:szCs w:val="20"/>
              </w:rPr>
              <w:t>6</w:t>
            </w:r>
            <w:r w:rsidRPr="00185C5D">
              <w:rPr>
                <w:rFonts w:ascii="Times New Roman" w:eastAsiaTheme="minorEastAsia" w:hAnsi="Times New Roman" w:cs="Times New Roman"/>
                <w:b w:val="0"/>
                <w:bCs w:val="0"/>
                <w:i w:val="0"/>
                <w:iCs w:val="0"/>
                <w:noProof/>
                <w:kern w:val="2"/>
                <w:sz w:val="20"/>
                <w:szCs w:val="20"/>
                <w:lang w:eastAsia="en-GB"/>
                <w14:ligatures w14:val="standardContextual"/>
              </w:rPr>
              <w:tab/>
            </w:r>
            <w:r w:rsidRPr="00185C5D">
              <w:rPr>
                <w:rStyle w:val="Hyperlink"/>
                <w:rFonts w:ascii="Times New Roman" w:hAnsi="Times New Roman" w:cs="Times New Roman"/>
                <w:b w:val="0"/>
                <w:bCs w:val="0"/>
                <w:i w:val="0"/>
                <w:iCs w:val="0"/>
                <w:noProof/>
                <w:sz w:val="20"/>
                <w:szCs w:val="20"/>
              </w:rPr>
              <w:t>Depth sensitivity and computational cost for a direct-air-capture case</w:t>
            </w:r>
            <w:r w:rsidRPr="00185C5D">
              <w:rPr>
                <w:rFonts w:ascii="Times New Roman" w:hAnsi="Times New Roman" w:cs="Times New Roman"/>
                <w:b w:val="0"/>
                <w:bCs w:val="0"/>
                <w:i w:val="0"/>
                <w:iCs w:val="0"/>
                <w:noProof/>
                <w:webHidden/>
                <w:sz w:val="20"/>
                <w:szCs w:val="20"/>
              </w:rPr>
              <w:tab/>
            </w:r>
            <w:r w:rsidRPr="00185C5D">
              <w:rPr>
                <w:rFonts w:ascii="Times New Roman" w:hAnsi="Times New Roman" w:cs="Times New Roman"/>
                <w:b w:val="0"/>
                <w:bCs w:val="0"/>
                <w:i w:val="0"/>
                <w:iCs w:val="0"/>
                <w:noProof/>
                <w:webHidden/>
                <w:sz w:val="20"/>
                <w:szCs w:val="20"/>
              </w:rPr>
              <w:fldChar w:fldCharType="begin"/>
            </w:r>
            <w:r w:rsidRPr="00185C5D">
              <w:rPr>
                <w:rFonts w:ascii="Times New Roman" w:hAnsi="Times New Roman" w:cs="Times New Roman"/>
                <w:b w:val="0"/>
                <w:bCs w:val="0"/>
                <w:i w:val="0"/>
                <w:iCs w:val="0"/>
                <w:noProof/>
                <w:webHidden/>
                <w:sz w:val="20"/>
                <w:szCs w:val="20"/>
              </w:rPr>
              <w:instrText xml:space="preserve"> PAGEREF _Toc233129514 \h </w:instrText>
            </w:r>
            <w:r w:rsidRPr="00185C5D">
              <w:rPr>
                <w:rFonts w:ascii="Times New Roman" w:hAnsi="Times New Roman" w:cs="Times New Roman"/>
                <w:b w:val="0"/>
                <w:bCs w:val="0"/>
                <w:i w:val="0"/>
                <w:iCs w:val="0"/>
                <w:noProof/>
                <w:webHidden/>
                <w:sz w:val="20"/>
                <w:szCs w:val="20"/>
              </w:rPr>
            </w:r>
            <w:r w:rsidRPr="00185C5D">
              <w:rPr>
                <w:rFonts w:ascii="Times New Roman" w:hAnsi="Times New Roman" w:cs="Times New Roman"/>
                <w:b w:val="0"/>
                <w:bCs w:val="0"/>
                <w:i w:val="0"/>
                <w:iCs w:val="0"/>
                <w:noProof/>
                <w:webHidden/>
                <w:sz w:val="20"/>
                <w:szCs w:val="20"/>
              </w:rPr>
              <w:fldChar w:fldCharType="separate"/>
            </w:r>
            <w:r w:rsidR="00EA18CE">
              <w:rPr>
                <w:rFonts w:ascii="Times New Roman" w:hAnsi="Times New Roman" w:cs="Times New Roman"/>
                <w:b w:val="0"/>
                <w:bCs w:val="0"/>
                <w:i w:val="0"/>
                <w:iCs w:val="0"/>
                <w:noProof/>
                <w:webHidden/>
                <w:sz w:val="20"/>
                <w:szCs w:val="20"/>
              </w:rPr>
              <w:t>35</w:t>
            </w:r>
            <w:r w:rsidRPr="00185C5D">
              <w:rPr>
                <w:rFonts w:ascii="Times New Roman" w:hAnsi="Times New Roman" w:cs="Times New Roman"/>
                <w:b w:val="0"/>
                <w:bCs w:val="0"/>
                <w:i w:val="0"/>
                <w:iCs w:val="0"/>
                <w:noProof/>
                <w:webHidden/>
                <w:sz w:val="20"/>
                <w:szCs w:val="20"/>
              </w:rPr>
              <w:fldChar w:fldCharType="end"/>
            </w:r>
          </w:hyperlink>
        </w:p>
        <w:p w14:paraId="09AA833C" w14:textId="2595C31D" w:rsidR="00780962" w:rsidRPr="00185C5D" w:rsidRDefault="00780962">
          <w:pPr>
            <w:pStyle w:val="TOC1"/>
            <w:rPr>
              <w:rFonts w:ascii="Times New Roman" w:eastAsiaTheme="minorEastAsia" w:hAnsi="Times New Roman" w:cs="Times New Roman"/>
              <w:b w:val="0"/>
              <w:bCs w:val="0"/>
              <w:i w:val="0"/>
              <w:iCs w:val="0"/>
              <w:noProof/>
              <w:kern w:val="2"/>
              <w:sz w:val="20"/>
              <w:szCs w:val="20"/>
              <w:lang w:eastAsia="en-GB"/>
              <w14:ligatures w14:val="standardContextual"/>
            </w:rPr>
          </w:pPr>
          <w:hyperlink w:anchor="_Toc233129515" w:history="1">
            <w:r w:rsidRPr="00185C5D">
              <w:rPr>
                <w:rStyle w:val="Hyperlink"/>
                <w:rFonts w:ascii="Times New Roman" w:hAnsi="Times New Roman" w:cs="Times New Roman"/>
                <w:b w:val="0"/>
                <w:bCs w:val="0"/>
                <w:i w:val="0"/>
                <w:iCs w:val="0"/>
                <w:noProof/>
                <w:sz w:val="20"/>
                <w:szCs w:val="20"/>
              </w:rPr>
              <w:t>7</w:t>
            </w:r>
            <w:r w:rsidRPr="00185C5D">
              <w:rPr>
                <w:rFonts w:ascii="Times New Roman" w:eastAsiaTheme="minorEastAsia" w:hAnsi="Times New Roman" w:cs="Times New Roman"/>
                <w:b w:val="0"/>
                <w:bCs w:val="0"/>
                <w:i w:val="0"/>
                <w:iCs w:val="0"/>
                <w:noProof/>
                <w:kern w:val="2"/>
                <w:sz w:val="20"/>
                <w:szCs w:val="20"/>
                <w:lang w:eastAsia="en-GB"/>
                <w14:ligatures w14:val="standardContextual"/>
              </w:rPr>
              <w:tab/>
            </w:r>
            <w:r w:rsidRPr="00185C5D">
              <w:rPr>
                <w:rStyle w:val="Hyperlink"/>
                <w:rFonts w:ascii="Times New Roman" w:hAnsi="Times New Roman" w:cs="Times New Roman"/>
                <w:b w:val="0"/>
                <w:bCs w:val="0"/>
                <w:i w:val="0"/>
                <w:iCs w:val="0"/>
                <w:noProof/>
                <w:sz w:val="20"/>
                <w:szCs w:val="20"/>
              </w:rPr>
              <w:t>Coupling Trails inventories with FaIR</w:t>
            </w:r>
            <w:r w:rsidRPr="00185C5D">
              <w:rPr>
                <w:rFonts w:ascii="Times New Roman" w:hAnsi="Times New Roman" w:cs="Times New Roman"/>
                <w:b w:val="0"/>
                <w:bCs w:val="0"/>
                <w:i w:val="0"/>
                <w:iCs w:val="0"/>
                <w:noProof/>
                <w:webHidden/>
                <w:sz w:val="20"/>
                <w:szCs w:val="20"/>
              </w:rPr>
              <w:tab/>
            </w:r>
            <w:r w:rsidRPr="00185C5D">
              <w:rPr>
                <w:rFonts w:ascii="Times New Roman" w:hAnsi="Times New Roman" w:cs="Times New Roman"/>
                <w:b w:val="0"/>
                <w:bCs w:val="0"/>
                <w:i w:val="0"/>
                <w:iCs w:val="0"/>
                <w:noProof/>
                <w:webHidden/>
                <w:sz w:val="20"/>
                <w:szCs w:val="20"/>
              </w:rPr>
              <w:fldChar w:fldCharType="begin"/>
            </w:r>
            <w:r w:rsidRPr="00185C5D">
              <w:rPr>
                <w:rFonts w:ascii="Times New Roman" w:hAnsi="Times New Roman" w:cs="Times New Roman"/>
                <w:b w:val="0"/>
                <w:bCs w:val="0"/>
                <w:i w:val="0"/>
                <w:iCs w:val="0"/>
                <w:noProof/>
                <w:webHidden/>
                <w:sz w:val="20"/>
                <w:szCs w:val="20"/>
              </w:rPr>
              <w:instrText xml:space="preserve"> PAGEREF _Toc233129515 \h </w:instrText>
            </w:r>
            <w:r w:rsidRPr="00185C5D">
              <w:rPr>
                <w:rFonts w:ascii="Times New Roman" w:hAnsi="Times New Roman" w:cs="Times New Roman"/>
                <w:b w:val="0"/>
                <w:bCs w:val="0"/>
                <w:i w:val="0"/>
                <w:iCs w:val="0"/>
                <w:noProof/>
                <w:webHidden/>
                <w:sz w:val="20"/>
                <w:szCs w:val="20"/>
              </w:rPr>
            </w:r>
            <w:r w:rsidRPr="00185C5D">
              <w:rPr>
                <w:rFonts w:ascii="Times New Roman" w:hAnsi="Times New Roman" w:cs="Times New Roman"/>
                <w:b w:val="0"/>
                <w:bCs w:val="0"/>
                <w:i w:val="0"/>
                <w:iCs w:val="0"/>
                <w:noProof/>
                <w:webHidden/>
                <w:sz w:val="20"/>
                <w:szCs w:val="20"/>
              </w:rPr>
              <w:fldChar w:fldCharType="separate"/>
            </w:r>
            <w:r w:rsidR="00EA18CE">
              <w:rPr>
                <w:rFonts w:ascii="Times New Roman" w:hAnsi="Times New Roman" w:cs="Times New Roman"/>
                <w:b w:val="0"/>
                <w:bCs w:val="0"/>
                <w:i w:val="0"/>
                <w:iCs w:val="0"/>
                <w:noProof/>
                <w:webHidden/>
                <w:sz w:val="20"/>
                <w:szCs w:val="20"/>
              </w:rPr>
              <w:t>36</w:t>
            </w:r>
            <w:r w:rsidRPr="00185C5D">
              <w:rPr>
                <w:rFonts w:ascii="Times New Roman" w:hAnsi="Times New Roman" w:cs="Times New Roman"/>
                <w:b w:val="0"/>
                <w:bCs w:val="0"/>
                <w:i w:val="0"/>
                <w:iCs w:val="0"/>
                <w:noProof/>
                <w:webHidden/>
                <w:sz w:val="20"/>
                <w:szCs w:val="20"/>
              </w:rPr>
              <w:fldChar w:fldCharType="end"/>
            </w:r>
          </w:hyperlink>
        </w:p>
        <w:p w14:paraId="6D7959A7" w14:textId="01BC4874" w:rsidR="00780962" w:rsidRPr="00185C5D" w:rsidRDefault="00780962">
          <w:pPr>
            <w:pStyle w:val="TOC1"/>
            <w:rPr>
              <w:rFonts w:ascii="Times New Roman" w:eastAsiaTheme="minorEastAsia" w:hAnsi="Times New Roman" w:cs="Times New Roman"/>
              <w:b w:val="0"/>
              <w:bCs w:val="0"/>
              <w:i w:val="0"/>
              <w:iCs w:val="0"/>
              <w:noProof/>
              <w:kern w:val="2"/>
              <w:sz w:val="20"/>
              <w:szCs w:val="20"/>
              <w:lang w:eastAsia="en-GB"/>
              <w14:ligatures w14:val="standardContextual"/>
            </w:rPr>
          </w:pPr>
          <w:hyperlink w:anchor="_Toc233129516" w:history="1">
            <w:r w:rsidRPr="00185C5D">
              <w:rPr>
                <w:rStyle w:val="Hyperlink"/>
                <w:rFonts w:ascii="Times New Roman" w:hAnsi="Times New Roman" w:cs="Times New Roman"/>
                <w:b w:val="0"/>
                <w:bCs w:val="0"/>
                <w:i w:val="0"/>
                <w:iCs w:val="0"/>
                <w:noProof/>
                <w:sz w:val="20"/>
                <w:szCs w:val="20"/>
              </w:rPr>
              <w:t>8</w:t>
            </w:r>
            <w:r w:rsidRPr="00185C5D">
              <w:rPr>
                <w:rFonts w:ascii="Times New Roman" w:eastAsiaTheme="minorEastAsia" w:hAnsi="Times New Roman" w:cs="Times New Roman"/>
                <w:b w:val="0"/>
                <w:bCs w:val="0"/>
                <w:i w:val="0"/>
                <w:iCs w:val="0"/>
                <w:noProof/>
                <w:kern w:val="2"/>
                <w:sz w:val="20"/>
                <w:szCs w:val="20"/>
                <w:lang w:eastAsia="en-GB"/>
                <w14:ligatures w14:val="standardContextual"/>
              </w:rPr>
              <w:tab/>
            </w:r>
            <w:r w:rsidRPr="00185C5D">
              <w:rPr>
                <w:rStyle w:val="Hyperlink"/>
                <w:rFonts w:ascii="Times New Roman" w:hAnsi="Times New Roman" w:cs="Times New Roman"/>
                <w:b w:val="0"/>
                <w:bCs w:val="0"/>
                <w:i w:val="0"/>
                <w:iCs w:val="0"/>
                <w:noProof/>
                <w:sz w:val="20"/>
                <w:szCs w:val="20"/>
              </w:rPr>
              <w:t>Reproducibility notes</w:t>
            </w:r>
            <w:r w:rsidRPr="00185C5D">
              <w:rPr>
                <w:rFonts w:ascii="Times New Roman" w:hAnsi="Times New Roman" w:cs="Times New Roman"/>
                <w:b w:val="0"/>
                <w:bCs w:val="0"/>
                <w:i w:val="0"/>
                <w:iCs w:val="0"/>
                <w:noProof/>
                <w:webHidden/>
                <w:sz w:val="20"/>
                <w:szCs w:val="20"/>
              </w:rPr>
              <w:tab/>
            </w:r>
            <w:r w:rsidRPr="00185C5D">
              <w:rPr>
                <w:rFonts w:ascii="Times New Roman" w:hAnsi="Times New Roman" w:cs="Times New Roman"/>
                <w:b w:val="0"/>
                <w:bCs w:val="0"/>
                <w:i w:val="0"/>
                <w:iCs w:val="0"/>
                <w:noProof/>
                <w:webHidden/>
                <w:sz w:val="20"/>
                <w:szCs w:val="20"/>
              </w:rPr>
              <w:fldChar w:fldCharType="begin"/>
            </w:r>
            <w:r w:rsidRPr="00185C5D">
              <w:rPr>
                <w:rFonts w:ascii="Times New Roman" w:hAnsi="Times New Roman" w:cs="Times New Roman"/>
                <w:b w:val="0"/>
                <w:bCs w:val="0"/>
                <w:i w:val="0"/>
                <w:iCs w:val="0"/>
                <w:noProof/>
                <w:webHidden/>
                <w:sz w:val="20"/>
                <w:szCs w:val="20"/>
              </w:rPr>
              <w:instrText xml:space="preserve"> PAGEREF _Toc233129516 \h </w:instrText>
            </w:r>
            <w:r w:rsidRPr="00185C5D">
              <w:rPr>
                <w:rFonts w:ascii="Times New Roman" w:hAnsi="Times New Roman" w:cs="Times New Roman"/>
                <w:b w:val="0"/>
                <w:bCs w:val="0"/>
                <w:i w:val="0"/>
                <w:iCs w:val="0"/>
                <w:noProof/>
                <w:webHidden/>
                <w:sz w:val="20"/>
                <w:szCs w:val="20"/>
              </w:rPr>
            </w:r>
            <w:r w:rsidRPr="00185C5D">
              <w:rPr>
                <w:rFonts w:ascii="Times New Roman" w:hAnsi="Times New Roman" w:cs="Times New Roman"/>
                <w:b w:val="0"/>
                <w:bCs w:val="0"/>
                <w:i w:val="0"/>
                <w:iCs w:val="0"/>
                <w:noProof/>
                <w:webHidden/>
                <w:sz w:val="20"/>
                <w:szCs w:val="20"/>
              </w:rPr>
              <w:fldChar w:fldCharType="separate"/>
            </w:r>
            <w:r w:rsidR="00EA18CE">
              <w:rPr>
                <w:rFonts w:ascii="Times New Roman" w:hAnsi="Times New Roman" w:cs="Times New Roman"/>
                <w:b w:val="0"/>
                <w:bCs w:val="0"/>
                <w:i w:val="0"/>
                <w:iCs w:val="0"/>
                <w:noProof/>
                <w:webHidden/>
                <w:sz w:val="20"/>
                <w:szCs w:val="20"/>
              </w:rPr>
              <w:t>40</w:t>
            </w:r>
            <w:r w:rsidRPr="00185C5D">
              <w:rPr>
                <w:rFonts w:ascii="Times New Roman" w:hAnsi="Times New Roman" w:cs="Times New Roman"/>
                <w:b w:val="0"/>
                <w:bCs w:val="0"/>
                <w:i w:val="0"/>
                <w:iCs w:val="0"/>
                <w:noProof/>
                <w:webHidden/>
                <w:sz w:val="20"/>
                <w:szCs w:val="20"/>
              </w:rPr>
              <w:fldChar w:fldCharType="end"/>
            </w:r>
          </w:hyperlink>
        </w:p>
        <w:p w14:paraId="63715919" w14:textId="50724959" w:rsidR="00780962" w:rsidRPr="00185C5D" w:rsidRDefault="00780962">
          <w:pPr>
            <w:pStyle w:val="TOC1"/>
            <w:rPr>
              <w:rFonts w:ascii="Times New Roman" w:eastAsiaTheme="minorEastAsia" w:hAnsi="Times New Roman" w:cs="Times New Roman"/>
              <w:b w:val="0"/>
              <w:bCs w:val="0"/>
              <w:i w:val="0"/>
              <w:iCs w:val="0"/>
              <w:noProof/>
              <w:kern w:val="2"/>
              <w:sz w:val="20"/>
              <w:szCs w:val="20"/>
              <w:lang w:eastAsia="en-GB"/>
              <w14:ligatures w14:val="standardContextual"/>
            </w:rPr>
          </w:pPr>
          <w:hyperlink w:anchor="_Toc233129517" w:history="1">
            <w:r w:rsidRPr="00185C5D">
              <w:rPr>
                <w:rStyle w:val="Hyperlink"/>
                <w:rFonts w:ascii="Times New Roman" w:hAnsi="Times New Roman" w:cs="Times New Roman"/>
                <w:b w:val="0"/>
                <w:bCs w:val="0"/>
                <w:i w:val="0"/>
                <w:iCs w:val="0"/>
                <w:noProof/>
                <w:sz w:val="20"/>
                <w:szCs w:val="20"/>
              </w:rPr>
              <w:t>9</w:t>
            </w:r>
            <w:r w:rsidRPr="00185C5D">
              <w:rPr>
                <w:rFonts w:ascii="Times New Roman" w:eastAsiaTheme="minorEastAsia" w:hAnsi="Times New Roman" w:cs="Times New Roman"/>
                <w:b w:val="0"/>
                <w:bCs w:val="0"/>
                <w:i w:val="0"/>
                <w:iCs w:val="0"/>
                <w:noProof/>
                <w:kern w:val="2"/>
                <w:sz w:val="20"/>
                <w:szCs w:val="20"/>
                <w:lang w:eastAsia="en-GB"/>
                <w14:ligatures w14:val="standardContextual"/>
              </w:rPr>
              <w:tab/>
            </w:r>
            <w:r w:rsidRPr="00185C5D">
              <w:rPr>
                <w:rStyle w:val="Hyperlink"/>
                <w:rFonts w:ascii="Times New Roman" w:hAnsi="Times New Roman" w:cs="Times New Roman"/>
                <w:b w:val="0"/>
                <w:bCs w:val="0"/>
                <w:i w:val="0"/>
                <w:iCs w:val="0"/>
                <w:noProof/>
                <w:sz w:val="20"/>
                <w:szCs w:val="20"/>
              </w:rPr>
              <w:t>Solver stress test for deeply temporalised technosphere systems</w:t>
            </w:r>
            <w:r w:rsidRPr="00185C5D">
              <w:rPr>
                <w:rFonts w:ascii="Times New Roman" w:hAnsi="Times New Roman" w:cs="Times New Roman"/>
                <w:b w:val="0"/>
                <w:bCs w:val="0"/>
                <w:i w:val="0"/>
                <w:iCs w:val="0"/>
                <w:noProof/>
                <w:webHidden/>
                <w:sz w:val="20"/>
                <w:szCs w:val="20"/>
              </w:rPr>
              <w:tab/>
            </w:r>
            <w:r w:rsidRPr="00185C5D">
              <w:rPr>
                <w:rFonts w:ascii="Times New Roman" w:hAnsi="Times New Roman" w:cs="Times New Roman"/>
                <w:b w:val="0"/>
                <w:bCs w:val="0"/>
                <w:i w:val="0"/>
                <w:iCs w:val="0"/>
                <w:noProof/>
                <w:webHidden/>
                <w:sz w:val="20"/>
                <w:szCs w:val="20"/>
              </w:rPr>
              <w:fldChar w:fldCharType="begin"/>
            </w:r>
            <w:r w:rsidRPr="00185C5D">
              <w:rPr>
                <w:rFonts w:ascii="Times New Roman" w:hAnsi="Times New Roman" w:cs="Times New Roman"/>
                <w:b w:val="0"/>
                <w:bCs w:val="0"/>
                <w:i w:val="0"/>
                <w:iCs w:val="0"/>
                <w:noProof/>
                <w:webHidden/>
                <w:sz w:val="20"/>
                <w:szCs w:val="20"/>
              </w:rPr>
              <w:instrText xml:space="preserve"> PAGEREF _Toc233129517 \h </w:instrText>
            </w:r>
            <w:r w:rsidRPr="00185C5D">
              <w:rPr>
                <w:rFonts w:ascii="Times New Roman" w:hAnsi="Times New Roman" w:cs="Times New Roman"/>
                <w:b w:val="0"/>
                <w:bCs w:val="0"/>
                <w:i w:val="0"/>
                <w:iCs w:val="0"/>
                <w:noProof/>
                <w:webHidden/>
                <w:sz w:val="20"/>
                <w:szCs w:val="20"/>
              </w:rPr>
            </w:r>
            <w:r w:rsidRPr="00185C5D">
              <w:rPr>
                <w:rFonts w:ascii="Times New Roman" w:hAnsi="Times New Roman" w:cs="Times New Roman"/>
                <w:b w:val="0"/>
                <w:bCs w:val="0"/>
                <w:i w:val="0"/>
                <w:iCs w:val="0"/>
                <w:noProof/>
                <w:webHidden/>
                <w:sz w:val="20"/>
                <w:szCs w:val="20"/>
              </w:rPr>
              <w:fldChar w:fldCharType="separate"/>
            </w:r>
            <w:r w:rsidR="00EA18CE">
              <w:rPr>
                <w:rFonts w:ascii="Times New Roman" w:hAnsi="Times New Roman" w:cs="Times New Roman"/>
                <w:b w:val="0"/>
                <w:bCs w:val="0"/>
                <w:i w:val="0"/>
                <w:iCs w:val="0"/>
                <w:noProof/>
                <w:webHidden/>
                <w:sz w:val="20"/>
                <w:szCs w:val="20"/>
              </w:rPr>
              <w:t>40</w:t>
            </w:r>
            <w:r w:rsidRPr="00185C5D">
              <w:rPr>
                <w:rFonts w:ascii="Times New Roman" w:hAnsi="Times New Roman" w:cs="Times New Roman"/>
                <w:b w:val="0"/>
                <w:bCs w:val="0"/>
                <w:i w:val="0"/>
                <w:iCs w:val="0"/>
                <w:noProof/>
                <w:webHidden/>
                <w:sz w:val="20"/>
                <w:szCs w:val="20"/>
              </w:rPr>
              <w:fldChar w:fldCharType="end"/>
            </w:r>
          </w:hyperlink>
        </w:p>
        <w:p w14:paraId="0E73F079" w14:textId="5B162D88" w:rsidR="00780962" w:rsidRPr="00185C5D" w:rsidRDefault="00780962">
          <w:pPr>
            <w:pStyle w:val="TOC1"/>
            <w:rPr>
              <w:rFonts w:ascii="Times New Roman" w:eastAsiaTheme="minorEastAsia" w:hAnsi="Times New Roman" w:cs="Times New Roman"/>
              <w:b w:val="0"/>
              <w:bCs w:val="0"/>
              <w:i w:val="0"/>
              <w:iCs w:val="0"/>
              <w:noProof/>
              <w:kern w:val="2"/>
              <w:sz w:val="20"/>
              <w:szCs w:val="20"/>
              <w:lang w:eastAsia="en-GB"/>
              <w14:ligatures w14:val="standardContextual"/>
            </w:rPr>
          </w:pPr>
          <w:hyperlink w:anchor="_Toc233129518" w:history="1">
            <w:r w:rsidRPr="00185C5D">
              <w:rPr>
                <w:rStyle w:val="Hyperlink"/>
                <w:rFonts w:ascii="Times New Roman" w:hAnsi="Times New Roman" w:cs="Times New Roman"/>
                <w:b w:val="0"/>
                <w:bCs w:val="0"/>
                <w:i w:val="0"/>
                <w:iCs w:val="0"/>
                <w:noProof/>
                <w:sz w:val="20"/>
                <w:szCs w:val="20"/>
              </w:rPr>
              <w:t>10.</w:t>
            </w:r>
            <w:r w:rsidRPr="00185C5D">
              <w:rPr>
                <w:rFonts w:ascii="Times New Roman" w:eastAsiaTheme="minorEastAsia" w:hAnsi="Times New Roman" w:cs="Times New Roman"/>
                <w:b w:val="0"/>
                <w:bCs w:val="0"/>
                <w:i w:val="0"/>
                <w:iCs w:val="0"/>
                <w:noProof/>
                <w:kern w:val="2"/>
                <w:sz w:val="20"/>
                <w:szCs w:val="20"/>
                <w:lang w:eastAsia="en-GB"/>
                <w14:ligatures w14:val="standardContextual"/>
              </w:rPr>
              <w:tab/>
            </w:r>
            <w:r w:rsidRPr="00185C5D">
              <w:rPr>
                <w:rStyle w:val="Hyperlink"/>
                <w:rFonts w:ascii="Times New Roman" w:hAnsi="Times New Roman" w:cs="Times New Roman"/>
                <w:b w:val="0"/>
                <w:bCs w:val="0"/>
                <w:i w:val="0"/>
                <w:iCs w:val="0"/>
                <w:noProof/>
                <w:sz w:val="20"/>
                <w:szCs w:val="20"/>
              </w:rPr>
              <w:t>Adaptive-routing Sankey diagrams</w:t>
            </w:r>
            <w:r w:rsidRPr="00185C5D">
              <w:rPr>
                <w:rFonts w:ascii="Times New Roman" w:hAnsi="Times New Roman" w:cs="Times New Roman"/>
                <w:b w:val="0"/>
                <w:bCs w:val="0"/>
                <w:i w:val="0"/>
                <w:iCs w:val="0"/>
                <w:noProof/>
                <w:webHidden/>
                <w:sz w:val="20"/>
                <w:szCs w:val="20"/>
              </w:rPr>
              <w:tab/>
            </w:r>
            <w:r w:rsidRPr="00185C5D">
              <w:rPr>
                <w:rFonts w:ascii="Times New Roman" w:hAnsi="Times New Roman" w:cs="Times New Roman"/>
                <w:b w:val="0"/>
                <w:bCs w:val="0"/>
                <w:i w:val="0"/>
                <w:iCs w:val="0"/>
                <w:noProof/>
                <w:webHidden/>
                <w:sz w:val="20"/>
                <w:szCs w:val="20"/>
              </w:rPr>
              <w:fldChar w:fldCharType="begin"/>
            </w:r>
            <w:r w:rsidRPr="00185C5D">
              <w:rPr>
                <w:rFonts w:ascii="Times New Roman" w:hAnsi="Times New Roman" w:cs="Times New Roman"/>
                <w:b w:val="0"/>
                <w:bCs w:val="0"/>
                <w:i w:val="0"/>
                <w:iCs w:val="0"/>
                <w:noProof/>
                <w:webHidden/>
                <w:sz w:val="20"/>
                <w:szCs w:val="20"/>
              </w:rPr>
              <w:instrText xml:space="preserve"> PAGEREF _Toc233129518 \h </w:instrText>
            </w:r>
            <w:r w:rsidRPr="00185C5D">
              <w:rPr>
                <w:rFonts w:ascii="Times New Roman" w:hAnsi="Times New Roman" w:cs="Times New Roman"/>
                <w:b w:val="0"/>
                <w:bCs w:val="0"/>
                <w:i w:val="0"/>
                <w:iCs w:val="0"/>
                <w:noProof/>
                <w:webHidden/>
                <w:sz w:val="20"/>
                <w:szCs w:val="20"/>
              </w:rPr>
            </w:r>
            <w:r w:rsidRPr="00185C5D">
              <w:rPr>
                <w:rFonts w:ascii="Times New Roman" w:hAnsi="Times New Roman" w:cs="Times New Roman"/>
                <w:b w:val="0"/>
                <w:bCs w:val="0"/>
                <w:i w:val="0"/>
                <w:iCs w:val="0"/>
                <w:noProof/>
                <w:webHidden/>
                <w:sz w:val="20"/>
                <w:szCs w:val="20"/>
              </w:rPr>
              <w:fldChar w:fldCharType="separate"/>
            </w:r>
            <w:r w:rsidR="00EA18CE">
              <w:rPr>
                <w:rFonts w:ascii="Times New Roman" w:hAnsi="Times New Roman" w:cs="Times New Roman"/>
                <w:b w:val="0"/>
                <w:bCs w:val="0"/>
                <w:i w:val="0"/>
                <w:iCs w:val="0"/>
                <w:noProof/>
                <w:webHidden/>
                <w:sz w:val="20"/>
                <w:szCs w:val="20"/>
              </w:rPr>
              <w:t>44</w:t>
            </w:r>
            <w:r w:rsidRPr="00185C5D">
              <w:rPr>
                <w:rFonts w:ascii="Times New Roman" w:hAnsi="Times New Roman" w:cs="Times New Roman"/>
                <w:b w:val="0"/>
                <w:bCs w:val="0"/>
                <w:i w:val="0"/>
                <w:iCs w:val="0"/>
                <w:noProof/>
                <w:webHidden/>
                <w:sz w:val="20"/>
                <w:szCs w:val="20"/>
              </w:rPr>
              <w:fldChar w:fldCharType="end"/>
            </w:r>
          </w:hyperlink>
        </w:p>
        <w:p w14:paraId="10DD0403" w14:textId="1731E918" w:rsidR="00780962" w:rsidRPr="00185C5D" w:rsidRDefault="00780962">
          <w:pPr>
            <w:pStyle w:val="TOC1"/>
            <w:rPr>
              <w:rFonts w:ascii="Times New Roman" w:eastAsiaTheme="minorEastAsia" w:hAnsi="Times New Roman" w:cs="Times New Roman"/>
              <w:b w:val="0"/>
              <w:bCs w:val="0"/>
              <w:i w:val="0"/>
              <w:iCs w:val="0"/>
              <w:noProof/>
              <w:kern w:val="2"/>
              <w:sz w:val="20"/>
              <w:szCs w:val="20"/>
              <w:lang w:eastAsia="en-GB"/>
              <w14:ligatures w14:val="standardContextual"/>
            </w:rPr>
          </w:pPr>
          <w:hyperlink w:anchor="_Toc233129519" w:history="1">
            <w:r w:rsidRPr="00185C5D">
              <w:rPr>
                <w:rStyle w:val="Hyperlink"/>
                <w:rFonts w:ascii="Times New Roman" w:hAnsi="Times New Roman" w:cs="Times New Roman"/>
                <w:b w:val="0"/>
                <w:bCs w:val="0"/>
                <w:i w:val="0"/>
                <w:iCs w:val="0"/>
                <w:noProof/>
                <w:sz w:val="20"/>
                <w:szCs w:val="20"/>
              </w:rPr>
              <w:t>11.</w:t>
            </w:r>
            <w:r w:rsidRPr="00185C5D">
              <w:rPr>
                <w:rFonts w:ascii="Times New Roman" w:eastAsiaTheme="minorEastAsia" w:hAnsi="Times New Roman" w:cs="Times New Roman"/>
                <w:b w:val="0"/>
                <w:bCs w:val="0"/>
                <w:i w:val="0"/>
                <w:iCs w:val="0"/>
                <w:noProof/>
                <w:kern w:val="2"/>
                <w:sz w:val="20"/>
                <w:szCs w:val="20"/>
                <w:lang w:eastAsia="en-GB"/>
                <w14:ligatures w14:val="standardContextual"/>
              </w:rPr>
              <w:tab/>
            </w:r>
            <w:r w:rsidRPr="00185C5D">
              <w:rPr>
                <w:rStyle w:val="Hyperlink"/>
                <w:rFonts w:ascii="Times New Roman" w:hAnsi="Times New Roman" w:cs="Times New Roman"/>
                <w:b w:val="0"/>
                <w:bCs w:val="0"/>
                <w:i w:val="0"/>
                <w:iCs w:val="0"/>
                <w:noProof/>
                <w:sz w:val="20"/>
                <w:szCs w:val="20"/>
              </w:rPr>
              <w:t>Routing-comparison plots for all case-study indicators</w:t>
            </w:r>
            <w:r w:rsidRPr="00185C5D">
              <w:rPr>
                <w:rFonts w:ascii="Times New Roman" w:hAnsi="Times New Roman" w:cs="Times New Roman"/>
                <w:b w:val="0"/>
                <w:bCs w:val="0"/>
                <w:i w:val="0"/>
                <w:iCs w:val="0"/>
                <w:noProof/>
                <w:webHidden/>
                <w:sz w:val="20"/>
                <w:szCs w:val="20"/>
              </w:rPr>
              <w:tab/>
            </w:r>
            <w:r w:rsidRPr="00185C5D">
              <w:rPr>
                <w:rFonts w:ascii="Times New Roman" w:hAnsi="Times New Roman" w:cs="Times New Roman"/>
                <w:b w:val="0"/>
                <w:bCs w:val="0"/>
                <w:i w:val="0"/>
                <w:iCs w:val="0"/>
                <w:noProof/>
                <w:webHidden/>
                <w:sz w:val="20"/>
                <w:szCs w:val="20"/>
              </w:rPr>
              <w:fldChar w:fldCharType="begin"/>
            </w:r>
            <w:r w:rsidRPr="00185C5D">
              <w:rPr>
                <w:rFonts w:ascii="Times New Roman" w:hAnsi="Times New Roman" w:cs="Times New Roman"/>
                <w:b w:val="0"/>
                <w:bCs w:val="0"/>
                <w:i w:val="0"/>
                <w:iCs w:val="0"/>
                <w:noProof/>
                <w:webHidden/>
                <w:sz w:val="20"/>
                <w:szCs w:val="20"/>
              </w:rPr>
              <w:instrText xml:space="preserve"> PAGEREF _Toc233129519 \h </w:instrText>
            </w:r>
            <w:r w:rsidRPr="00185C5D">
              <w:rPr>
                <w:rFonts w:ascii="Times New Roman" w:hAnsi="Times New Roman" w:cs="Times New Roman"/>
                <w:b w:val="0"/>
                <w:bCs w:val="0"/>
                <w:i w:val="0"/>
                <w:iCs w:val="0"/>
                <w:noProof/>
                <w:webHidden/>
                <w:sz w:val="20"/>
                <w:szCs w:val="20"/>
              </w:rPr>
            </w:r>
            <w:r w:rsidRPr="00185C5D">
              <w:rPr>
                <w:rFonts w:ascii="Times New Roman" w:hAnsi="Times New Roman" w:cs="Times New Roman"/>
                <w:b w:val="0"/>
                <w:bCs w:val="0"/>
                <w:i w:val="0"/>
                <w:iCs w:val="0"/>
                <w:noProof/>
                <w:webHidden/>
                <w:sz w:val="20"/>
                <w:szCs w:val="20"/>
              </w:rPr>
              <w:fldChar w:fldCharType="separate"/>
            </w:r>
            <w:r w:rsidR="00EA18CE">
              <w:rPr>
                <w:rFonts w:ascii="Times New Roman" w:hAnsi="Times New Roman" w:cs="Times New Roman"/>
                <w:b w:val="0"/>
                <w:bCs w:val="0"/>
                <w:i w:val="0"/>
                <w:iCs w:val="0"/>
                <w:noProof/>
                <w:webHidden/>
                <w:sz w:val="20"/>
                <w:szCs w:val="20"/>
              </w:rPr>
              <w:t>48</w:t>
            </w:r>
            <w:r w:rsidRPr="00185C5D">
              <w:rPr>
                <w:rFonts w:ascii="Times New Roman" w:hAnsi="Times New Roman" w:cs="Times New Roman"/>
                <w:b w:val="0"/>
                <w:bCs w:val="0"/>
                <w:i w:val="0"/>
                <w:iCs w:val="0"/>
                <w:noProof/>
                <w:webHidden/>
                <w:sz w:val="20"/>
                <w:szCs w:val="20"/>
              </w:rPr>
              <w:fldChar w:fldCharType="end"/>
            </w:r>
          </w:hyperlink>
        </w:p>
        <w:p w14:paraId="09EFA775" w14:textId="77EF8B45" w:rsidR="00780962" w:rsidRPr="00185C5D" w:rsidRDefault="00780962">
          <w:pPr>
            <w:pStyle w:val="TOC2"/>
            <w:tabs>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20" w:history="1">
            <w:r w:rsidRPr="00185C5D">
              <w:rPr>
                <w:rStyle w:val="Hyperlink"/>
                <w:rFonts w:ascii="Times New Roman" w:hAnsi="Times New Roman" w:cs="Times New Roman"/>
                <w:b w:val="0"/>
                <w:bCs w:val="0"/>
                <w:noProof/>
                <w:sz w:val="20"/>
                <w:szCs w:val="20"/>
              </w:rPr>
              <w:t>Battery electric vehicle</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_Toc233129520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49</w:t>
            </w:r>
            <w:r w:rsidRPr="00185C5D">
              <w:rPr>
                <w:rFonts w:ascii="Times New Roman" w:hAnsi="Times New Roman" w:cs="Times New Roman"/>
                <w:b w:val="0"/>
                <w:bCs w:val="0"/>
                <w:noProof/>
                <w:webHidden/>
                <w:sz w:val="20"/>
                <w:szCs w:val="20"/>
              </w:rPr>
              <w:fldChar w:fldCharType="end"/>
            </w:r>
          </w:hyperlink>
        </w:p>
        <w:p w14:paraId="49F7E81A" w14:textId="164F80DC" w:rsidR="00780962" w:rsidRPr="00185C5D" w:rsidRDefault="00780962">
          <w:pPr>
            <w:pStyle w:val="TOC2"/>
            <w:tabs>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21" w:history="1">
            <w:r w:rsidRPr="00185C5D">
              <w:rPr>
                <w:rStyle w:val="Hyperlink"/>
                <w:rFonts w:ascii="Times New Roman" w:hAnsi="Times New Roman" w:cs="Times New Roman"/>
                <w:b w:val="0"/>
                <w:bCs w:val="0"/>
                <w:noProof/>
                <w:sz w:val="20"/>
                <w:szCs w:val="20"/>
              </w:rPr>
              <w:t>CCU polyol</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_Toc233129521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62</w:t>
            </w:r>
            <w:r w:rsidRPr="00185C5D">
              <w:rPr>
                <w:rFonts w:ascii="Times New Roman" w:hAnsi="Times New Roman" w:cs="Times New Roman"/>
                <w:b w:val="0"/>
                <w:bCs w:val="0"/>
                <w:noProof/>
                <w:webHidden/>
                <w:sz w:val="20"/>
                <w:szCs w:val="20"/>
              </w:rPr>
              <w:fldChar w:fldCharType="end"/>
            </w:r>
          </w:hyperlink>
        </w:p>
        <w:p w14:paraId="46901AEA" w14:textId="58D8ABC2" w:rsidR="00780962" w:rsidRPr="00185C5D" w:rsidRDefault="00780962">
          <w:pPr>
            <w:pStyle w:val="TOC2"/>
            <w:tabs>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22" w:history="1">
            <w:r w:rsidRPr="00185C5D">
              <w:rPr>
                <w:rStyle w:val="Hyperlink"/>
                <w:rFonts w:ascii="Times New Roman" w:hAnsi="Times New Roman" w:cs="Times New Roman"/>
                <w:b w:val="0"/>
                <w:bCs w:val="0"/>
                <w:noProof/>
                <w:sz w:val="20"/>
                <w:szCs w:val="20"/>
              </w:rPr>
              <w:t>Marine fuel switch</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_Toc233129522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75</w:t>
            </w:r>
            <w:r w:rsidRPr="00185C5D">
              <w:rPr>
                <w:rFonts w:ascii="Times New Roman" w:hAnsi="Times New Roman" w:cs="Times New Roman"/>
                <w:b w:val="0"/>
                <w:bCs w:val="0"/>
                <w:noProof/>
                <w:webHidden/>
                <w:sz w:val="20"/>
                <w:szCs w:val="20"/>
              </w:rPr>
              <w:fldChar w:fldCharType="end"/>
            </w:r>
          </w:hyperlink>
        </w:p>
        <w:p w14:paraId="21656B4F" w14:textId="5C910C76" w:rsidR="00780962" w:rsidRPr="00185C5D" w:rsidRDefault="00780962">
          <w:pPr>
            <w:pStyle w:val="TOC2"/>
            <w:tabs>
              <w:tab w:val="right" w:leader="dot" w:pos="6623"/>
            </w:tabs>
            <w:rPr>
              <w:rFonts w:ascii="Times New Roman" w:eastAsiaTheme="minorEastAsia" w:hAnsi="Times New Roman" w:cs="Times New Roman"/>
              <w:b w:val="0"/>
              <w:bCs w:val="0"/>
              <w:noProof/>
              <w:kern w:val="2"/>
              <w:sz w:val="20"/>
              <w:szCs w:val="20"/>
              <w:lang w:eastAsia="en-GB"/>
              <w14:ligatures w14:val="standardContextual"/>
            </w:rPr>
          </w:pPr>
          <w:hyperlink w:anchor="_Toc233129523" w:history="1">
            <w:r w:rsidRPr="00185C5D">
              <w:rPr>
                <w:rStyle w:val="Hyperlink"/>
                <w:rFonts w:ascii="Times New Roman" w:hAnsi="Times New Roman" w:cs="Times New Roman"/>
                <w:b w:val="0"/>
                <w:bCs w:val="0"/>
                <w:noProof/>
                <w:sz w:val="20"/>
                <w:szCs w:val="20"/>
              </w:rPr>
              <w:t>Direct air capture and carbon storage</w:t>
            </w:r>
            <w:r w:rsidRPr="00185C5D">
              <w:rPr>
                <w:rFonts w:ascii="Times New Roman" w:hAnsi="Times New Roman" w:cs="Times New Roman"/>
                <w:b w:val="0"/>
                <w:bCs w:val="0"/>
                <w:noProof/>
                <w:webHidden/>
                <w:sz w:val="20"/>
                <w:szCs w:val="20"/>
              </w:rPr>
              <w:tab/>
            </w:r>
            <w:r w:rsidRPr="00185C5D">
              <w:rPr>
                <w:rFonts w:ascii="Times New Roman" w:hAnsi="Times New Roman" w:cs="Times New Roman"/>
                <w:b w:val="0"/>
                <w:bCs w:val="0"/>
                <w:noProof/>
                <w:webHidden/>
                <w:sz w:val="20"/>
                <w:szCs w:val="20"/>
              </w:rPr>
              <w:fldChar w:fldCharType="begin"/>
            </w:r>
            <w:r w:rsidRPr="00185C5D">
              <w:rPr>
                <w:rFonts w:ascii="Times New Roman" w:hAnsi="Times New Roman" w:cs="Times New Roman"/>
                <w:b w:val="0"/>
                <w:bCs w:val="0"/>
                <w:noProof/>
                <w:webHidden/>
                <w:sz w:val="20"/>
                <w:szCs w:val="20"/>
              </w:rPr>
              <w:instrText xml:space="preserve"> PAGEREF _Toc233129523 \h </w:instrText>
            </w:r>
            <w:r w:rsidRPr="00185C5D">
              <w:rPr>
                <w:rFonts w:ascii="Times New Roman" w:hAnsi="Times New Roman" w:cs="Times New Roman"/>
                <w:b w:val="0"/>
                <w:bCs w:val="0"/>
                <w:noProof/>
                <w:webHidden/>
                <w:sz w:val="20"/>
                <w:szCs w:val="20"/>
              </w:rPr>
            </w:r>
            <w:r w:rsidRPr="00185C5D">
              <w:rPr>
                <w:rFonts w:ascii="Times New Roman" w:hAnsi="Times New Roman" w:cs="Times New Roman"/>
                <w:b w:val="0"/>
                <w:bCs w:val="0"/>
                <w:noProof/>
                <w:webHidden/>
                <w:sz w:val="20"/>
                <w:szCs w:val="20"/>
              </w:rPr>
              <w:fldChar w:fldCharType="separate"/>
            </w:r>
            <w:r w:rsidR="00EA18CE">
              <w:rPr>
                <w:rFonts w:ascii="Times New Roman" w:hAnsi="Times New Roman" w:cs="Times New Roman"/>
                <w:b w:val="0"/>
                <w:bCs w:val="0"/>
                <w:noProof/>
                <w:webHidden/>
                <w:sz w:val="20"/>
                <w:szCs w:val="20"/>
              </w:rPr>
              <w:t>88</w:t>
            </w:r>
            <w:r w:rsidRPr="00185C5D">
              <w:rPr>
                <w:rFonts w:ascii="Times New Roman" w:hAnsi="Times New Roman" w:cs="Times New Roman"/>
                <w:b w:val="0"/>
                <w:bCs w:val="0"/>
                <w:noProof/>
                <w:webHidden/>
                <w:sz w:val="20"/>
                <w:szCs w:val="20"/>
              </w:rPr>
              <w:fldChar w:fldCharType="end"/>
            </w:r>
          </w:hyperlink>
        </w:p>
        <w:p w14:paraId="4AD2898B" w14:textId="3364700F" w:rsidR="00780962" w:rsidRPr="00185C5D" w:rsidRDefault="00780962">
          <w:pPr>
            <w:pStyle w:val="TOC1"/>
            <w:rPr>
              <w:rFonts w:ascii="Times New Roman" w:eastAsiaTheme="minorEastAsia" w:hAnsi="Times New Roman" w:cs="Times New Roman"/>
              <w:b w:val="0"/>
              <w:bCs w:val="0"/>
              <w:i w:val="0"/>
              <w:iCs w:val="0"/>
              <w:noProof/>
              <w:kern w:val="2"/>
              <w:sz w:val="20"/>
              <w:szCs w:val="20"/>
              <w:lang w:eastAsia="en-GB"/>
              <w14:ligatures w14:val="standardContextual"/>
            </w:rPr>
          </w:pPr>
          <w:hyperlink w:anchor="_Toc233129524" w:history="1">
            <w:r w:rsidRPr="00185C5D">
              <w:rPr>
                <w:rStyle w:val="Hyperlink"/>
                <w:rFonts w:ascii="Times New Roman" w:hAnsi="Times New Roman" w:cs="Times New Roman"/>
                <w:b w:val="0"/>
                <w:bCs w:val="0"/>
                <w:i w:val="0"/>
                <w:iCs w:val="0"/>
                <w:noProof/>
                <w:sz w:val="20"/>
                <w:szCs w:val="20"/>
              </w:rPr>
              <w:t>References</w:t>
            </w:r>
            <w:r w:rsidRPr="00185C5D">
              <w:rPr>
                <w:rFonts w:ascii="Times New Roman" w:hAnsi="Times New Roman" w:cs="Times New Roman"/>
                <w:b w:val="0"/>
                <w:bCs w:val="0"/>
                <w:i w:val="0"/>
                <w:iCs w:val="0"/>
                <w:noProof/>
                <w:webHidden/>
                <w:sz w:val="20"/>
                <w:szCs w:val="20"/>
              </w:rPr>
              <w:tab/>
            </w:r>
            <w:r w:rsidRPr="00185C5D">
              <w:rPr>
                <w:rFonts w:ascii="Times New Roman" w:hAnsi="Times New Roman" w:cs="Times New Roman"/>
                <w:b w:val="0"/>
                <w:bCs w:val="0"/>
                <w:i w:val="0"/>
                <w:iCs w:val="0"/>
                <w:noProof/>
                <w:webHidden/>
                <w:sz w:val="20"/>
                <w:szCs w:val="20"/>
              </w:rPr>
              <w:fldChar w:fldCharType="begin"/>
            </w:r>
            <w:r w:rsidRPr="00185C5D">
              <w:rPr>
                <w:rFonts w:ascii="Times New Roman" w:hAnsi="Times New Roman" w:cs="Times New Roman"/>
                <w:b w:val="0"/>
                <w:bCs w:val="0"/>
                <w:i w:val="0"/>
                <w:iCs w:val="0"/>
                <w:noProof/>
                <w:webHidden/>
                <w:sz w:val="20"/>
                <w:szCs w:val="20"/>
              </w:rPr>
              <w:instrText xml:space="preserve"> PAGEREF _Toc233129524 \h </w:instrText>
            </w:r>
            <w:r w:rsidRPr="00185C5D">
              <w:rPr>
                <w:rFonts w:ascii="Times New Roman" w:hAnsi="Times New Roman" w:cs="Times New Roman"/>
                <w:b w:val="0"/>
                <w:bCs w:val="0"/>
                <w:i w:val="0"/>
                <w:iCs w:val="0"/>
                <w:noProof/>
                <w:webHidden/>
                <w:sz w:val="20"/>
                <w:szCs w:val="20"/>
              </w:rPr>
            </w:r>
            <w:r w:rsidRPr="00185C5D">
              <w:rPr>
                <w:rFonts w:ascii="Times New Roman" w:hAnsi="Times New Roman" w:cs="Times New Roman"/>
                <w:b w:val="0"/>
                <w:bCs w:val="0"/>
                <w:i w:val="0"/>
                <w:iCs w:val="0"/>
                <w:noProof/>
                <w:webHidden/>
                <w:sz w:val="20"/>
                <w:szCs w:val="20"/>
              </w:rPr>
              <w:fldChar w:fldCharType="separate"/>
            </w:r>
            <w:r w:rsidR="00EA18CE">
              <w:rPr>
                <w:rFonts w:ascii="Times New Roman" w:hAnsi="Times New Roman" w:cs="Times New Roman"/>
                <w:b w:val="0"/>
                <w:bCs w:val="0"/>
                <w:i w:val="0"/>
                <w:iCs w:val="0"/>
                <w:noProof/>
                <w:webHidden/>
                <w:sz w:val="20"/>
                <w:szCs w:val="20"/>
              </w:rPr>
              <w:t>101</w:t>
            </w:r>
            <w:r w:rsidRPr="00185C5D">
              <w:rPr>
                <w:rFonts w:ascii="Times New Roman" w:hAnsi="Times New Roman" w:cs="Times New Roman"/>
                <w:b w:val="0"/>
                <w:bCs w:val="0"/>
                <w:i w:val="0"/>
                <w:iCs w:val="0"/>
                <w:noProof/>
                <w:webHidden/>
                <w:sz w:val="20"/>
                <w:szCs w:val="20"/>
              </w:rPr>
              <w:fldChar w:fldCharType="end"/>
            </w:r>
          </w:hyperlink>
        </w:p>
        <w:p w14:paraId="6B09B935" w14:textId="09F37D28" w:rsidR="00371937" w:rsidRPr="001D4ECA" w:rsidRDefault="00371937">
          <w:r w:rsidRPr="00185C5D">
            <w:rPr>
              <w:noProof/>
            </w:rPr>
            <w:fldChar w:fldCharType="end"/>
          </w:r>
        </w:p>
      </w:sdtContent>
    </w:sdt>
    <w:p w14:paraId="15373E30" w14:textId="77777777" w:rsidR="00557853" w:rsidRDefault="00557853"/>
    <w:p w14:paraId="6445A480" w14:textId="57CCFF6F" w:rsidR="00E4260D" w:rsidRDefault="00240788" w:rsidP="006B0A63">
      <w:pPr>
        <w:pStyle w:val="Heading1"/>
        <w:numPr>
          <w:ilvl w:val="0"/>
          <w:numId w:val="41"/>
        </w:numPr>
      </w:pPr>
      <w:bookmarkStart w:id="0" w:name="_Toc233129498"/>
      <w:r>
        <w:t>Computational pathway</w:t>
      </w:r>
      <w:bookmarkEnd w:id="0"/>
    </w:p>
    <w:p w14:paraId="5EC4B5F7" w14:textId="109F2167" w:rsidR="00E4260D" w:rsidRDefault="00CE5A22">
      <w:r w:rsidRPr="00CE5A22">
        <w:rPr>
          <w:i/>
          <w:iCs/>
        </w:rPr>
        <w:t>Trails</w:t>
      </w:r>
      <w:r>
        <w:t xml:space="preserve"> treats a prospective LCA data package as a set of connected scenario-year matrices. Each year has a standard technosphere matrix and a standard biosphere matrix. Temporal exchange metadata then determine</w:t>
      </w:r>
      <w:r w:rsidR="004A0EEE">
        <w:t>s</w:t>
      </w:r>
      <w:r>
        <w:t xml:space="preserve"> whether a technosphere demand or biosphere flow remains in the anchor year or is routed to other years.</w:t>
      </w:r>
    </w:p>
    <w:p w14:paraId="3B859B0C" w14:textId="6F29B987" w:rsidR="00E4260D" w:rsidRDefault="00240788">
      <w:r>
        <w:t xml:space="preserve">This section expands the computational pathway </w:t>
      </w:r>
      <w:r w:rsidR="00C941A6">
        <w:t xml:space="preserve">illustrated in Figure 1 and </w:t>
      </w:r>
      <w:r>
        <w:t>introduced in the main-text Method sections "Scenario-year matrix tensors", "Temporal routing graph", and "Year-wise solving and inventory accumulation".</w:t>
      </w:r>
    </w:p>
    <w:p w14:paraId="0F99FECB" w14:textId="77777777" w:rsidR="00E4260D" w:rsidRDefault="00240788" w:rsidP="007A2478">
      <w:pPr>
        <w:pStyle w:val="figure"/>
        <w:ind w:left="-1276"/>
        <w:jc w:val="center"/>
      </w:pPr>
      <w:r>
        <w:rPr>
          <w:noProof/>
        </w:rPr>
        <w:drawing>
          <wp:inline distT="0" distB="0" distL="0" distR="0" wp14:anchorId="72B5EA4E" wp14:editId="0DDB157C">
            <wp:extent cx="5873634" cy="683380"/>
            <wp:effectExtent l="0" t="0" r="0" b="0"/>
            <wp:docPr id="1" name="Picture 1" descr="TRAILS computational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rkflow_schematic.svg"/>
                    <pic:cNvPicPr/>
                  </pic:nvPicPr>
                  <pic:blipFill rotWithShape="1">
                    <a:blip r:embed="rId10">
                      <a:extLst>
                        <a:ext uri="{96DAC541-7B7A-43D3-8B79-37D633B846F1}">
                          <asvg:svgBlip xmlns:asvg="http://schemas.microsoft.com/office/drawing/2016/SVG/main" r:embed="rId11"/>
                        </a:ext>
                      </a:extLst>
                    </a:blip>
                    <a:srcRect t="23260" b="32886"/>
                    <a:stretch>
                      <a:fillRect/>
                    </a:stretch>
                  </pic:blipFill>
                  <pic:spPr bwMode="auto">
                    <a:xfrm>
                      <a:off x="0" y="0"/>
                      <a:ext cx="5985564" cy="696403"/>
                    </a:xfrm>
                    <a:prstGeom prst="rect">
                      <a:avLst/>
                    </a:prstGeom>
                    <a:ln>
                      <a:noFill/>
                    </a:ln>
                    <a:extLst>
                      <a:ext uri="{53640926-AAD7-44D8-BBD7-CCE9431645EC}">
                        <a14:shadowObscured xmlns:a14="http://schemas.microsoft.com/office/drawing/2010/main"/>
                      </a:ext>
                    </a:extLst>
                  </pic:spPr>
                </pic:pic>
              </a:graphicData>
            </a:graphic>
          </wp:inline>
        </w:drawing>
      </w:r>
    </w:p>
    <w:p w14:paraId="21D066A6" w14:textId="3C2CC4E7" w:rsidR="00E4260D" w:rsidRPr="00061CE9" w:rsidRDefault="00AD2597" w:rsidP="00952717">
      <w:pPr>
        <w:pStyle w:val="fignotes"/>
        <w:rPr>
          <w:iCs/>
        </w:rPr>
      </w:pPr>
      <w:r w:rsidRPr="00061CE9">
        <w:rPr>
          <w:b/>
          <w:bCs/>
          <w:iCs/>
        </w:rPr>
        <w:t>Figure 1</w:t>
      </w:r>
      <w:r w:rsidR="00061CE9" w:rsidRPr="00061CE9">
        <w:rPr>
          <w:iCs/>
        </w:rPr>
        <w:t xml:space="preserve"> - </w:t>
      </w:r>
      <w:r w:rsidR="00952717" w:rsidRPr="00952717">
        <w:rPr>
          <w:iCs/>
        </w:rPr>
        <w:t xml:space="preserve">Computational pathway implemented in Trails. A Frictionless </w:t>
      </w:r>
      <w:proofErr w:type="spellStart"/>
      <w:r w:rsidR="00952717" w:rsidRPr="00952717">
        <w:rPr>
          <w:iCs/>
        </w:rPr>
        <w:t>datapackage</w:t>
      </w:r>
      <w:proofErr w:type="spellEnd"/>
      <w:r w:rsidR="00952717" w:rsidRPr="00952717">
        <w:rPr>
          <w:iCs/>
        </w:rPr>
        <w:t xml:space="preserve"> provides scenario-year</w:t>
      </w:r>
      <w:r w:rsidR="00952717">
        <w:rPr>
          <w:iCs/>
        </w:rPr>
        <w:t xml:space="preserve"> </w:t>
      </w:r>
      <w:r w:rsidR="00952717" w:rsidRPr="00952717">
        <w:rPr>
          <w:iCs/>
        </w:rPr>
        <w:t>technosphere and biosphere matrices; optional annual interpolation builds annual matrix tensors; temporal exchange</w:t>
      </w:r>
      <w:r w:rsidR="00952717">
        <w:rPr>
          <w:iCs/>
        </w:rPr>
        <w:t xml:space="preserve"> </w:t>
      </w:r>
      <w:r w:rsidR="00952717" w:rsidRPr="00952717">
        <w:rPr>
          <w:iCs/>
        </w:rPr>
        <w:t>metadata is converted into routing offsets; routed frontier demands are solved as bounded year-specific systems; and</w:t>
      </w:r>
      <w:r w:rsidR="00952717">
        <w:rPr>
          <w:iCs/>
        </w:rPr>
        <w:t xml:space="preserve"> </w:t>
      </w:r>
      <w:r w:rsidR="00952717" w:rsidRPr="00952717">
        <w:rPr>
          <w:iCs/>
        </w:rPr>
        <w:t xml:space="preserve">annual inventories, LCIA scores, and optional </w:t>
      </w:r>
      <w:proofErr w:type="spellStart"/>
      <w:r w:rsidR="00952717" w:rsidRPr="00952717">
        <w:rPr>
          <w:iCs/>
        </w:rPr>
        <w:t>FaIR</w:t>
      </w:r>
      <w:proofErr w:type="spellEnd"/>
      <w:r w:rsidR="00952717" w:rsidRPr="00952717">
        <w:rPr>
          <w:iCs/>
        </w:rPr>
        <w:t xml:space="preserve"> responses are accumulated</w:t>
      </w:r>
      <w:r w:rsidR="00061CE9" w:rsidRPr="00061CE9">
        <w:rPr>
          <w:iCs/>
        </w:rPr>
        <w:t>.</w:t>
      </w:r>
    </w:p>
    <w:p w14:paraId="52FEAAEC" w14:textId="4CFAF43B" w:rsidR="00E4260D" w:rsidRDefault="00240788">
      <w:r>
        <w:lastRenderedPageBreak/>
        <w:t xml:space="preserve">The workflow </w:t>
      </w:r>
      <w:r w:rsidR="006D6042">
        <w:t xml:space="preserve">illustrated in Figure 1 </w:t>
      </w:r>
      <w:r>
        <w:t>separates temporal propagation from matrix solving. The temporal graph carries cross-year information, while the LCA solver only sees bounded year-specific matrix systems. Section S8 evaluates this design choice against a monolithic time-expanded matrix representation.</w:t>
      </w:r>
    </w:p>
    <w:p w14:paraId="0EEFF78E" w14:textId="5A168438" w:rsidR="00E4260D" w:rsidRDefault="00240788">
      <w:r>
        <w:t xml:space="preserve">In a typical run, </w:t>
      </w:r>
      <w:r w:rsidR="00F86513" w:rsidRPr="00F86513">
        <w:rPr>
          <w:i/>
          <w:iCs/>
        </w:rPr>
        <w:t>Trails</w:t>
      </w:r>
      <w:r>
        <w:t>:</w:t>
      </w:r>
    </w:p>
    <w:p w14:paraId="26F8B191" w14:textId="1EA5ABAF" w:rsidR="00E4260D" w:rsidRDefault="00240788" w:rsidP="00F86513">
      <w:pPr>
        <w:pStyle w:val="NumberedItem"/>
        <w:numPr>
          <w:ilvl w:val="0"/>
          <w:numId w:val="39"/>
        </w:numPr>
      </w:pPr>
      <w:r>
        <w:t>loads the Frictionless data</w:t>
      </w:r>
      <w:r w:rsidR="00F86513">
        <w:t xml:space="preserve"> </w:t>
      </w:r>
      <w:r>
        <w:t>package;</w:t>
      </w:r>
    </w:p>
    <w:p w14:paraId="2DC0DD3F" w14:textId="50C68B89" w:rsidR="00E4260D" w:rsidRDefault="00240788" w:rsidP="00F86513">
      <w:pPr>
        <w:pStyle w:val="NumberedItem"/>
        <w:numPr>
          <w:ilvl w:val="0"/>
          <w:numId w:val="39"/>
        </w:numPr>
      </w:pPr>
      <w:r>
        <w:t>optionally interpolates the matrix slices to annual resolution;</w:t>
      </w:r>
    </w:p>
    <w:p w14:paraId="5AF47DFF" w14:textId="67431235" w:rsidR="00E4260D" w:rsidRDefault="00240788" w:rsidP="00F86513">
      <w:pPr>
        <w:pStyle w:val="NumberedItem"/>
        <w:numPr>
          <w:ilvl w:val="0"/>
          <w:numId w:val="39"/>
        </w:numPr>
      </w:pPr>
      <w:r>
        <w:t>reads temporal columns from the technosphere and biosphere matrix files;</w:t>
      </w:r>
    </w:p>
    <w:p w14:paraId="70927DBE" w14:textId="5C80DC18" w:rsidR="00E4260D" w:rsidRDefault="00240788" w:rsidP="00F86513">
      <w:pPr>
        <w:pStyle w:val="NumberedItem"/>
        <w:numPr>
          <w:ilvl w:val="0"/>
          <w:numId w:val="39"/>
        </w:numPr>
      </w:pPr>
      <w:r>
        <w:t>routes temporal exchanges through an activity-year graph;</w:t>
      </w:r>
    </w:p>
    <w:p w14:paraId="3EEEE79F" w14:textId="4D7D923A" w:rsidR="00E4260D" w:rsidRDefault="00240788" w:rsidP="00F86513">
      <w:pPr>
        <w:pStyle w:val="NumberedItem"/>
        <w:numPr>
          <w:ilvl w:val="0"/>
          <w:numId w:val="39"/>
        </w:numPr>
      </w:pPr>
      <w:r>
        <w:t>solves the resulting frontier demands year by year;</w:t>
      </w:r>
    </w:p>
    <w:p w14:paraId="6E389381" w14:textId="677B6913" w:rsidR="00E4260D" w:rsidRDefault="00240788" w:rsidP="00F86513">
      <w:pPr>
        <w:pStyle w:val="NumberedItem"/>
        <w:numPr>
          <w:ilvl w:val="0"/>
          <w:numId w:val="39"/>
        </w:numPr>
      </w:pPr>
      <w:r>
        <w:t xml:space="preserve">aggregates inventories, </w:t>
      </w:r>
      <w:proofErr w:type="spellStart"/>
      <w:r>
        <w:t>characteri</w:t>
      </w:r>
      <w:r w:rsidR="004A0EEE">
        <w:t>s</w:t>
      </w:r>
      <w:r>
        <w:t>ed</w:t>
      </w:r>
      <w:proofErr w:type="spellEnd"/>
      <w:r>
        <w:t xml:space="preserve"> scores, and optional </w:t>
      </w:r>
      <w:proofErr w:type="spellStart"/>
      <w:r w:rsidRPr="00F86513">
        <w:rPr>
          <w:i/>
          <w:iCs/>
        </w:rPr>
        <w:t>FaIR</w:t>
      </w:r>
      <w:proofErr w:type="spellEnd"/>
      <w:r>
        <w:t xml:space="preserve"> perturbation responses.</w:t>
      </w:r>
    </w:p>
    <w:p w14:paraId="0B7FA66A" w14:textId="4FF3AAD7" w:rsidR="00E4260D" w:rsidRDefault="00240788">
      <w:r>
        <w:t xml:space="preserve">Usage examples are provided in the </w:t>
      </w:r>
      <w:proofErr w:type="spellStart"/>
      <w:r>
        <w:t>quickstart</w:t>
      </w:r>
      <w:proofErr w:type="spellEnd"/>
      <w:r>
        <w:t xml:space="preserve"> and user guide. The API reference </w:t>
      </w:r>
      <w:r w:rsidR="004A0EEE">
        <w:t>provid</w:t>
      </w:r>
      <w:r>
        <w:t>es the full argument</w:t>
      </w:r>
      <w:r w:rsidR="004A0EEE">
        <w:t xml:space="preserve"> list</w:t>
      </w:r>
      <w:r>
        <w:t xml:space="preserve">s for </w:t>
      </w:r>
      <w:r>
        <w:rPr>
          <w:rFonts w:ascii="Courier New" w:hAnsi="Courier New"/>
          <w:sz w:val="18"/>
        </w:rPr>
        <w:t>Trails</w:t>
      </w:r>
      <w:r>
        <w:t xml:space="preserve">, </w:t>
      </w:r>
      <w:proofErr w:type="spellStart"/>
      <w:r>
        <w:rPr>
          <w:rFonts w:ascii="Courier New" w:hAnsi="Courier New"/>
          <w:sz w:val="18"/>
        </w:rPr>
        <w:t>temporal_routing</w:t>
      </w:r>
      <w:proofErr w:type="spellEnd"/>
      <w:r>
        <w:t xml:space="preserve">, </w:t>
      </w:r>
      <w:proofErr w:type="spellStart"/>
      <w:r>
        <w:rPr>
          <w:rFonts w:ascii="Courier New" w:hAnsi="Courier New"/>
          <w:sz w:val="18"/>
        </w:rPr>
        <w:t>lca</w:t>
      </w:r>
      <w:proofErr w:type="spellEnd"/>
      <w:r>
        <w:t xml:space="preserve">, plotting functions, and </w:t>
      </w:r>
      <w:proofErr w:type="spellStart"/>
      <w:r>
        <w:rPr>
          <w:rFonts w:ascii="Courier New" w:hAnsi="Courier New"/>
          <w:sz w:val="18"/>
        </w:rPr>
        <w:t>run_fair_delta_rf</w:t>
      </w:r>
      <w:proofErr w:type="spellEnd"/>
      <w:r>
        <w:t>.</w:t>
      </w:r>
    </w:p>
    <w:p w14:paraId="3B1FEF39" w14:textId="18A669E9" w:rsidR="00E4260D" w:rsidRDefault="00240788" w:rsidP="006B0A63">
      <w:pPr>
        <w:pStyle w:val="Heading1"/>
        <w:numPr>
          <w:ilvl w:val="0"/>
          <w:numId w:val="41"/>
        </w:numPr>
      </w:pPr>
      <w:bookmarkStart w:id="1" w:name="_Toc233129499"/>
      <w:proofErr w:type="spellStart"/>
      <w:r>
        <w:t>Datapackage</w:t>
      </w:r>
      <w:proofErr w:type="spellEnd"/>
      <w:r>
        <w:t xml:space="preserve"> consumed by </w:t>
      </w:r>
      <w:r w:rsidR="009E1929" w:rsidRPr="009E1929">
        <w:rPr>
          <w:i/>
          <w:iCs/>
        </w:rPr>
        <w:t>Trails</w:t>
      </w:r>
      <w:bookmarkEnd w:id="1"/>
    </w:p>
    <w:p w14:paraId="532938D2" w14:textId="5743A423" w:rsidR="00E4260D" w:rsidRDefault="00240788">
      <w:r>
        <w:t xml:space="preserve">This section gives the file-level representation of the </w:t>
      </w:r>
      <w:r w:rsidR="000F0E02">
        <w:t>time-indexed</w:t>
      </w:r>
      <w:r w:rsidR="0091317A" w:rsidRPr="0091317A">
        <w:t xml:space="preserve"> databases</w:t>
      </w:r>
      <w:r>
        <w:t xml:space="preserve"> discussed in the main-text section "Connected </w:t>
      </w:r>
      <w:r w:rsidR="004012BB">
        <w:t>time-indexed</w:t>
      </w:r>
      <w:r>
        <w:t xml:space="preserve"> databases". It also provides the data-package counterpart to the tensor notation introduced in the main-text Method section "Scenario-year matrix tensors".</w:t>
      </w:r>
    </w:p>
    <w:p w14:paraId="6F75A555" w14:textId="037500A0" w:rsidR="00E4260D" w:rsidRDefault="009E1929">
      <w:r w:rsidRPr="009E1929">
        <w:rPr>
          <w:i/>
          <w:iCs/>
        </w:rPr>
        <w:t>Trails</w:t>
      </w:r>
      <w:r>
        <w:t xml:space="preserve"> reads a Frictionless data package. The package descriptor is </w:t>
      </w:r>
      <w:proofErr w:type="spellStart"/>
      <w:proofErr w:type="gramStart"/>
      <w:r>
        <w:rPr>
          <w:rFonts w:ascii="Courier New" w:hAnsi="Courier New"/>
          <w:sz w:val="18"/>
        </w:rPr>
        <w:t>datapackage.json</w:t>
      </w:r>
      <w:proofErr w:type="spellEnd"/>
      <w:proofErr w:type="gramEnd"/>
      <w:r>
        <w:t>, and model, pathway, and year</w:t>
      </w:r>
      <w:r w:rsidR="004A0EEE">
        <w:t xml:space="preserve"> arrange the inventory resources</w:t>
      </w:r>
      <w:r>
        <w:t>:</w:t>
      </w:r>
    </w:p>
    <w:p w14:paraId="0F548DF1" w14:textId="77777777" w:rsidR="00E4260D" w:rsidRDefault="00240788" w:rsidP="003160EF">
      <w:pPr>
        <w:pStyle w:val="computercode"/>
        <w:numPr>
          <w:ilvl w:val="0"/>
          <w:numId w:val="40"/>
        </w:numPr>
        <w:spacing w:after="0"/>
      </w:pPr>
      <w:proofErr w:type="spellStart"/>
      <w:proofErr w:type="gramStart"/>
      <w:r>
        <w:t>datapackage.json</w:t>
      </w:r>
      <w:proofErr w:type="spellEnd"/>
      <w:proofErr w:type="gramEnd"/>
    </w:p>
    <w:p w14:paraId="39D604C8" w14:textId="77777777" w:rsidR="00E4260D" w:rsidRDefault="00240788" w:rsidP="003160EF">
      <w:pPr>
        <w:pStyle w:val="computercode"/>
        <w:numPr>
          <w:ilvl w:val="0"/>
          <w:numId w:val="40"/>
        </w:numPr>
        <w:spacing w:after="0"/>
      </w:pPr>
      <w:r>
        <w:t>inventories/</w:t>
      </w:r>
    </w:p>
    <w:p w14:paraId="62824944" w14:textId="3EA50D13" w:rsidR="00E4260D" w:rsidRDefault="00240788" w:rsidP="003160EF">
      <w:pPr>
        <w:pStyle w:val="computercode"/>
        <w:numPr>
          <w:ilvl w:val="1"/>
          <w:numId w:val="40"/>
        </w:numPr>
        <w:spacing w:after="0"/>
      </w:pPr>
      <w:r>
        <w:t>&lt;model&gt;/</w:t>
      </w:r>
    </w:p>
    <w:p w14:paraId="3B41A306" w14:textId="5CF368E5" w:rsidR="00E4260D" w:rsidRDefault="00240788" w:rsidP="003160EF">
      <w:pPr>
        <w:pStyle w:val="computercode"/>
        <w:numPr>
          <w:ilvl w:val="2"/>
          <w:numId w:val="40"/>
        </w:numPr>
        <w:spacing w:after="0"/>
      </w:pPr>
      <w:r>
        <w:t>&lt;pathway&gt;/</w:t>
      </w:r>
    </w:p>
    <w:p w14:paraId="6017F78B" w14:textId="010BEE9D" w:rsidR="00E4260D" w:rsidRDefault="00240788" w:rsidP="003160EF">
      <w:pPr>
        <w:pStyle w:val="computercode"/>
        <w:numPr>
          <w:ilvl w:val="3"/>
          <w:numId w:val="40"/>
        </w:numPr>
        <w:spacing w:after="0"/>
      </w:pPr>
      <w:r>
        <w:t>&lt;year&gt;/</w:t>
      </w:r>
    </w:p>
    <w:p w14:paraId="12806B96" w14:textId="41CDB335" w:rsidR="00E4260D" w:rsidRDefault="00240788" w:rsidP="003160EF">
      <w:pPr>
        <w:pStyle w:val="computercode"/>
        <w:numPr>
          <w:ilvl w:val="4"/>
          <w:numId w:val="40"/>
        </w:numPr>
        <w:spacing w:after="0"/>
      </w:pPr>
      <w:r>
        <w:t>A_matrix.csv</w:t>
      </w:r>
    </w:p>
    <w:p w14:paraId="63AC1608" w14:textId="0B60DE9C" w:rsidR="00E4260D" w:rsidRDefault="00240788" w:rsidP="003160EF">
      <w:pPr>
        <w:pStyle w:val="computercode"/>
        <w:numPr>
          <w:ilvl w:val="4"/>
          <w:numId w:val="40"/>
        </w:numPr>
        <w:spacing w:after="0"/>
      </w:pPr>
      <w:r>
        <w:t>A_matrix_index.csv</w:t>
      </w:r>
    </w:p>
    <w:p w14:paraId="5BD6281E" w14:textId="1E48CA42" w:rsidR="00E4260D" w:rsidRDefault="00240788" w:rsidP="003160EF">
      <w:pPr>
        <w:pStyle w:val="computercode"/>
        <w:numPr>
          <w:ilvl w:val="4"/>
          <w:numId w:val="40"/>
        </w:numPr>
        <w:spacing w:after="0"/>
      </w:pPr>
      <w:r>
        <w:t>B_matrix.csv</w:t>
      </w:r>
    </w:p>
    <w:p w14:paraId="41CDE05D" w14:textId="698419AB" w:rsidR="00E4260D" w:rsidRDefault="00240788" w:rsidP="003160EF">
      <w:pPr>
        <w:pStyle w:val="computercode"/>
        <w:numPr>
          <w:ilvl w:val="4"/>
          <w:numId w:val="40"/>
        </w:numPr>
        <w:spacing w:after="0"/>
      </w:pPr>
      <w:r>
        <w:t>B_matrix_index.csv</w:t>
      </w:r>
    </w:p>
    <w:p w14:paraId="32C95D52" w14:textId="77777777" w:rsidR="004C671D" w:rsidRDefault="004C671D"/>
    <w:p w14:paraId="122524FB" w14:textId="5BE30EEE" w:rsidR="00E4260D" w:rsidRDefault="00240788">
      <w:r>
        <w:t xml:space="preserve">The resource path is part of the model. </w:t>
      </w:r>
      <w:r w:rsidR="004C671D" w:rsidRPr="004C671D">
        <w:rPr>
          <w:i/>
          <w:iCs/>
        </w:rPr>
        <w:t>Trails</w:t>
      </w:r>
      <w:r>
        <w:t xml:space="preserve"> extracts the scenario year from paths such as:</w:t>
      </w:r>
    </w:p>
    <w:p w14:paraId="360878D1" w14:textId="77777777" w:rsidR="00E4260D" w:rsidRPr="004C671D" w:rsidRDefault="00240788" w:rsidP="004C671D">
      <w:pPr>
        <w:pStyle w:val="computercode"/>
        <w:jc w:val="center"/>
        <w:rPr>
          <w:i/>
          <w:iCs/>
        </w:rPr>
      </w:pPr>
      <w:r w:rsidRPr="004C671D">
        <w:rPr>
          <w:i/>
          <w:iCs/>
        </w:rPr>
        <w:t>inventories/remind/</w:t>
      </w:r>
      <w:proofErr w:type="spellStart"/>
      <w:r w:rsidRPr="004C671D">
        <w:rPr>
          <w:i/>
          <w:iCs/>
        </w:rPr>
        <w:t>NPi</w:t>
      </w:r>
      <w:proofErr w:type="spellEnd"/>
      <w:r w:rsidRPr="004C671D">
        <w:rPr>
          <w:i/>
          <w:iCs/>
        </w:rPr>
        <w:t>/2050/A_matrix.csv</w:t>
      </w:r>
    </w:p>
    <w:p w14:paraId="7E0FB646" w14:textId="77777777" w:rsidR="00E4260D" w:rsidRDefault="00240788">
      <w:r>
        <w:lastRenderedPageBreak/>
        <w:t xml:space="preserve">The technosphere file </w:t>
      </w:r>
      <w:r>
        <w:rPr>
          <w:rFonts w:ascii="Courier New" w:hAnsi="Courier New"/>
          <w:sz w:val="18"/>
        </w:rPr>
        <w:t>A_matrix.csv</w:t>
      </w:r>
      <w:r>
        <w:t xml:space="preserve"> contains non-zero technosphere coefficients. The biosphere file </w:t>
      </w:r>
      <w:r>
        <w:rPr>
          <w:rFonts w:ascii="Courier New" w:hAnsi="Courier New"/>
          <w:sz w:val="18"/>
        </w:rPr>
        <w:t>B_matrix.csv</w:t>
      </w:r>
      <w:r>
        <w:t xml:space="preserve"> contains non-zero biosphere exchange coefficients. Their index files map integer matrix positions back to activity names, reference products, units, locations, and biosphere flow metadata.</w:t>
      </w:r>
    </w:p>
    <w:p w14:paraId="3BD09F27" w14:textId="7C7154E1" w:rsidR="00E4260D" w:rsidRDefault="00240788">
      <w:r>
        <w:t xml:space="preserve">The matrix files can contain standard </w:t>
      </w:r>
      <w:proofErr w:type="spellStart"/>
      <w:r w:rsidRPr="004C671D">
        <w:rPr>
          <w:i/>
          <w:iCs/>
        </w:rPr>
        <w:t>Brightway</w:t>
      </w:r>
      <w:proofErr w:type="spellEnd"/>
      <w:r>
        <w:t xml:space="preserve">-style uncertainty columns and, optionally, </w:t>
      </w:r>
      <w:r w:rsidR="004C671D" w:rsidRPr="004C671D">
        <w:rPr>
          <w:i/>
          <w:iCs/>
        </w:rPr>
        <w:t>Trails</w:t>
      </w:r>
      <w:r>
        <w:t xml:space="preserve"> temporal columns. </w:t>
      </w:r>
      <w:r w:rsidR="004C671D" w:rsidRPr="004C671D">
        <w:rPr>
          <w:i/>
          <w:iCs/>
        </w:rPr>
        <w:t>Trails</w:t>
      </w:r>
      <w:r>
        <w:t xml:space="preserve"> uses the temporal fields </w:t>
      </w:r>
      <w:r w:rsidR="00630DA9">
        <w:t>listed in Table 1</w:t>
      </w:r>
      <w:r w:rsidR="00512434">
        <w:t xml:space="preserve">, </w:t>
      </w:r>
      <w:r>
        <w:t>when they are present</w:t>
      </w:r>
      <w:r w:rsidR="00512434">
        <w:t xml:space="preserve"> in the exchange metadata.</w:t>
      </w:r>
    </w:p>
    <w:p w14:paraId="6A2A03FB" w14:textId="77777777" w:rsidR="002C79C9" w:rsidRDefault="002C79C9"/>
    <w:tbl>
      <w:tblPr>
        <w:tblStyle w:val="TableGrid"/>
        <w:tblW w:w="0" w:type="auto"/>
        <w:tblLook w:val="04A0" w:firstRow="1" w:lastRow="0" w:firstColumn="1" w:lastColumn="0" w:noHBand="0" w:noVBand="1"/>
      </w:tblPr>
      <w:tblGrid>
        <w:gridCol w:w="3590"/>
        <w:gridCol w:w="3033"/>
      </w:tblGrid>
      <w:tr w:rsidR="00E4260D" w14:paraId="745F8F4B" w14:textId="77777777">
        <w:tc>
          <w:tcPr>
            <w:tcW w:w="4500" w:type="dxa"/>
            <w:shd w:val="clear" w:color="auto" w:fill="D9EAF7"/>
          </w:tcPr>
          <w:p w14:paraId="4D768172" w14:textId="77777777" w:rsidR="00E4260D" w:rsidRDefault="00240788">
            <w:r>
              <w:rPr>
                <w:b/>
              </w:rPr>
              <w:t>Column</w:t>
            </w:r>
          </w:p>
        </w:tc>
        <w:tc>
          <w:tcPr>
            <w:tcW w:w="4500" w:type="dxa"/>
            <w:shd w:val="clear" w:color="auto" w:fill="D9EAF7"/>
          </w:tcPr>
          <w:p w14:paraId="5650C9EE" w14:textId="77777777" w:rsidR="00E4260D" w:rsidRDefault="00240788">
            <w:r>
              <w:rPr>
                <w:b/>
              </w:rPr>
              <w:t>Meaning</w:t>
            </w:r>
          </w:p>
        </w:tc>
      </w:tr>
      <w:tr w:rsidR="00E4260D" w14:paraId="0D9F2254" w14:textId="77777777">
        <w:tc>
          <w:tcPr>
            <w:tcW w:w="4500" w:type="dxa"/>
          </w:tcPr>
          <w:p w14:paraId="1109164D" w14:textId="77777777" w:rsidR="00E4260D" w:rsidRDefault="00240788">
            <w:proofErr w:type="spellStart"/>
            <w:r>
              <w:rPr>
                <w:rFonts w:ascii="Courier New" w:hAnsi="Courier New"/>
                <w:sz w:val="18"/>
              </w:rPr>
              <w:t>temporal_distribution</w:t>
            </w:r>
            <w:proofErr w:type="spellEnd"/>
          </w:p>
        </w:tc>
        <w:tc>
          <w:tcPr>
            <w:tcW w:w="4500" w:type="dxa"/>
          </w:tcPr>
          <w:p w14:paraId="24A94A96" w14:textId="77777777" w:rsidR="00E4260D" w:rsidRDefault="00240788">
            <w:r>
              <w:t>Integer code for the temporal profile.</w:t>
            </w:r>
          </w:p>
        </w:tc>
      </w:tr>
      <w:tr w:rsidR="00E4260D" w14:paraId="50330D1F" w14:textId="77777777">
        <w:tc>
          <w:tcPr>
            <w:tcW w:w="4500" w:type="dxa"/>
          </w:tcPr>
          <w:p w14:paraId="2CF4AF15" w14:textId="77777777" w:rsidR="00E4260D" w:rsidRDefault="00240788">
            <w:proofErr w:type="spellStart"/>
            <w:r>
              <w:rPr>
                <w:rFonts w:ascii="Courier New" w:hAnsi="Courier New"/>
                <w:sz w:val="18"/>
              </w:rPr>
              <w:t>temporal_loc</w:t>
            </w:r>
            <w:proofErr w:type="spellEnd"/>
          </w:p>
        </w:tc>
        <w:tc>
          <w:tcPr>
            <w:tcW w:w="4500" w:type="dxa"/>
          </w:tcPr>
          <w:p w14:paraId="41ED85CE" w14:textId="77777777" w:rsidR="00E4260D" w:rsidRDefault="00240788">
            <w:r>
              <w:t>Location parameter, such as pulse year, mean, median, or mode.</w:t>
            </w:r>
          </w:p>
        </w:tc>
      </w:tr>
      <w:tr w:rsidR="00E4260D" w14:paraId="7408FD4E" w14:textId="77777777">
        <w:tc>
          <w:tcPr>
            <w:tcW w:w="4500" w:type="dxa"/>
          </w:tcPr>
          <w:p w14:paraId="518B3D92" w14:textId="77777777" w:rsidR="00E4260D" w:rsidRDefault="00240788">
            <w:proofErr w:type="spellStart"/>
            <w:r>
              <w:rPr>
                <w:rFonts w:ascii="Courier New" w:hAnsi="Courier New"/>
                <w:sz w:val="18"/>
              </w:rPr>
              <w:t>temporal_scale</w:t>
            </w:r>
            <w:proofErr w:type="spellEnd"/>
          </w:p>
        </w:tc>
        <w:tc>
          <w:tcPr>
            <w:tcW w:w="4500" w:type="dxa"/>
          </w:tcPr>
          <w:p w14:paraId="65C5E5AD" w14:textId="77777777" w:rsidR="00E4260D" w:rsidRDefault="00240788">
            <w:r>
              <w:t>Scale parameter, such as standard deviation or lognormal sigma.</w:t>
            </w:r>
          </w:p>
        </w:tc>
      </w:tr>
      <w:tr w:rsidR="00E4260D" w14:paraId="7949F11D" w14:textId="77777777">
        <w:tc>
          <w:tcPr>
            <w:tcW w:w="4500" w:type="dxa"/>
          </w:tcPr>
          <w:p w14:paraId="17EA82EA" w14:textId="77777777" w:rsidR="00E4260D" w:rsidRDefault="00240788">
            <w:proofErr w:type="spellStart"/>
            <w:r>
              <w:rPr>
                <w:rFonts w:ascii="Courier New" w:hAnsi="Courier New"/>
                <w:sz w:val="18"/>
              </w:rPr>
              <w:t>temporal_min</w:t>
            </w:r>
            <w:proofErr w:type="spellEnd"/>
          </w:p>
        </w:tc>
        <w:tc>
          <w:tcPr>
            <w:tcW w:w="4500" w:type="dxa"/>
          </w:tcPr>
          <w:p w14:paraId="1AACFBF0" w14:textId="77777777" w:rsidR="00E4260D" w:rsidRDefault="00240788">
            <w:r>
              <w:t>Minimum integer year offset.</w:t>
            </w:r>
          </w:p>
        </w:tc>
      </w:tr>
      <w:tr w:rsidR="00E4260D" w14:paraId="4E1A3B42" w14:textId="77777777">
        <w:tc>
          <w:tcPr>
            <w:tcW w:w="4500" w:type="dxa"/>
          </w:tcPr>
          <w:p w14:paraId="24B3D7F4" w14:textId="77777777" w:rsidR="00E4260D" w:rsidRDefault="00240788">
            <w:proofErr w:type="spellStart"/>
            <w:r>
              <w:rPr>
                <w:rFonts w:ascii="Courier New" w:hAnsi="Courier New"/>
                <w:sz w:val="18"/>
              </w:rPr>
              <w:t>temporal_max</w:t>
            </w:r>
            <w:proofErr w:type="spellEnd"/>
          </w:p>
        </w:tc>
        <w:tc>
          <w:tcPr>
            <w:tcW w:w="4500" w:type="dxa"/>
          </w:tcPr>
          <w:p w14:paraId="22706D34" w14:textId="77777777" w:rsidR="00E4260D" w:rsidRDefault="00240788">
            <w:r>
              <w:t>Maximum integer year offset.</w:t>
            </w:r>
          </w:p>
        </w:tc>
      </w:tr>
      <w:tr w:rsidR="00E4260D" w14:paraId="15353190" w14:textId="77777777">
        <w:tc>
          <w:tcPr>
            <w:tcW w:w="4500" w:type="dxa"/>
          </w:tcPr>
          <w:p w14:paraId="5F6024DF" w14:textId="77777777" w:rsidR="00E4260D" w:rsidRDefault="00240788">
            <w:proofErr w:type="spellStart"/>
            <w:r>
              <w:rPr>
                <w:rFonts w:ascii="Courier New" w:hAnsi="Courier New"/>
                <w:sz w:val="18"/>
              </w:rPr>
              <w:t>temporal_offsets</w:t>
            </w:r>
            <w:proofErr w:type="spellEnd"/>
          </w:p>
        </w:tc>
        <w:tc>
          <w:tcPr>
            <w:tcW w:w="4500" w:type="dxa"/>
          </w:tcPr>
          <w:p w14:paraId="06736D4F" w14:textId="77777777" w:rsidR="00E4260D" w:rsidRDefault="00240788">
            <w:r>
              <w:t>Explicit offset list for empirical discrete profiles.</w:t>
            </w:r>
          </w:p>
        </w:tc>
      </w:tr>
      <w:tr w:rsidR="00E4260D" w14:paraId="57053A69" w14:textId="77777777">
        <w:tc>
          <w:tcPr>
            <w:tcW w:w="4500" w:type="dxa"/>
          </w:tcPr>
          <w:p w14:paraId="34BB2E31" w14:textId="77777777" w:rsidR="00E4260D" w:rsidRDefault="00240788">
            <w:proofErr w:type="spellStart"/>
            <w:r>
              <w:rPr>
                <w:rFonts w:ascii="Courier New" w:hAnsi="Courier New"/>
                <w:sz w:val="18"/>
              </w:rPr>
              <w:t>temporal_weights</w:t>
            </w:r>
            <w:proofErr w:type="spellEnd"/>
          </w:p>
        </w:tc>
        <w:tc>
          <w:tcPr>
            <w:tcW w:w="4500" w:type="dxa"/>
          </w:tcPr>
          <w:p w14:paraId="0BE7CF37" w14:textId="77777777" w:rsidR="00E4260D" w:rsidRDefault="00240788">
            <w:r>
              <w:t>Explicit weight list for empirical discrete profiles.</w:t>
            </w:r>
          </w:p>
        </w:tc>
      </w:tr>
      <w:tr w:rsidR="00E4260D" w14:paraId="5C89254B" w14:textId="77777777">
        <w:tc>
          <w:tcPr>
            <w:tcW w:w="4500" w:type="dxa"/>
          </w:tcPr>
          <w:p w14:paraId="7E9EA848" w14:textId="77777777" w:rsidR="00E4260D" w:rsidRDefault="00240788">
            <w:proofErr w:type="spellStart"/>
            <w:r>
              <w:rPr>
                <w:rFonts w:ascii="Courier New" w:hAnsi="Courier New"/>
                <w:sz w:val="18"/>
              </w:rPr>
              <w:t>temporal_amount_source</w:t>
            </w:r>
            <w:proofErr w:type="spellEnd"/>
          </w:p>
        </w:tc>
        <w:tc>
          <w:tcPr>
            <w:tcW w:w="4500" w:type="dxa"/>
          </w:tcPr>
          <w:p w14:paraId="27AABFB4" w14:textId="77777777" w:rsidR="00E4260D" w:rsidRDefault="00240788">
            <w:r>
              <w:t>Whether routed amounts are ported from the anchor row or re-read from the target-year matrix.</w:t>
            </w:r>
          </w:p>
        </w:tc>
      </w:tr>
    </w:tbl>
    <w:p w14:paraId="1468A456" w14:textId="6C329562" w:rsidR="00E4260D" w:rsidRPr="00265276" w:rsidRDefault="00630DA9" w:rsidP="00B81DBA">
      <w:pPr>
        <w:rPr>
          <w:sz w:val="17"/>
          <w:szCs w:val="17"/>
        </w:rPr>
      </w:pPr>
      <w:r w:rsidRPr="00265276">
        <w:rPr>
          <w:b/>
          <w:bCs/>
          <w:sz w:val="17"/>
          <w:szCs w:val="17"/>
        </w:rPr>
        <w:t>Table 1</w:t>
      </w:r>
      <w:r w:rsidRPr="00265276">
        <w:rPr>
          <w:sz w:val="17"/>
          <w:szCs w:val="17"/>
        </w:rPr>
        <w:t xml:space="preserve"> – </w:t>
      </w:r>
      <w:r w:rsidR="00B81DBA" w:rsidRPr="00B81DBA">
        <w:rPr>
          <w:sz w:val="17"/>
          <w:szCs w:val="17"/>
        </w:rPr>
        <w:t>Temporal metadata fields read by Trails from technosphere and biosphere matrix files.</w:t>
      </w:r>
      <w:r w:rsidR="00B81DBA">
        <w:rPr>
          <w:sz w:val="17"/>
          <w:szCs w:val="17"/>
        </w:rPr>
        <w:t xml:space="preserve"> </w:t>
      </w:r>
      <w:r w:rsidR="00B81DBA" w:rsidRPr="00B81DBA">
        <w:rPr>
          <w:sz w:val="17"/>
          <w:szCs w:val="17"/>
        </w:rPr>
        <w:t>The fields define the</w:t>
      </w:r>
      <w:r w:rsidR="00B81DBA">
        <w:rPr>
          <w:sz w:val="17"/>
          <w:szCs w:val="17"/>
        </w:rPr>
        <w:t xml:space="preserve"> </w:t>
      </w:r>
      <w:r w:rsidR="00B81DBA" w:rsidRPr="00B81DBA">
        <w:rPr>
          <w:sz w:val="17"/>
          <w:szCs w:val="17"/>
        </w:rPr>
        <w:t>distribution code, support, parameters, explicit empirical offsets and weights, and whether exchange amounts are</w:t>
      </w:r>
      <w:r w:rsidR="00B81DBA">
        <w:rPr>
          <w:sz w:val="17"/>
          <w:szCs w:val="17"/>
        </w:rPr>
        <w:t xml:space="preserve"> </w:t>
      </w:r>
      <w:r w:rsidR="00B81DBA" w:rsidRPr="00B81DBA">
        <w:rPr>
          <w:sz w:val="17"/>
          <w:szCs w:val="17"/>
        </w:rPr>
        <w:t>taken from the anchor-year port or target-year matrix.</w:t>
      </w:r>
    </w:p>
    <w:p w14:paraId="0D7534E9" w14:textId="53103352" w:rsidR="00E4260D" w:rsidRDefault="00240788">
      <w:r>
        <w:t xml:space="preserve">When </w:t>
      </w:r>
      <w:proofErr w:type="spellStart"/>
      <w:r>
        <w:rPr>
          <w:rFonts w:ascii="Courier New" w:hAnsi="Courier New"/>
          <w:sz w:val="18"/>
        </w:rPr>
        <w:t>temporal_distribution</w:t>
      </w:r>
      <w:proofErr w:type="spellEnd"/>
      <w:r>
        <w:t xml:space="preserve"> is blank, the exchange is treated as a standard exchange. For technosphere exchanges, temporal offsets move demand to other years. For biosphere exchanges, temporal offsets </w:t>
      </w:r>
      <w:r w:rsidR="004A0EEE">
        <w:t>shift</w:t>
      </w:r>
      <w:r>
        <w:t xml:space="preserve"> the emission or removal.</w:t>
      </w:r>
    </w:p>
    <w:p w14:paraId="647B94ED" w14:textId="3ED3F54F" w:rsidR="00E4260D" w:rsidRDefault="00240788">
      <w:r>
        <w:t>Data</w:t>
      </w:r>
      <w:r w:rsidR="00A8009E">
        <w:t xml:space="preserve"> </w:t>
      </w:r>
      <w:r>
        <w:t xml:space="preserve">packages generated by </w:t>
      </w:r>
      <w:r w:rsidR="00A8009E" w:rsidRPr="00A8009E">
        <w:rPr>
          <w:i/>
          <w:iCs/>
          <w:sz w:val="18"/>
        </w:rPr>
        <w:t>P</w:t>
      </w:r>
      <w:r w:rsidRPr="00A8009E">
        <w:rPr>
          <w:i/>
          <w:iCs/>
          <w:sz w:val="18"/>
        </w:rPr>
        <w:t>remise</w:t>
      </w:r>
      <w:r>
        <w:t xml:space="preserve"> </w:t>
      </w:r>
      <w:proofErr w:type="spellStart"/>
      <w:r>
        <w:t>harmoni</w:t>
      </w:r>
      <w:r w:rsidR="004A0EEE">
        <w:t>s</w:t>
      </w:r>
      <w:r>
        <w:t>e</w:t>
      </w:r>
      <w:proofErr w:type="spellEnd"/>
      <w:r>
        <w:t xml:space="preserve"> activity and flow indices across all exported years before </w:t>
      </w:r>
      <w:r w:rsidR="004A0EEE">
        <w:t>being</w:t>
      </w:r>
      <w:r>
        <w:t xml:space="preserve"> </w:t>
      </w:r>
      <w:r w:rsidR="004A0EEE">
        <w:t>zipped</w:t>
      </w:r>
      <w:r>
        <w:t xml:space="preserve">. This step is required because future databases may not contain the same activity set in </w:t>
      </w:r>
      <w:r w:rsidR="004A0EEE">
        <w:t>activities each</w:t>
      </w:r>
      <w:r>
        <w:t xml:space="preserve"> year. If an activity is absent </w:t>
      </w:r>
      <w:r>
        <w:lastRenderedPageBreak/>
        <w:t xml:space="preserve">from a year slice, </w:t>
      </w:r>
      <w:r w:rsidR="00014DBB" w:rsidRPr="00A8009E">
        <w:rPr>
          <w:i/>
          <w:iCs/>
          <w:sz w:val="18"/>
        </w:rPr>
        <w:t>Premise</w:t>
      </w:r>
      <w:r w:rsidR="00014DBB">
        <w:t xml:space="preserve"> </w:t>
      </w:r>
      <w:r>
        <w:t xml:space="preserve">inserts a neutral diagonal placeholder row with </w:t>
      </w:r>
      <w:r>
        <w:rPr>
          <w:rFonts w:ascii="Courier New" w:hAnsi="Courier New"/>
          <w:sz w:val="18"/>
        </w:rPr>
        <w:t>value = 1</w:t>
      </w:r>
      <w:r>
        <w:t xml:space="preserve"> and </w:t>
      </w:r>
      <w:r>
        <w:rPr>
          <w:rFonts w:ascii="Courier New" w:hAnsi="Courier New"/>
          <w:sz w:val="18"/>
        </w:rPr>
        <w:t>flip = 0</w:t>
      </w:r>
      <w:r>
        <w:t>. The placeholder is structural; it is not a process assumption.</w:t>
      </w:r>
    </w:p>
    <w:p w14:paraId="740D3078" w14:textId="7F86F6F5" w:rsidR="00E4260D" w:rsidRDefault="00240788">
      <w:r>
        <w:t xml:space="preserve">For the exact import </w:t>
      </w:r>
      <w:proofErr w:type="spellStart"/>
      <w:r>
        <w:t>behavio</w:t>
      </w:r>
      <w:r w:rsidR="004A1364">
        <w:t>u</w:t>
      </w:r>
      <w:r>
        <w:t>r</w:t>
      </w:r>
      <w:proofErr w:type="spellEnd"/>
      <w:r>
        <w:t>, interpolation options, and Excel inventory format, see the user guide.</w:t>
      </w:r>
    </w:p>
    <w:p w14:paraId="39096CC5" w14:textId="4B5F913F" w:rsidR="00E4260D" w:rsidRDefault="00240788" w:rsidP="00E47610">
      <w:pPr>
        <w:pStyle w:val="Heading20"/>
        <w:numPr>
          <w:ilvl w:val="1"/>
          <w:numId w:val="48"/>
        </w:numPr>
      </w:pPr>
      <w:bookmarkStart w:id="2" w:name="_Toc233129500"/>
      <w:r>
        <w:t>Temporal distributions</w:t>
      </w:r>
      <w:bookmarkEnd w:id="2"/>
    </w:p>
    <w:p w14:paraId="399EA11A" w14:textId="1C6D5EAB" w:rsidR="00E4260D" w:rsidRDefault="00240788">
      <w:r>
        <w:t xml:space="preserve">Temporal distributions are annual offset profiles. An offset of </w:t>
      </w:r>
      <w:r>
        <w:rPr>
          <w:rFonts w:ascii="Courier New" w:hAnsi="Courier New"/>
          <w:sz w:val="18"/>
        </w:rPr>
        <w:t>0</w:t>
      </w:r>
      <w:r>
        <w:t xml:space="preserve"> means that the exchange remains in the anchor year. A positive offset delays it. A negative offset places it before the anchor year. The negative convention is important for biomass growth and fleet-age distributions, </w:t>
      </w:r>
      <w:r w:rsidR="004A1364">
        <w:t>in which</w:t>
      </w:r>
      <w:r>
        <w:t xml:space="preserve"> part of the relevant physical process precedes the model</w:t>
      </w:r>
      <w:r w:rsidR="004A1364">
        <w:t>l</w:t>
      </w:r>
      <w:r>
        <w:t>ed activity.</w:t>
      </w:r>
    </w:p>
    <w:p w14:paraId="15972CA1" w14:textId="2C8635DE" w:rsidR="00E4260D" w:rsidRDefault="00240788">
      <w:r>
        <w:t xml:space="preserve">This section expands the main-text Method sections "Temporal exchange distributions" and "Interpreting Temporally Distributed Exchange Amounts". The main text introduces the notation; this section documents the concrete distribution codes and parameter fallbacks used by </w:t>
      </w:r>
      <w:r w:rsidR="002F7A33" w:rsidRPr="002F7A33">
        <w:rPr>
          <w:i/>
          <w:iCs/>
        </w:rPr>
        <w:t>Trails</w:t>
      </w:r>
      <w:r>
        <w:t>.</w:t>
      </w:r>
      <w:r w:rsidR="003A677E">
        <w:t xml:space="preserve"> The available distribution types are illustrated in Figure 2.</w:t>
      </w:r>
    </w:p>
    <w:p w14:paraId="6397C938" w14:textId="77777777" w:rsidR="00E4260D" w:rsidRDefault="00240788" w:rsidP="002F7A33">
      <w:pPr>
        <w:pStyle w:val="figure"/>
        <w:ind w:left="-1276"/>
        <w:jc w:val="center"/>
      </w:pPr>
      <w:r>
        <w:rPr>
          <w:noProof/>
        </w:rPr>
        <w:drawing>
          <wp:inline distT="0" distB="0" distL="0" distR="0" wp14:anchorId="109F7797" wp14:editId="72184B37">
            <wp:extent cx="5760290" cy="2499919"/>
            <wp:effectExtent l="0" t="0" r="0" b="0"/>
            <wp:docPr id="2" name="Picture 2" descr="Temporal distribution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mporal_distribution_shapes.svg"/>
                    <pic:cNvPicPr/>
                  </pic:nvPicPr>
                  <pic:blipFill rotWithShape="1">
                    <a:blip r:embed="rId12">
                      <a:extLst>
                        <a:ext uri="{96DAC541-7B7A-43D3-8B79-37D633B846F1}">
                          <asvg:svgBlip xmlns:asvg="http://schemas.microsoft.com/office/drawing/2016/SVG/main" r:embed="rId13"/>
                        </a:ext>
                      </a:extLst>
                    </a:blip>
                    <a:srcRect b="31401"/>
                    <a:stretch>
                      <a:fillRect/>
                    </a:stretch>
                  </pic:blipFill>
                  <pic:spPr bwMode="auto">
                    <a:xfrm>
                      <a:off x="0" y="0"/>
                      <a:ext cx="5760720" cy="2500106"/>
                    </a:xfrm>
                    <a:prstGeom prst="rect">
                      <a:avLst/>
                    </a:prstGeom>
                    <a:ln>
                      <a:noFill/>
                    </a:ln>
                    <a:extLst>
                      <a:ext uri="{53640926-AAD7-44D8-BBD7-CCE9431645EC}">
                        <a14:shadowObscured xmlns:a14="http://schemas.microsoft.com/office/drawing/2010/main"/>
                      </a:ext>
                    </a:extLst>
                  </pic:spPr>
                </pic:pic>
              </a:graphicData>
            </a:graphic>
          </wp:inline>
        </w:drawing>
      </w:r>
    </w:p>
    <w:p w14:paraId="510F540A" w14:textId="146EF6DC" w:rsidR="00E4260D" w:rsidRPr="003A677E" w:rsidRDefault="003A677E" w:rsidP="009B1D79">
      <w:pPr>
        <w:pStyle w:val="fignotes"/>
        <w:rPr>
          <w:iCs/>
        </w:rPr>
      </w:pPr>
      <w:r w:rsidRPr="003A677E">
        <w:rPr>
          <w:b/>
          <w:bCs/>
          <w:iCs/>
        </w:rPr>
        <w:t>Figure 2</w:t>
      </w:r>
      <w:r w:rsidRPr="003A677E">
        <w:rPr>
          <w:iCs/>
        </w:rPr>
        <w:t xml:space="preserve"> - </w:t>
      </w:r>
      <w:r w:rsidR="009B1D79" w:rsidRPr="009B1D79">
        <w:rPr>
          <w:iCs/>
        </w:rPr>
        <w:t>Temporal distribution families supported by Trails. The horizontal axis shows annual offsets relative to</w:t>
      </w:r>
      <w:r w:rsidR="00091BD4">
        <w:rPr>
          <w:iCs/>
        </w:rPr>
        <w:t xml:space="preserve"> </w:t>
      </w:r>
      <w:r w:rsidR="009B1D79" w:rsidRPr="009B1D79">
        <w:rPr>
          <w:iCs/>
        </w:rPr>
        <w:t xml:space="preserve">the anchor </w:t>
      </w:r>
      <w:proofErr w:type="gramStart"/>
      <w:r w:rsidR="009B1D79" w:rsidRPr="009B1D79">
        <w:rPr>
          <w:iCs/>
        </w:rPr>
        <w:t>year</w:t>
      </w:r>
      <w:proofErr w:type="gramEnd"/>
      <w:r w:rsidR="009B1D79" w:rsidRPr="009B1D79">
        <w:rPr>
          <w:iCs/>
        </w:rPr>
        <w:t xml:space="preserve"> and the vertical axis shows normalized weights; negative offsets represent prior events such as</w:t>
      </w:r>
      <w:r w:rsidR="00091BD4">
        <w:rPr>
          <w:iCs/>
        </w:rPr>
        <w:t xml:space="preserve"> </w:t>
      </w:r>
      <w:r w:rsidR="009B1D79" w:rsidRPr="009B1D79">
        <w:rPr>
          <w:iCs/>
        </w:rPr>
        <w:t>biomass growth or fleet vintages, while positive offsets represent delayed events such as maintenance or end-of-life</w:t>
      </w:r>
      <w:r w:rsidR="00091BD4">
        <w:rPr>
          <w:iCs/>
        </w:rPr>
        <w:t xml:space="preserve"> </w:t>
      </w:r>
      <w:r w:rsidR="009B1D79" w:rsidRPr="009B1D79">
        <w:rPr>
          <w:iCs/>
        </w:rPr>
        <w:t>treatment</w:t>
      </w:r>
      <w:r w:rsidR="00091BD4">
        <w:rPr>
          <w:iCs/>
        </w:rPr>
        <w:t>.</w:t>
      </w:r>
    </w:p>
    <w:p w14:paraId="5417F6A6" w14:textId="2B1A44DB" w:rsidR="00E4260D" w:rsidRDefault="00346099">
      <w:r w:rsidRPr="00346099">
        <w:rPr>
          <w:i/>
          <w:iCs/>
        </w:rPr>
        <w:t>Trails</w:t>
      </w:r>
      <w:r>
        <w:t xml:space="preserve"> currently </w:t>
      </w:r>
      <w:proofErr w:type="spellStart"/>
      <w:r>
        <w:t>recogni</w:t>
      </w:r>
      <w:r w:rsidR="004A1364">
        <w:t>s</w:t>
      </w:r>
      <w:r>
        <w:t>es</w:t>
      </w:r>
      <w:proofErr w:type="spellEnd"/>
      <w:r>
        <w:t xml:space="preserve"> six distribution codes</w:t>
      </w:r>
      <w:r w:rsidR="00011FC1">
        <w:t>, listed in Table 2.</w:t>
      </w:r>
    </w:p>
    <w:p w14:paraId="218BA6AC" w14:textId="77777777" w:rsidR="00991C27" w:rsidRDefault="00991C27"/>
    <w:tbl>
      <w:tblPr>
        <w:tblStyle w:val="TableGrid"/>
        <w:tblW w:w="0" w:type="auto"/>
        <w:tblLook w:val="04A0" w:firstRow="1" w:lastRow="0" w:firstColumn="1" w:lastColumn="0" w:noHBand="0" w:noVBand="1"/>
      </w:tblPr>
      <w:tblGrid>
        <w:gridCol w:w="2107"/>
        <w:gridCol w:w="2188"/>
        <w:gridCol w:w="2328"/>
      </w:tblGrid>
      <w:tr w:rsidR="00E4260D" w14:paraId="58A67977" w14:textId="77777777">
        <w:tc>
          <w:tcPr>
            <w:tcW w:w="3000" w:type="dxa"/>
            <w:shd w:val="clear" w:color="auto" w:fill="D9EAF7"/>
          </w:tcPr>
          <w:p w14:paraId="365E112D" w14:textId="77777777" w:rsidR="00E4260D" w:rsidRDefault="00240788">
            <w:r>
              <w:rPr>
                <w:b/>
              </w:rPr>
              <w:lastRenderedPageBreak/>
              <w:t>Code</w:t>
            </w:r>
          </w:p>
        </w:tc>
        <w:tc>
          <w:tcPr>
            <w:tcW w:w="3000" w:type="dxa"/>
            <w:shd w:val="clear" w:color="auto" w:fill="D9EAF7"/>
          </w:tcPr>
          <w:p w14:paraId="51C5C124" w14:textId="77777777" w:rsidR="00E4260D" w:rsidRDefault="00240788">
            <w:r>
              <w:rPr>
                <w:b/>
              </w:rPr>
              <w:t>Distribution</w:t>
            </w:r>
          </w:p>
        </w:tc>
        <w:tc>
          <w:tcPr>
            <w:tcW w:w="3000" w:type="dxa"/>
            <w:shd w:val="clear" w:color="auto" w:fill="D9EAF7"/>
          </w:tcPr>
          <w:p w14:paraId="2A8F5B18" w14:textId="77777777" w:rsidR="00E4260D" w:rsidRDefault="00240788">
            <w:r>
              <w:rPr>
                <w:b/>
              </w:rPr>
              <w:t>Typical use in the manuscript workflow</w:t>
            </w:r>
          </w:p>
        </w:tc>
      </w:tr>
      <w:tr w:rsidR="00E4260D" w14:paraId="13E9C198" w14:textId="77777777">
        <w:tc>
          <w:tcPr>
            <w:tcW w:w="3000" w:type="dxa"/>
          </w:tcPr>
          <w:p w14:paraId="058EAA98" w14:textId="77777777" w:rsidR="00E4260D" w:rsidRDefault="00240788">
            <w:r>
              <w:rPr>
                <w:rFonts w:ascii="Courier New" w:hAnsi="Courier New"/>
                <w:sz w:val="18"/>
              </w:rPr>
              <w:t>1</w:t>
            </w:r>
          </w:p>
        </w:tc>
        <w:tc>
          <w:tcPr>
            <w:tcW w:w="3000" w:type="dxa"/>
          </w:tcPr>
          <w:p w14:paraId="4D332CF6" w14:textId="77777777" w:rsidR="00E4260D" w:rsidRDefault="00240788">
            <w:r>
              <w:t>Discrete</w:t>
            </w:r>
          </w:p>
        </w:tc>
        <w:tc>
          <w:tcPr>
            <w:tcW w:w="3000" w:type="dxa"/>
          </w:tcPr>
          <w:p w14:paraId="3F50A57F" w14:textId="77777777" w:rsidR="00E4260D" w:rsidRDefault="00240788">
            <w:r>
              <w:t xml:space="preserve">A single pulse at </w:t>
            </w:r>
            <w:proofErr w:type="spellStart"/>
            <w:r>
              <w:rPr>
                <w:rFonts w:ascii="Courier New" w:hAnsi="Courier New"/>
                <w:sz w:val="18"/>
              </w:rPr>
              <w:t>temporal_loc</w:t>
            </w:r>
            <w:proofErr w:type="spellEnd"/>
            <w:r>
              <w:t>.</w:t>
            </w:r>
          </w:p>
        </w:tc>
      </w:tr>
      <w:tr w:rsidR="00E4260D" w14:paraId="4098F531" w14:textId="77777777">
        <w:tc>
          <w:tcPr>
            <w:tcW w:w="3000" w:type="dxa"/>
          </w:tcPr>
          <w:p w14:paraId="09B4B080" w14:textId="77777777" w:rsidR="00E4260D" w:rsidRDefault="00240788">
            <w:r>
              <w:rPr>
                <w:rFonts w:ascii="Courier New" w:hAnsi="Courier New"/>
                <w:sz w:val="18"/>
              </w:rPr>
              <w:t>2</w:t>
            </w:r>
          </w:p>
        </w:tc>
        <w:tc>
          <w:tcPr>
            <w:tcW w:w="3000" w:type="dxa"/>
          </w:tcPr>
          <w:p w14:paraId="73E3CE87" w14:textId="77777777" w:rsidR="00E4260D" w:rsidRDefault="00240788">
            <w:r>
              <w:t>Lognormal</w:t>
            </w:r>
          </w:p>
        </w:tc>
        <w:tc>
          <w:tcPr>
            <w:tcW w:w="3000" w:type="dxa"/>
          </w:tcPr>
          <w:p w14:paraId="0576FB72" w14:textId="77777777" w:rsidR="00E4260D" w:rsidRDefault="00240788">
            <w:r>
              <w:t>Fleet-age or vintage profiles, usually with negative offsets.</w:t>
            </w:r>
          </w:p>
        </w:tc>
      </w:tr>
      <w:tr w:rsidR="00E4260D" w14:paraId="48D5228E" w14:textId="77777777">
        <w:tc>
          <w:tcPr>
            <w:tcW w:w="3000" w:type="dxa"/>
          </w:tcPr>
          <w:p w14:paraId="47033C28" w14:textId="77777777" w:rsidR="00E4260D" w:rsidRDefault="00240788">
            <w:r>
              <w:rPr>
                <w:rFonts w:ascii="Courier New" w:hAnsi="Courier New"/>
                <w:sz w:val="18"/>
              </w:rPr>
              <w:t>3</w:t>
            </w:r>
          </w:p>
        </w:tc>
        <w:tc>
          <w:tcPr>
            <w:tcW w:w="3000" w:type="dxa"/>
          </w:tcPr>
          <w:p w14:paraId="62279ED3" w14:textId="77777777" w:rsidR="00E4260D" w:rsidRDefault="00240788">
            <w:r>
              <w:t>Normal</w:t>
            </w:r>
          </w:p>
        </w:tc>
        <w:tc>
          <w:tcPr>
            <w:tcW w:w="3000" w:type="dxa"/>
          </w:tcPr>
          <w:p w14:paraId="2504EBC1" w14:textId="77777777" w:rsidR="00E4260D" w:rsidRDefault="00240788">
            <w:r>
              <w:t>Broad uncertain profiles where the center and spread are known.</w:t>
            </w:r>
          </w:p>
        </w:tc>
      </w:tr>
      <w:tr w:rsidR="00E4260D" w14:paraId="7C9ABA17" w14:textId="77777777">
        <w:tc>
          <w:tcPr>
            <w:tcW w:w="3000" w:type="dxa"/>
          </w:tcPr>
          <w:p w14:paraId="339B7A74" w14:textId="77777777" w:rsidR="00E4260D" w:rsidRDefault="00240788">
            <w:r>
              <w:rPr>
                <w:rFonts w:ascii="Courier New" w:hAnsi="Courier New"/>
                <w:sz w:val="18"/>
              </w:rPr>
              <w:t>4</w:t>
            </w:r>
          </w:p>
        </w:tc>
        <w:tc>
          <w:tcPr>
            <w:tcW w:w="3000" w:type="dxa"/>
          </w:tcPr>
          <w:p w14:paraId="6EB577F3" w14:textId="77777777" w:rsidR="00E4260D" w:rsidRDefault="00240788">
            <w:r>
              <w:t>Uniform</w:t>
            </w:r>
          </w:p>
        </w:tc>
        <w:tc>
          <w:tcPr>
            <w:tcW w:w="3000" w:type="dxa"/>
          </w:tcPr>
          <w:p w14:paraId="42C78DE1" w14:textId="77777777" w:rsidR="00E4260D" w:rsidRDefault="00240788">
            <w:r>
              <w:t>Constant allocation over a lifetime or growth period.</w:t>
            </w:r>
          </w:p>
        </w:tc>
      </w:tr>
      <w:tr w:rsidR="00E4260D" w14:paraId="6C7C2858" w14:textId="77777777">
        <w:tc>
          <w:tcPr>
            <w:tcW w:w="3000" w:type="dxa"/>
          </w:tcPr>
          <w:p w14:paraId="56E1FDE3" w14:textId="77777777" w:rsidR="00E4260D" w:rsidRDefault="00240788">
            <w:r>
              <w:rPr>
                <w:rFonts w:ascii="Courier New" w:hAnsi="Courier New"/>
                <w:sz w:val="18"/>
              </w:rPr>
              <w:t>5</w:t>
            </w:r>
          </w:p>
        </w:tc>
        <w:tc>
          <w:tcPr>
            <w:tcW w:w="3000" w:type="dxa"/>
          </w:tcPr>
          <w:p w14:paraId="36D5DF22" w14:textId="77777777" w:rsidR="00E4260D" w:rsidRDefault="00240788">
            <w:r>
              <w:t>Triangular</w:t>
            </w:r>
          </w:p>
        </w:tc>
        <w:tc>
          <w:tcPr>
            <w:tcW w:w="3000" w:type="dxa"/>
          </w:tcPr>
          <w:p w14:paraId="45DDE3E2" w14:textId="77777777" w:rsidR="00E4260D" w:rsidRDefault="00240788">
            <w:r>
              <w:t>Stock or vintage distributions with a mode and finite support.</w:t>
            </w:r>
          </w:p>
        </w:tc>
      </w:tr>
      <w:tr w:rsidR="00E4260D" w14:paraId="4FF26FDA" w14:textId="77777777">
        <w:tc>
          <w:tcPr>
            <w:tcW w:w="3000" w:type="dxa"/>
          </w:tcPr>
          <w:p w14:paraId="7224B09A" w14:textId="77777777" w:rsidR="00E4260D" w:rsidRDefault="00240788">
            <w:r>
              <w:rPr>
                <w:rFonts w:ascii="Courier New" w:hAnsi="Courier New"/>
                <w:sz w:val="18"/>
              </w:rPr>
              <w:t>6</w:t>
            </w:r>
          </w:p>
        </w:tc>
        <w:tc>
          <w:tcPr>
            <w:tcW w:w="3000" w:type="dxa"/>
          </w:tcPr>
          <w:p w14:paraId="0497EEB9" w14:textId="77777777" w:rsidR="00E4260D" w:rsidRDefault="00240788">
            <w:r>
              <w:t>Discrete empirical</w:t>
            </w:r>
          </w:p>
        </w:tc>
        <w:tc>
          <w:tcPr>
            <w:tcW w:w="3000" w:type="dxa"/>
          </w:tcPr>
          <w:p w14:paraId="53ADDC8A" w14:textId="77777777" w:rsidR="00E4260D" w:rsidRDefault="00240788">
            <w:r>
              <w:t>Explicit pulses, for example an end-of-life event at lifetime.</w:t>
            </w:r>
          </w:p>
        </w:tc>
      </w:tr>
    </w:tbl>
    <w:p w14:paraId="22B9D03E" w14:textId="0E568E74" w:rsidR="00E4260D" w:rsidRPr="0012486F" w:rsidRDefault="00991C27">
      <w:pPr>
        <w:rPr>
          <w:sz w:val="17"/>
          <w:szCs w:val="17"/>
        </w:rPr>
      </w:pPr>
      <w:r w:rsidRPr="0012486F">
        <w:rPr>
          <w:b/>
          <w:bCs/>
          <w:sz w:val="17"/>
          <w:szCs w:val="17"/>
        </w:rPr>
        <w:t>Table 2</w:t>
      </w:r>
      <w:r w:rsidRPr="0012486F">
        <w:rPr>
          <w:sz w:val="17"/>
          <w:szCs w:val="17"/>
        </w:rPr>
        <w:t xml:space="preserve"> </w:t>
      </w:r>
      <w:r w:rsidR="0012486F" w:rsidRPr="0012486F">
        <w:rPr>
          <w:sz w:val="17"/>
          <w:szCs w:val="17"/>
        </w:rPr>
        <w:t>–</w:t>
      </w:r>
      <w:r w:rsidRPr="0012486F">
        <w:rPr>
          <w:sz w:val="17"/>
          <w:szCs w:val="17"/>
        </w:rPr>
        <w:t xml:space="preserve"> </w:t>
      </w:r>
      <w:r w:rsidR="00B465A4" w:rsidRPr="00B465A4">
        <w:rPr>
          <w:sz w:val="17"/>
          <w:szCs w:val="17"/>
        </w:rPr>
        <w:t>Distribution types recognized by Trails and their typical use in the manuscript workflow. Each integer code</w:t>
      </w:r>
      <w:r w:rsidR="00B465A4">
        <w:rPr>
          <w:sz w:val="17"/>
          <w:szCs w:val="17"/>
        </w:rPr>
        <w:t xml:space="preserve"> </w:t>
      </w:r>
      <w:r w:rsidR="00B465A4" w:rsidRPr="00B465A4">
        <w:rPr>
          <w:sz w:val="17"/>
          <w:szCs w:val="17"/>
        </w:rPr>
        <w:t>is converted to normalized annual offset-weight pairs before being applied to temporalized exchanges.</w:t>
      </w:r>
    </w:p>
    <w:p w14:paraId="4D76B064" w14:textId="19131967" w:rsidR="00E4260D" w:rsidRDefault="00240788">
      <w:r>
        <w:t xml:space="preserve">All profiles are converted to </w:t>
      </w:r>
      <w:proofErr w:type="spellStart"/>
      <w:r>
        <w:t>normali</w:t>
      </w:r>
      <w:r w:rsidR="004A1364">
        <w:t>s</w:t>
      </w:r>
      <w:r>
        <w:t>ed</w:t>
      </w:r>
      <w:proofErr w:type="spellEnd"/>
      <w:r>
        <w:t xml:space="preserve"> </w:t>
      </w:r>
      <w:r>
        <w:rPr>
          <w:rFonts w:ascii="Courier New" w:hAnsi="Courier New"/>
          <w:sz w:val="18"/>
        </w:rPr>
        <w:t>(offset, weight)</w:t>
      </w:r>
      <w:r>
        <w:t xml:space="preserve"> pairs</w:t>
      </w:r>
      <w:r w:rsidR="004A1364">
        <w:t>—t</w:t>
      </w:r>
      <w:r>
        <w:t>he weights sum to one over the retained integer offsets. Invalid profiles are skipped. Unknown distribution codes fall back to a uniform profile over the declared support.</w:t>
      </w:r>
    </w:p>
    <w:p w14:paraId="5D59CC4F" w14:textId="62A51CF0" w:rsidR="00E4260D" w:rsidRDefault="0012486F">
      <w:r>
        <w:t>T</w:t>
      </w:r>
      <w:r w:rsidR="00240788">
        <w:t xml:space="preserve">able </w:t>
      </w:r>
      <w:r>
        <w:t xml:space="preserve">3 </w:t>
      </w:r>
      <w:r w:rsidR="00240788">
        <w:t xml:space="preserve">separates the parameters needed for a meaningful profile from </w:t>
      </w:r>
      <w:r w:rsidR="004A1364">
        <w:t>those</w:t>
      </w:r>
      <w:r w:rsidR="00240788">
        <w:t xml:space="preserve"> that are optional or have fallbacks in the code. In all cases, </w:t>
      </w:r>
      <w:proofErr w:type="spellStart"/>
      <w:r w:rsidR="00240788">
        <w:rPr>
          <w:rFonts w:ascii="Courier New" w:hAnsi="Courier New"/>
          <w:sz w:val="18"/>
        </w:rPr>
        <w:t>temporal_amount_source</w:t>
      </w:r>
      <w:proofErr w:type="spellEnd"/>
      <w:r w:rsidR="00240788">
        <w:t xml:space="preserve"> is optional and defaults to </w:t>
      </w:r>
      <w:r w:rsidR="00240788">
        <w:rPr>
          <w:rFonts w:ascii="Courier New" w:hAnsi="Courier New"/>
          <w:sz w:val="18"/>
        </w:rPr>
        <w:t>port</w:t>
      </w:r>
      <w:r w:rsidR="00240788">
        <w:t>.</w:t>
      </w:r>
    </w:p>
    <w:p w14:paraId="442AF6D5" w14:textId="77777777" w:rsidR="0012486F" w:rsidRDefault="0012486F"/>
    <w:tbl>
      <w:tblPr>
        <w:tblStyle w:val="TableGrid"/>
        <w:tblW w:w="0" w:type="auto"/>
        <w:tblLook w:val="04A0" w:firstRow="1" w:lastRow="0" w:firstColumn="1" w:lastColumn="0" w:noHBand="0" w:noVBand="1"/>
      </w:tblPr>
      <w:tblGrid>
        <w:gridCol w:w="1990"/>
        <w:gridCol w:w="2366"/>
        <w:gridCol w:w="2267"/>
      </w:tblGrid>
      <w:tr w:rsidR="00E4260D" w14:paraId="77BF610F" w14:textId="77777777">
        <w:tc>
          <w:tcPr>
            <w:tcW w:w="3000" w:type="dxa"/>
            <w:shd w:val="clear" w:color="auto" w:fill="D9EAF7"/>
          </w:tcPr>
          <w:p w14:paraId="58FFE6B0" w14:textId="77777777" w:rsidR="00E4260D" w:rsidRDefault="00240788">
            <w:r>
              <w:rPr>
                <w:b/>
              </w:rPr>
              <w:t>Code</w:t>
            </w:r>
          </w:p>
        </w:tc>
        <w:tc>
          <w:tcPr>
            <w:tcW w:w="3000" w:type="dxa"/>
            <w:shd w:val="clear" w:color="auto" w:fill="D9EAF7"/>
          </w:tcPr>
          <w:p w14:paraId="6C41CEAB" w14:textId="77777777" w:rsidR="00E4260D" w:rsidRDefault="00240788">
            <w:r>
              <w:rPr>
                <w:b/>
              </w:rPr>
              <w:t>Needed parameters</w:t>
            </w:r>
          </w:p>
        </w:tc>
        <w:tc>
          <w:tcPr>
            <w:tcW w:w="3000" w:type="dxa"/>
            <w:shd w:val="clear" w:color="auto" w:fill="D9EAF7"/>
          </w:tcPr>
          <w:p w14:paraId="33A26311" w14:textId="77777777" w:rsidR="00E4260D" w:rsidRDefault="00240788">
            <w:r>
              <w:rPr>
                <w:b/>
              </w:rPr>
              <w:t>Optional parameters and fallbacks</w:t>
            </w:r>
          </w:p>
        </w:tc>
      </w:tr>
      <w:tr w:rsidR="00E4260D" w14:paraId="4A6948E4" w14:textId="77777777">
        <w:tc>
          <w:tcPr>
            <w:tcW w:w="3000" w:type="dxa"/>
          </w:tcPr>
          <w:p w14:paraId="03FB6D25" w14:textId="77777777" w:rsidR="00E4260D" w:rsidRDefault="00240788">
            <w:r>
              <w:rPr>
                <w:rFonts w:ascii="Courier New" w:hAnsi="Courier New"/>
                <w:sz w:val="18"/>
              </w:rPr>
              <w:t>1</w:t>
            </w:r>
            <w:r>
              <w:t xml:space="preserve"> discrete</w:t>
            </w:r>
          </w:p>
        </w:tc>
        <w:tc>
          <w:tcPr>
            <w:tcW w:w="3000" w:type="dxa"/>
          </w:tcPr>
          <w:p w14:paraId="5F96DF1C" w14:textId="77777777" w:rsidR="00E4260D" w:rsidRDefault="00240788">
            <w:proofErr w:type="spellStart"/>
            <w:r>
              <w:rPr>
                <w:rFonts w:ascii="Courier New" w:hAnsi="Courier New"/>
                <w:sz w:val="18"/>
              </w:rPr>
              <w:t>temporal_distribution</w:t>
            </w:r>
            <w:proofErr w:type="spellEnd"/>
            <w:r>
              <w:t xml:space="preserve">; an offset support through </w:t>
            </w:r>
            <w:proofErr w:type="spellStart"/>
            <w:r>
              <w:rPr>
                <w:rFonts w:ascii="Courier New" w:hAnsi="Courier New"/>
                <w:sz w:val="18"/>
              </w:rPr>
              <w:t>temporal_min</w:t>
            </w:r>
            <w:proofErr w:type="spellEnd"/>
            <w:r>
              <w:t xml:space="preserve"> and </w:t>
            </w:r>
            <w:proofErr w:type="spellStart"/>
            <w:r>
              <w:rPr>
                <w:rFonts w:ascii="Courier New" w:hAnsi="Courier New"/>
                <w:sz w:val="18"/>
              </w:rPr>
              <w:t>temporal_max</w:t>
            </w:r>
            <w:proofErr w:type="spellEnd"/>
            <w:r>
              <w:t>, un</w:t>
            </w:r>
            <w:r>
              <w:lastRenderedPageBreak/>
              <w:t xml:space="preserve">less a single default pulse at offset </w:t>
            </w:r>
            <w:r>
              <w:rPr>
                <w:rFonts w:ascii="Courier New" w:hAnsi="Courier New"/>
                <w:sz w:val="18"/>
              </w:rPr>
              <w:t>0</w:t>
            </w:r>
            <w:r>
              <w:t xml:space="preserve"> is intended.</w:t>
            </w:r>
          </w:p>
        </w:tc>
        <w:tc>
          <w:tcPr>
            <w:tcW w:w="3000" w:type="dxa"/>
          </w:tcPr>
          <w:p w14:paraId="39FA17A1" w14:textId="07979F94" w:rsidR="00E4260D" w:rsidRDefault="00240788">
            <w:proofErr w:type="spellStart"/>
            <w:r>
              <w:rPr>
                <w:rFonts w:ascii="Courier New" w:hAnsi="Courier New"/>
                <w:sz w:val="18"/>
              </w:rPr>
              <w:lastRenderedPageBreak/>
              <w:t>temporal_loc</w:t>
            </w:r>
            <w:proofErr w:type="spellEnd"/>
            <w:r>
              <w:t xml:space="preserve"> selects the pulse offset. If it is missing, </w:t>
            </w:r>
            <w:r w:rsidR="00CA05F1" w:rsidRPr="00CA05F1">
              <w:rPr>
                <w:i/>
                <w:iCs/>
              </w:rPr>
              <w:t>Trails</w:t>
            </w:r>
            <w:r>
              <w:t xml:space="preserve"> uses offset </w:t>
            </w:r>
            <w:r>
              <w:rPr>
                <w:rFonts w:ascii="Courier New" w:hAnsi="Courier New"/>
                <w:sz w:val="18"/>
              </w:rPr>
              <w:t>0</w:t>
            </w:r>
            <w:r>
              <w:t xml:space="preserve"> when it lies inside </w:t>
            </w:r>
            <w:r>
              <w:lastRenderedPageBreak/>
              <w:t>the support, otherwise the nearest available offset.</w:t>
            </w:r>
          </w:p>
        </w:tc>
      </w:tr>
      <w:tr w:rsidR="00E4260D" w14:paraId="29DC1D06" w14:textId="77777777">
        <w:tc>
          <w:tcPr>
            <w:tcW w:w="3000" w:type="dxa"/>
          </w:tcPr>
          <w:p w14:paraId="441E1EA8" w14:textId="77777777" w:rsidR="00E4260D" w:rsidRDefault="00240788">
            <w:r>
              <w:rPr>
                <w:rFonts w:ascii="Courier New" w:hAnsi="Courier New"/>
                <w:sz w:val="18"/>
              </w:rPr>
              <w:lastRenderedPageBreak/>
              <w:t>2</w:t>
            </w:r>
            <w:r>
              <w:t xml:space="preserve"> lognormal</w:t>
            </w:r>
          </w:p>
        </w:tc>
        <w:tc>
          <w:tcPr>
            <w:tcW w:w="3000" w:type="dxa"/>
          </w:tcPr>
          <w:p w14:paraId="528AE5FA" w14:textId="77777777" w:rsidR="00E4260D" w:rsidRDefault="00240788">
            <w:proofErr w:type="spellStart"/>
            <w:r>
              <w:rPr>
                <w:rFonts w:ascii="Courier New" w:hAnsi="Courier New"/>
                <w:sz w:val="18"/>
              </w:rPr>
              <w:t>temporal_distribution</w:t>
            </w:r>
            <w:proofErr w:type="spellEnd"/>
            <w:r>
              <w:t xml:space="preserve">; an offset support; a positive age or offset domain for the lognormal kernel. </w:t>
            </w:r>
            <w:proofErr w:type="spellStart"/>
            <w:r>
              <w:rPr>
                <w:rFonts w:ascii="Courier New" w:hAnsi="Courier New"/>
                <w:sz w:val="18"/>
              </w:rPr>
              <w:t>temporal_loc</w:t>
            </w:r>
            <w:proofErr w:type="spellEnd"/>
            <w:r>
              <w:t xml:space="preserve"> is the median-like location and </w:t>
            </w:r>
            <w:proofErr w:type="spellStart"/>
            <w:r>
              <w:rPr>
                <w:rFonts w:ascii="Courier New" w:hAnsi="Courier New"/>
                <w:sz w:val="18"/>
              </w:rPr>
              <w:t>temporal_scale</w:t>
            </w:r>
            <w:proofErr w:type="spellEnd"/>
            <w:r>
              <w:t xml:space="preserve"> </w:t>
            </w:r>
            <w:proofErr w:type="gramStart"/>
            <w:r>
              <w:t>is</w:t>
            </w:r>
            <w:proofErr w:type="gramEnd"/>
            <w:r>
              <w:t xml:space="preserve"> the lognormal sigma.</w:t>
            </w:r>
          </w:p>
        </w:tc>
        <w:tc>
          <w:tcPr>
            <w:tcW w:w="3000" w:type="dxa"/>
          </w:tcPr>
          <w:p w14:paraId="35A58495" w14:textId="0E918F01" w:rsidR="00E4260D" w:rsidRDefault="00240788">
            <w:r>
              <w:t xml:space="preserve">If </w:t>
            </w:r>
            <w:proofErr w:type="spellStart"/>
            <w:r>
              <w:rPr>
                <w:rFonts w:ascii="Courier New" w:hAnsi="Courier New"/>
                <w:sz w:val="18"/>
              </w:rPr>
              <w:t>temporal_loc</w:t>
            </w:r>
            <w:proofErr w:type="spellEnd"/>
            <w:r>
              <w:t xml:space="preserve"> is missing or not positive, </w:t>
            </w:r>
            <w:r w:rsidR="00CA05F1" w:rsidRPr="00CA05F1">
              <w:rPr>
                <w:i/>
                <w:iCs/>
              </w:rPr>
              <w:t>Trails</w:t>
            </w:r>
            <w:r>
              <w:t xml:space="preserve"> uses the geometric midpoint of the positive support. If </w:t>
            </w:r>
            <w:proofErr w:type="spellStart"/>
            <w:r>
              <w:rPr>
                <w:rFonts w:ascii="Courier New" w:hAnsi="Courier New"/>
                <w:sz w:val="18"/>
              </w:rPr>
              <w:t>temporal_scale</w:t>
            </w:r>
            <w:proofErr w:type="spellEnd"/>
            <w:r>
              <w:t xml:space="preserve"> is missing, it uses a support-based default. In the premise table, fleet-age lognormal profiles are written with negative offsets to place prior vintages before the anchor year; the parameters describe the age profile being mirrored into past time.</w:t>
            </w:r>
          </w:p>
        </w:tc>
      </w:tr>
      <w:tr w:rsidR="00E4260D" w14:paraId="24422BC3" w14:textId="77777777">
        <w:tc>
          <w:tcPr>
            <w:tcW w:w="3000" w:type="dxa"/>
          </w:tcPr>
          <w:p w14:paraId="7C52414C" w14:textId="77777777" w:rsidR="00E4260D" w:rsidRDefault="00240788">
            <w:r>
              <w:rPr>
                <w:rFonts w:ascii="Courier New" w:hAnsi="Courier New"/>
                <w:sz w:val="18"/>
              </w:rPr>
              <w:t>3</w:t>
            </w:r>
            <w:r>
              <w:t xml:space="preserve"> </w:t>
            </w:r>
            <w:proofErr w:type="gramStart"/>
            <w:r>
              <w:t>normal</w:t>
            </w:r>
            <w:proofErr w:type="gramEnd"/>
          </w:p>
        </w:tc>
        <w:tc>
          <w:tcPr>
            <w:tcW w:w="3000" w:type="dxa"/>
          </w:tcPr>
          <w:p w14:paraId="7AA003CE" w14:textId="77777777" w:rsidR="00E4260D" w:rsidRDefault="00240788">
            <w:proofErr w:type="spellStart"/>
            <w:r>
              <w:rPr>
                <w:rFonts w:ascii="Courier New" w:hAnsi="Courier New"/>
                <w:sz w:val="18"/>
              </w:rPr>
              <w:t>temporal_distribution</w:t>
            </w:r>
            <w:proofErr w:type="spellEnd"/>
            <w:r>
              <w:t xml:space="preserve">; </w:t>
            </w:r>
            <w:proofErr w:type="spellStart"/>
            <w:r>
              <w:rPr>
                <w:rFonts w:ascii="Courier New" w:hAnsi="Courier New"/>
                <w:sz w:val="18"/>
              </w:rPr>
              <w:t>temporal_min</w:t>
            </w:r>
            <w:proofErr w:type="spellEnd"/>
            <w:r>
              <w:t xml:space="preserve"> and </w:t>
            </w:r>
            <w:proofErr w:type="spellStart"/>
            <w:r>
              <w:rPr>
                <w:rFonts w:ascii="Courier New" w:hAnsi="Courier New"/>
                <w:sz w:val="18"/>
              </w:rPr>
              <w:t>temporal_max</w:t>
            </w:r>
            <w:proofErr w:type="spellEnd"/>
            <w:r>
              <w:t xml:space="preserve"> to define support.</w:t>
            </w:r>
          </w:p>
        </w:tc>
        <w:tc>
          <w:tcPr>
            <w:tcW w:w="3000" w:type="dxa"/>
          </w:tcPr>
          <w:p w14:paraId="67BEF822" w14:textId="77777777" w:rsidR="00E4260D" w:rsidRDefault="00240788">
            <w:proofErr w:type="spellStart"/>
            <w:r>
              <w:rPr>
                <w:rFonts w:ascii="Courier New" w:hAnsi="Courier New"/>
                <w:sz w:val="18"/>
              </w:rPr>
              <w:t>temporal_loc</w:t>
            </w:r>
            <w:proofErr w:type="spellEnd"/>
            <w:r>
              <w:t xml:space="preserve"> defaults to </w:t>
            </w:r>
            <w:r>
              <w:rPr>
                <w:rFonts w:ascii="Courier New" w:hAnsi="Courier New"/>
                <w:sz w:val="18"/>
              </w:rPr>
              <w:t>0</w:t>
            </w:r>
            <w:r>
              <w:t xml:space="preserve">; </w:t>
            </w:r>
            <w:proofErr w:type="spellStart"/>
            <w:r>
              <w:rPr>
                <w:rFonts w:ascii="Courier New" w:hAnsi="Courier New"/>
                <w:sz w:val="18"/>
              </w:rPr>
              <w:t>temporal_scale</w:t>
            </w:r>
            <w:proofErr w:type="spellEnd"/>
            <w:r>
              <w:t xml:space="preserve"> defaults to </w:t>
            </w:r>
            <w:r>
              <w:rPr>
                <w:rFonts w:ascii="Courier New" w:hAnsi="Courier New"/>
                <w:sz w:val="18"/>
              </w:rPr>
              <w:t>1</w:t>
            </w:r>
            <w:r>
              <w:t xml:space="preserve"> if missing or non-positive.</w:t>
            </w:r>
          </w:p>
        </w:tc>
      </w:tr>
      <w:tr w:rsidR="00E4260D" w14:paraId="5C713D03" w14:textId="77777777">
        <w:tc>
          <w:tcPr>
            <w:tcW w:w="3000" w:type="dxa"/>
          </w:tcPr>
          <w:p w14:paraId="1995918A" w14:textId="77777777" w:rsidR="00E4260D" w:rsidRDefault="00240788">
            <w:r>
              <w:rPr>
                <w:rFonts w:ascii="Courier New" w:hAnsi="Courier New"/>
                <w:sz w:val="18"/>
              </w:rPr>
              <w:t>4</w:t>
            </w:r>
            <w:r>
              <w:t xml:space="preserve"> </w:t>
            </w:r>
            <w:proofErr w:type="gramStart"/>
            <w:r>
              <w:t>uniform</w:t>
            </w:r>
            <w:proofErr w:type="gramEnd"/>
          </w:p>
        </w:tc>
        <w:tc>
          <w:tcPr>
            <w:tcW w:w="3000" w:type="dxa"/>
          </w:tcPr>
          <w:p w14:paraId="19FD095E" w14:textId="77777777" w:rsidR="00E4260D" w:rsidRDefault="00240788">
            <w:proofErr w:type="spellStart"/>
            <w:r>
              <w:rPr>
                <w:rFonts w:ascii="Courier New" w:hAnsi="Courier New"/>
                <w:sz w:val="18"/>
              </w:rPr>
              <w:t>temporal_distribution</w:t>
            </w:r>
            <w:proofErr w:type="spellEnd"/>
            <w:r>
              <w:t xml:space="preserve">; </w:t>
            </w:r>
            <w:proofErr w:type="spellStart"/>
            <w:r>
              <w:rPr>
                <w:rFonts w:ascii="Courier New" w:hAnsi="Courier New"/>
                <w:sz w:val="18"/>
              </w:rPr>
              <w:t>temporal_min</w:t>
            </w:r>
            <w:proofErr w:type="spellEnd"/>
            <w:r>
              <w:t xml:space="preserve"> and </w:t>
            </w:r>
            <w:proofErr w:type="spellStart"/>
            <w:r>
              <w:rPr>
                <w:rFonts w:ascii="Courier New" w:hAnsi="Courier New"/>
                <w:sz w:val="18"/>
              </w:rPr>
              <w:t>temporal_max</w:t>
            </w:r>
            <w:proofErr w:type="spellEnd"/>
            <w:r>
              <w:t>.</w:t>
            </w:r>
          </w:p>
        </w:tc>
        <w:tc>
          <w:tcPr>
            <w:tcW w:w="3000" w:type="dxa"/>
          </w:tcPr>
          <w:p w14:paraId="1B5D1166" w14:textId="77777777" w:rsidR="00E4260D" w:rsidRDefault="00240788">
            <w:proofErr w:type="spellStart"/>
            <w:r>
              <w:rPr>
                <w:rFonts w:ascii="Courier New" w:hAnsi="Courier New"/>
                <w:sz w:val="18"/>
              </w:rPr>
              <w:t>temporal_loc</w:t>
            </w:r>
            <w:proofErr w:type="spellEnd"/>
            <w:r>
              <w:t xml:space="preserve"> and </w:t>
            </w:r>
            <w:proofErr w:type="spellStart"/>
            <w:r>
              <w:rPr>
                <w:rFonts w:ascii="Courier New" w:hAnsi="Courier New"/>
                <w:sz w:val="18"/>
              </w:rPr>
              <w:t>temporal_scale</w:t>
            </w:r>
            <w:proofErr w:type="spellEnd"/>
            <w:r>
              <w:t xml:space="preserve"> are ignored.</w:t>
            </w:r>
          </w:p>
        </w:tc>
      </w:tr>
      <w:tr w:rsidR="00E4260D" w14:paraId="10CA8A8B" w14:textId="77777777">
        <w:tc>
          <w:tcPr>
            <w:tcW w:w="3000" w:type="dxa"/>
          </w:tcPr>
          <w:p w14:paraId="7F3E7673" w14:textId="77777777" w:rsidR="00E4260D" w:rsidRDefault="00240788">
            <w:r>
              <w:rPr>
                <w:rFonts w:ascii="Courier New" w:hAnsi="Courier New"/>
                <w:sz w:val="18"/>
              </w:rPr>
              <w:t>5</w:t>
            </w:r>
            <w:r>
              <w:t xml:space="preserve"> </w:t>
            </w:r>
            <w:proofErr w:type="gramStart"/>
            <w:r>
              <w:t>triangular</w:t>
            </w:r>
            <w:proofErr w:type="gramEnd"/>
          </w:p>
        </w:tc>
        <w:tc>
          <w:tcPr>
            <w:tcW w:w="3000" w:type="dxa"/>
          </w:tcPr>
          <w:p w14:paraId="1A531C3B" w14:textId="77777777" w:rsidR="00E4260D" w:rsidRDefault="00240788">
            <w:proofErr w:type="spellStart"/>
            <w:r>
              <w:rPr>
                <w:rFonts w:ascii="Courier New" w:hAnsi="Courier New"/>
                <w:sz w:val="18"/>
              </w:rPr>
              <w:t>temporal_distribution</w:t>
            </w:r>
            <w:proofErr w:type="spellEnd"/>
            <w:r>
              <w:t xml:space="preserve">; </w:t>
            </w:r>
            <w:proofErr w:type="spellStart"/>
            <w:r>
              <w:rPr>
                <w:rFonts w:ascii="Courier New" w:hAnsi="Courier New"/>
                <w:sz w:val="18"/>
              </w:rPr>
              <w:t>temporal_min</w:t>
            </w:r>
            <w:proofErr w:type="spellEnd"/>
            <w:r>
              <w:t xml:space="preserve"> and </w:t>
            </w:r>
            <w:proofErr w:type="spellStart"/>
            <w:r>
              <w:rPr>
                <w:rFonts w:ascii="Courier New" w:hAnsi="Courier New"/>
                <w:sz w:val="18"/>
              </w:rPr>
              <w:t>temporal_max</w:t>
            </w:r>
            <w:proofErr w:type="spellEnd"/>
            <w:r>
              <w:t>.</w:t>
            </w:r>
          </w:p>
        </w:tc>
        <w:tc>
          <w:tcPr>
            <w:tcW w:w="3000" w:type="dxa"/>
          </w:tcPr>
          <w:p w14:paraId="016EC00E" w14:textId="77777777" w:rsidR="00E4260D" w:rsidRDefault="00240788">
            <w:proofErr w:type="spellStart"/>
            <w:r>
              <w:rPr>
                <w:rFonts w:ascii="Courier New" w:hAnsi="Courier New"/>
                <w:sz w:val="18"/>
              </w:rPr>
              <w:t>temporal_loc</w:t>
            </w:r>
            <w:proofErr w:type="spellEnd"/>
            <w:r>
              <w:t xml:space="preserve"> gives the mode and defaults to </w:t>
            </w:r>
            <w:r>
              <w:rPr>
                <w:rFonts w:ascii="Courier New" w:hAnsi="Courier New"/>
                <w:sz w:val="18"/>
              </w:rPr>
              <w:t>0</w:t>
            </w:r>
            <w:r>
              <w:t xml:space="preserve">; </w:t>
            </w:r>
            <w:proofErr w:type="spellStart"/>
            <w:r>
              <w:rPr>
                <w:rFonts w:ascii="Courier New" w:hAnsi="Courier New"/>
                <w:sz w:val="18"/>
              </w:rPr>
              <w:t>temporal_scale</w:t>
            </w:r>
            <w:proofErr w:type="spellEnd"/>
            <w:r>
              <w:t xml:space="preserve"> is ignored.</w:t>
            </w:r>
          </w:p>
        </w:tc>
      </w:tr>
      <w:tr w:rsidR="00E4260D" w14:paraId="1A823774" w14:textId="77777777">
        <w:tc>
          <w:tcPr>
            <w:tcW w:w="3000" w:type="dxa"/>
          </w:tcPr>
          <w:p w14:paraId="4531A57A" w14:textId="77777777" w:rsidR="00E4260D" w:rsidRDefault="00240788">
            <w:r>
              <w:rPr>
                <w:rFonts w:ascii="Courier New" w:hAnsi="Courier New"/>
                <w:sz w:val="18"/>
              </w:rPr>
              <w:t>6</w:t>
            </w:r>
            <w:r>
              <w:t xml:space="preserve"> discrete empirical</w:t>
            </w:r>
          </w:p>
        </w:tc>
        <w:tc>
          <w:tcPr>
            <w:tcW w:w="3000" w:type="dxa"/>
          </w:tcPr>
          <w:p w14:paraId="1CA61A64" w14:textId="77777777" w:rsidR="00E4260D" w:rsidRDefault="00240788">
            <w:proofErr w:type="spellStart"/>
            <w:r>
              <w:rPr>
                <w:rFonts w:ascii="Courier New" w:hAnsi="Courier New"/>
                <w:sz w:val="18"/>
              </w:rPr>
              <w:t>temporal_distribution</w:t>
            </w:r>
            <w:proofErr w:type="spellEnd"/>
            <w:r>
              <w:t xml:space="preserve">; matching </w:t>
            </w:r>
            <w:proofErr w:type="spellStart"/>
            <w:r>
              <w:rPr>
                <w:rFonts w:ascii="Courier New" w:hAnsi="Courier New"/>
                <w:sz w:val="18"/>
              </w:rPr>
              <w:t>temporal_offsets</w:t>
            </w:r>
            <w:proofErr w:type="spellEnd"/>
            <w:r>
              <w:t xml:space="preserve"> and </w:t>
            </w:r>
            <w:proofErr w:type="spellStart"/>
            <w:r>
              <w:rPr>
                <w:rFonts w:ascii="Courier New" w:hAnsi="Courier New"/>
                <w:sz w:val="18"/>
              </w:rPr>
              <w:t>temporal_weights</w:t>
            </w:r>
            <w:proofErr w:type="spellEnd"/>
            <w:r>
              <w:t xml:space="preserve"> lists for an explicit empirical profile.</w:t>
            </w:r>
          </w:p>
        </w:tc>
        <w:tc>
          <w:tcPr>
            <w:tcW w:w="3000" w:type="dxa"/>
          </w:tcPr>
          <w:p w14:paraId="2B4F4120" w14:textId="4FD255E1" w:rsidR="00E4260D" w:rsidRDefault="00240788">
            <w:r>
              <w:t xml:space="preserve">If offsets or weights are missing, empty, or inconsistent, </w:t>
            </w:r>
            <w:r w:rsidR="00CA05F1" w:rsidRPr="00CA05F1">
              <w:rPr>
                <w:i/>
                <w:iCs/>
              </w:rPr>
              <w:t>Trails</w:t>
            </w:r>
            <w:r>
              <w:t xml:space="preserve"> falls back to the discrete-pulse behavior using </w:t>
            </w:r>
            <w:proofErr w:type="spellStart"/>
            <w:r>
              <w:rPr>
                <w:rFonts w:ascii="Courier New" w:hAnsi="Courier New"/>
                <w:sz w:val="18"/>
              </w:rPr>
              <w:t>temporal_loc</w:t>
            </w:r>
            <w:proofErr w:type="spellEnd"/>
            <w:r>
              <w:t xml:space="preserve"> and the declared support.</w:t>
            </w:r>
          </w:p>
        </w:tc>
      </w:tr>
    </w:tbl>
    <w:p w14:paraId="109613EB" w14:textId="394E7CC9" w:rsidR="00E4260D" w:rsidRPr="00F47008" w:rsidRDefault="0012486F" w:rsidP="00B465A4">
      <w:pPr>
        <w:rPr>
          <w:sz w:val="17"/>
          <w:szCs w:val="17"/>
        </w:rPr>
      </w:pPr>
      <w:r w:rsidRPr="00F47008">
        <w:rPr>
          <w:b/>
          <w:bCs/>
          <w:sz w:val="17"/>
          <w:szCs w:val="17"/>
        </w:rPr>
        <w:lastRenderedPageBreak/>
        <w:t>Table 3</w:t>
      </w:r>
      <w:r w:rsidRPr="00F47008">
        <w:rPr>
          <w:sz w:val="17"/>
          <w:szCs w:val="17"/>
        </w:rPr>
        <w:t xml:space="preserve"> </w:t>
      </w:r>
      <w:r w:rsidR="00F47008" w:rsidRPr="00F47008">
        <w:rPr>
          <w:sz w:val="17"/>
          <w:szCs w:val="17"/>
        </w:rPr>
        <w:t>–</w:t>
      </w:r>
      <w:r w:rsidRPr="00F47008">
        <w:rPr>
          <w:sz w:val="17"/>
          <w:szCs w:val="17"/>
        </w:rPr>
        <w:t xml:space="preserve"> </w:t>
      </w:r>
      <w:r w:rsidR="00B465A4" w:rsidRPr="00B465A4">
        <w:rPr>
          <w:sz w:val="17"/>
          <w:szCs w:val="17"/>
        </w:rPr>
        <w:t>Required parameters and fallback rules for each temporal distribution family. Support limits define the</w:t>
      </w:r>
      <w:r w:rsidR="00B465A4">
        <w:rPr>
          <w:sz w:val="17"/>
          <w:szCs w:val="17"/>
        </w:rPr>
        <w:t xml:space="preserve"> </w:t>
      </w:r>
      <w:r w:rsidR="00B465A4" w:rsidRPr="00B465A4">
        <w:rPr>
          <w:sz w:val="17"/>
          <w:szCs w:val="17"/>
        </w:rPr>
        <w:t>integer offset domain, while missing location, scale, offset, weight, or amount-source fields are handled according to the listed defaults.</w:t>
      </w:r>
    </w:p>
    <w:p w14:paraId="6886C961" w14:textId="7ACC1D98" w:rsidR="00E4260D" w:rsidRDefault="00240788" w:rsidP="00E47610">
      <w:pPr>
        <w:pStyle w:val="Heading20"/>
        <w:numPr>
          <w:ilvl w:val="1"/>
          <w:numId w:val="48"/>
        </w:numPr>
      </w:pPr>
      <w:bookmarkStart w:id="3" w:name="_Toc233129501"/>
      <w:r>
        <w:t>Amount semantics</w:t>
      </w:r>
      <w:bookmarkEnd w:id="3"/>
    </w:p>
    <w:p w14:paraId="15E8721F" w14:textId="25584436" w:rsidR="00E4260D" w:rsidRDefault="0071726D">
      <w:r w:rsidRPr="0071726D">
        <w:rPr>
          <w:i/>
          <w:iCs/>
        </w:rPr>
        <w:t>Trails</w:t>
      </w:r>
      <w:r>
        <w:t xml:space="preserve"> distinguishes the timing profile from the exchange amount. The default amount source is </w:t>
      </w:r>
      <w:r w:rsidR="004A1364">
        <w:t xml:space="preserve">the </w:t>
      </w:r>
      <w:r>
        <w:rPr>
          <w:rFonts w:ascii="Courier New" w:hAnsi="Courier New"/>
          <w:sz w:val="18"/>
        </w:rPr>
        <w:t>port</w:t>
      </w:r>
      <w:r>
        <w:t>. In this case, the anchor-year matrix value is distributed over the target years. This convention is appropriate when the coefficient belongs to the object or cohort whose timing is being distributed.</w:t>
      </w:r>
    </w:p>
    <w:p w14:paraId="116EC79C" w14:textId="4858A187" w:rsidR="00E4260D" w:rsidRDefault="00240788">
      <w:r>
        <w:t xml:space="preserve">The alternative </w:t>
      </w:r>
      <w:r w:rsidR="004A1364">
        <w:t>source</w:t>
      </w:r>
      <w:r>
        <w:t xml:space="preserve"> </w:t>
      </w:r>
      <w:r w:rsidR="004A1364">
        <w:t>of the amount</w:t>
      </w:r>
      <w:r>
        <w:t xml:space="preserve"> is </w:t>
      </w:r>
      <w:r w:rsidR="004A1364">
        <w:t xml:space="preserve">the </w:t>
      </w:r>
      <w:r>
        <w:rPr>
          <w:rFonts w:ascii="Courier New" w:hAnsi="Courier New"/>
          <w:sz w:val="18"/>
        </w:rPr>
        <w:t>matrix</w:t>
      </w:r>
      <w:r>
        <w:t xml:space="preserve">. In this case, the temporal profile selects target years, but the coefficient is read from the target-year matrix. This convention is appropriate when the </w:t>
      </w:r>
      <w:r w:rsidR="004A1364">
        <w:t>year</w:t>
      </w:r>
      <w:r>
        <w:t xml:space="preserve"> </w:t>
      </w:r>
      <w:r w:rsidR="004A1364">
        <w:t>of occurrence</w:t>
      </w:r>
      <w:r>
        <w:t xml:space="preserve"> should determine which prospective technology coefficient applies.</w:t>
      </w:r>
    </w:p>
    <w:p w14:paraId="61EC75ED" w14:textId="77777777" w:rsidR="00E4260D" w:rsidRDefault="00240788">
      <w:r>
        <w:t xml:space="preserve">This distinction is methodological. A delayed exchange with </w:t>
      </w:r>
      <w:r>
        <w:rPr>
          <w:rFonts w:ascii="Courier New" w:hAnsi="Courier New"/>
          <w:sz w:val="18"/>
        </w:rPr>
        <w:t>port</w:t>
      </w:r>
      <w:r>
        <w:t xml:space="preserve"> and the same delayed exchange with </w:t>
      </w:r>
      <w:r>
        <w:rPr>
          <w:rFonts w:ascii="Courier New" w:hAnsi="Courier New"/>
          <w:sz w:val="18"/>
        </w:rPr>
        <w:t>matrix</w:t>
      </w:r>
      <w:r>
        <w:t xml:space="preserve"> answer different questions.</w:t>
      </w:r>
    </w:p>
    <w:p w14:paraId="4774DF29" w14:textId="2665426A" w:rsidR="00E4260D" w:rsidRDefault="00240788" w:rsidP="00E47610">
      <w:pPr>
        <w:pStyle w:val="Heading20"/>
        <w:numPr>
          <w:ilvl w:val="1"/>
          <w:numId w:val="48"/>
        </w:numPr>
      </w:pPr>
      <w:bookmarkStart w:id="4" w:name="_Toc233129502"/>
      <w:r>
        <w:t>Annual resolution</w:t>
      </w:r>
      <w:bookmarkEnd w:id="4"/>
    </w:p>
    <w:p w14:paraId="69A20E78" w14:textId="7BD42B71" w:rsidR="00E4260D" w:rsidRDefault="0071726D">
      <w:r w:rsidRPr="0071726D">
        <w:rPr>
          <w:i/>
          <w:iCs/>
        </w:rPr>
        <w:t>Trails</w:t>
      </w:r>
      <w:r>
        <w:t xml:space="preserve"> work at </w:t>
      </w:r>
      <w:r w:rsidR="004A1364">
        <w:t xml:space="preserve">an </w:t>
      </w:r>
      <w:r>
        <w:t>annual resolution. It does not model hourly, seasonal, or within-year dynamics. If those dynamics control the result, the present annual time step is too coarse.</w:t>
      </w:r>
    </w:p>
    <w:p w14:paraId="091204FD" w14:textId="5A3BE9AF" w:rsidR="00E4260D" w:rsidRDefault="00240788" w:rsidP="00E47610">
      <w:pPr>
        <w:pStyle w:val="Heading1"/>
        <w:numPr>
          <w:ilvl w:val="0"/>
          <w:numId w:val="48"/>
        </w:numPr>
      </w:pPr>
      <w:bookmarkStart w:id="5" w:name="_Toc233129503"/>
      <w:r>
        <w:t>Temporal routing and year-wise solving</w:t>
      </w:r>
      <w:bookmarkEnd w:id="5"/>
    </w:p>
    <w:p w14:paraId="135606E6" w14:textId="1BF9D7E2" w:rsidR="00E4260D" w:rsidRDefault="001E3923">
      <w:r w:rsidRPr="001E3923">
        <w:rPr>
          <w:i/>
          <w:iCs/>
        </w:rPr>
        <w:t>Trails</w:t>
      </w:r>
      <w:r>
        <w:t xml:space="preserve"> represent temporal propagation as a graph of activity-year states. A node identifies an activity, a year, and a traversal depth. Standard exchanges remain in the current year. Temporal exchanges create one or more child demands in target years.</w:t>
      </w:r>
    </w:p>
    <w:p w14:paraId="665366BE" w14:textId="092F6CEA" w:rsidR="00E4260D" w:rsidRDefault="00240788">
      <w:r>
        <w:t xml:space="preserve">This section provides implementation details for the main-text Method sections "Temporal routing graph" and "Year-wise solving and inventory accumulation". It also defines the computational structure used </w:t>
      </w:r>
      <w:r w:rsidR="004A1364">
        <w:t>to generate</w:t>
      </w:r>
      <w:r>
        <w:t xml:space="preserve"> the routing-depth results reported in the main-text Results section.</w:t>
      </w:r>
    </w:p>
    <w:p w14:paraId="289961EA" w14:textId="0E56FF5B" w:rsidR="00E4260D" w:rsidRDefault="00E16CCA" w:rsidP="000F4C5C">
      <w:r>
        <w:t xml:space="preserve">Routing can be controlled either by fixed depth or by adaptive score potential. In the current default mode, </w:t>
      </w:r>
      <w:r w:rsidRPr="00162D64">
        <w:rPr>
          <w:i/>
          <w:iCs/>
        </w:rPr>
        <w:t>Trails</w:t>
      </w:r>
      <w:r>
        <w:t xml:space="preserve"> uses adaptive routing with </w:t>
      </w:r>
      <w:proofErr w:type="spellStart"/>
      <w:r w:rsidRPr="000823D8">
        <w:rPr>
          <w:rFonts w:ascii="Courier New" w:hAnsi="Courier New" w:cs="Courier New"/>
        </w:rPr>
        <w:t>max_depth</w:t>
      </w:r>
      <w:proofErr w:type="spellEnd"/>
      <w:r w:rsidRPr="000823D8">
        <w:rPr>
          <w:rFonts w:ascii="Courier New" w:hAnsi="Courier New" w:cs="Courier New"/>
        </w:rPr>
        <w:t>=None</w:t>
      </w:r>
      <w:r>
        <w:t xml:space="preserve"> and </w:t>
      </w:r>
      <w:proofErr w:type="spellStart"/>
      <w:r w:rsidRPr="000823D8">
        <w:rPr>
          <w:rFonts w:ascii="Courier New" w:hAnsi="Courier New" w:cs="Courier New"/>
        </w:rPr>
        <w:t>adaptive_relative_score_cutoff</w:t>
      </w:r>
      <w:proofErr w:type="spellEnd"/>
      <w:r w:rsidRPr="000823D8">
        <w:rPr>
          <w:rFonts w:ascii="Courier New" w:hAnsi="Courier New" w:cs="Courier New"/>
        </w:rPr>
        <w:t>=1e-4</w:t>
      </w:r>
      <w:r w:rsidR="000823D8">
        <w:rPr>
          <w:rFonts w:ascii="Courier New" w:hAnsi="Courier New" w:cs="Courier New"/>
        </w:rPr>
        <w:t xml:space="preserve"> </w:t>
      </w:r>
      <w:r w:rsidR="000823D8">
        <w:t>(i.e., 0.</w:t>
      </w:r>
      <w:r w:rsidR="00666600">
        <w:t>01%</w:t>
      </w:r>
      <w:r w:rsidR="000823D8">
        <w:t>)</w:t>
      </w:r>
      <w:r>
        <w:t xml:space="preserve">. For each candidate child branch, the routed activity scaling is converted back to a positive reference-product demand </w:t>
      </w:r>
      <w:r w:rsidRPr="00666600">
        <w:rPr>
          <w:i/>
          <w:iCs/>
        </w:rPr>
        <w:t>Q</w:t>
      </w:r>
      <w:r w:rsidRPr="00666600">
        <w:rPr>
          <w:i/>
          <w:iCs/>
          <w:vertAlign w:val="subscript"/>
        </w:rPr>
        <w:t>(</w:t>
      </w:r>
      <w:proofErr w:type="spellStart"/>
      <w:proofErr w:type="gramStart"/>
      <w:r w:rsidRPr="00666600">
        <w:rPr>
          <w:i/>
          <w:iCs/>
          <w:vertAlign w:val="subscript"/>
        </w:rPr>
        <w:t>j,y</w:t>
      </w:r>
      <w:proofErr w:type="spellEnd"/>
      <w:proofErr w:type="gramEnd"/>
      <w:r w:rsidRPr="00666600">
        <w:rPr>
          <w:i/>
          <w:iCs/>
          <w:vertAlign w:val="subscript"/>
        </w:rPr>
        <w:t>)</w:t>
      </w:r>
      <w:r>
        <w:t>. The estimated branch potential is</w:t>
      </w:r>
      <w:r w:rsidR="00430E82">
        <w:t xml:space="preserve"> </w:t>
      </w:r>
      <m:oMath>
        <m:sSub>
          <m:sSubPr>
            <m:ctrlPr>
              <w:rPr>
                <w:rFonts w:ascii="Cambria Math" w:hAnsi="Cambria Math"/>
                <w:i/>
              </w:rPr>
            </m:ctrlPr>
          </m:sSubPr>
          <m:e>
            <m:r>
              <w:rPr>
                <w:rFonts w:ascii="Cambria Math" w:hAnsi="Cambria Math"/>
              </w:rPr>
              <m:t>p</m:t>
            </m:r>
          </m:e>
          <m:sub>
            <m:r>
              <w:rPr>
                <w:rFonts w:ascii="Cambria Math" w:hAnsi="Cambria Math"/>
              </w:rPr>
              <m:t>(j,y)</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j,y</m:t>
            </m:r>
          </m:sub>
        </m:sSub>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 xml:space="preserve"> max</m:t>
                </m:r>
              </m:e>
              <m:lim>
                <m:r>
                  <w:rPr>
                    <w:rFonts w:ascii="Cambria Math" w:hAnsi="Cambria Math"/>
                  </w:rPr>
                  <m:t>m</m:t>
                </m:r>
              </m:lim>
            </m:limLow>
          </m:fName>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m</m:t>
                    </m:r>
                    <m:d>
                      <m:dPr>
                        <m:ctrlPr>
                          <w:rPr>
                            <w:rFonts w:ascii="Cambria Math" w:hAnsi="Cambria Math"/>
                            <w:i/>
                          </w:rPr>
                        </m:ctrlPr>
                      </m:dPr>
                      <m:e>
                        <m:r>
                          <w:rPr>
                            <w:rFonts w:ascii="Cambria Math" w:hAnsi="Cambria Math"/>
                          </w:rPr>
                          <m:t>j,y</m:t>
                        </m:r>
                      </m:e>
                    </m:d>
                  </m:sub>
                </m:sSub>
              </m:e>
            </m:d>
          </m:e>
        </m:func>
      </m:oMath>
      <w:r>
        <w:t xml:space="preserve">, where </w:t>
      </w:r>
      <m:oMath>
        <m:sSub>
          <m:sSubPr>
            <m:ctrlPr>
              <w:rPr>
                <w:rFonts w:ascii="Cambria Math" w:hAnsi="Cambria Math"/>
                <w:i/>
              </w:rPr>
            </m:ctrlPr>
          </m:sSubPr>
          <m:e>
            <m:r>
              <w:rPr>
                <w:rFonts w:ascii="Cambria Math" w:hAnsi="Cambria Math"/>
              </w:rPr>
              <m:t>s</m:t>
            </m:r>
          </m:e>
          <m:sub>
            <m:r>
              <w:rPr>
                <w:rFonts w:ascii="Cambria Math" w:hAnsi="Cambria Math"/>
              </w:rPr>
              <m:t>m</m:t>
            </m:r>
            <m:d>
              <m:dPr>
                <m:ctrlPr>
                  <w:rPr>
                    <w:rFonts w:ascii="Cambria Math" w:hAnsi="Cambria Math"/>
                    <w:i/>
                  </w:rPr>
                </m:ctrlPr>
              </m:dPr>
              <m:e>
                <m:r>
                  <w:rPr>
                    <w:rFonts w:ascii="Cambria Math" w:hAnsi="Cambria Math"/>
                  </w:rPr>
                  <m:t>j,y</m:t>
                </m:r>
              </m:e>
            </m:d>
          </m:sub>
        </m:sSub>
      </m:oMath>
      <w:r>
        <w:t xml:space="preserve">is the static score of activity j in year y per unit reference product. The effective threshold is the relative cutoff multiplied by the </w:t>
      </w:r>
      <w:r>
        <w:lastRenderedPageBreak/>
        <w:t>functional unit's static score potential. Branches at or below this threshold are retained as frontier demands</w:t>
      </w:r>
      <w:r w:rsidR="000F4C5C">
        <w:t>; they are not discarded and still enter the year-wise matrix solve</w:t>
      </w:r>
      <w:r>
        <w:t>.</w:t>
      </w:r>
    </w:p>
    <w:p w14:paraId="1F4E0E26" w14:textId="41C67D05" w:rsidR="00E4260D" w:rsidRDefault="00162D64">
      <w:r>
        <w:t>Frontier demands are</w:t>
      </w:r>
      <w:r w:rsidR="00240788">
        <w:t xml:space="preserve"> not solved as one global matrix. Instead, </w:t>
      </w:r>
      <w:r w:rsidR="00133D80" w:rsidRPr="00133D80">
        <w:rPr>
          <w:i/>
          <w:iCs/>
        </w:rPr>
        <w:t>Trails</w:t>
      </w:r>
      <w:r w:rsidR="00240788">
        <w:t xml:space="preserve"> collects frontier demands by year and solves standard annual systems</w:t>
      </w:r>
      <w:r w:rsidR="00C52392">
        <w:t xml:space="preserve"> as in Eq. E1.</w:t>
      </w:r>
    </w:p>
    <w:p w14:paraId="66269631" w14:textId="61B0893C" w:rsidR="001E3923" w:rsidRPr="006F7CE0" w:rsidRDefault="00000000">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A</m:t>
                  </m:r>
                </m:e>
                <m:sub>
                  <m:r>
                    <w:rPr>
                      <w:rFonts w:ascii="Cambria Math" w:hAnsi="Cambria Math"/>
                    </w:rPr>
                    <m:t>y</m:t>
                  </m:r>
                </m:sub>
              </m:sSub>
              <m:sSub>
                <m:sSubPr>
                  <m:ctrlPr>
                    <w:rPr>
                      <w:rFonts w:ascii="Cambria Math" w:hAnsi="Cambria Math"/>
                      <w:i/>
                    </w:rPr>
                  </m:ctrlPr>
                </m:sSubPr>
                <m:e>
                  <m:r>
                    <w:rPr>
                      <w:rFonts w:ascii="Cambria Math" w:hAnsi="Cambria Math"/>
                    </w:rPr>
                    <m:t>x</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y</m:t>
                  </m:r>
                </m:sub>
              </m:sSub>
              <m:r>
                <w:rPr>
                  <w:rFonts w:ascii="Cambria Math" w:hAnsi="Cambria Math"/>
                </w:rPr>
                <m:t xml:space="preserve">  #E1</m:t>
              </m:r>
            </m:e>
          </m:eqArr>
        </m:oMath>
      </m:oMathPara>
    </w:p>
    <w:p w14:paraId="22FF74B0" w14:textId="77777777" w:rsidR="006F7CE0" w:rsidRPr="006F7CE0" w:rsidRDefault="006F7CE0"/>
    <w:p w14:paraId="46264BF2" w14:textId="717B4867" w:rsidR="00D231D6" w:rsidRDefault="008C5F94">
      <w:r>
        <w:t xml:space="preserve">Where </w:t>
      </w:r>
      <w:r w:rsidRPr="008C5F94">
        <w:rPr>
          <w:i/>
          <w:iCs/>
        </w:rPr>
        <w:t>A</w:t>
      </w:r>
      <w:r w:rsidRPr="008C5F94">
        <w:rPr>
          <w:i/>
          <w:iCs/>
          <w:vertAlign w:val="subscript"/>
        </w:rPr>
        <w:t>y</w:t>
      </w:r>
      <w:r>
        <w:t xml:space="preserve"> is the technosphere matrix for year </w:t>
      </w:r>
      <w:r w:rsidRPr="008C5F94">
        <w:rPr>
          <w:i/>
          <w:iCs/>
        </w:rPr>
        <w:t>y</w:t>
      </w:r>
      <w:r>
        <w:t xml:space="preserve">, </w:t>
      </w:r>
      <w:proofErr w:type="spellStart"/>
      <w:r w:rsidRPr="008C5F94">
        <w:rPr>
          <w:i/>
          <w:iCs/>
        </w:rPr>
        <w:t>f</w:t>
      </w:r>
      <w:r w:rsidRPr="008C5F94">
        <w:rPr>
          <w:i/>
          <w:iCs/>
          <w:vertAlign w:val="subscript"/>
        </w:rPr>
        <w:t>y</w:t>
      </w:r>
      <w:proofErr w:type="spellEnd"/>
      <w:r>
        <w:t xml:space="preserve"> is the routed frontier demand vector, and </w:t>
      </w:r>
      <w:proofErr w:type="spellStart"/>
      <w:r w:rsidRPr="008C5F94">
        <w:rPr>
          <w:i/>
          <w:iCs/>
        </w:rPr>
        <w:t>x</w:t>
      </w:r>
      <w:r w:rsidRPr="008C5F94">
        <w:rPr>
          <w:i/>
          <w:iCs/>
          <w:vertAlign w:val="subscript"/>
        </w:rPr>
        <w:t>y</w:t>
      </w:r>
      <w:proofErr w:type="spellEnd"/>
      <w:r>
        <w:t xml:space="preserve"> is the supply vector. The corresponding biosphere inventory is obtained from</w:t>
      </w:r>
      <w:r w:rsidR="006F7CE0">
        <w:t xml:space="preserve"> Eq. E2.</w:t>
      </w:r>
    </w:p>
    <w:p w14:paraId="29D56AB7" w14:textId="3C8AB015" w:rsidR="00D231D6" w:rsidRPr="006F7CE0" w:rsidRDefault="00000000">
      <m:oMathPara>
        <m:oMath>
          <m:eqArr>
            <m:eqArrPr>
              <m:maxDist m:val="1"/>
              <m:ctrlPr>
                <w:rPr>
                  <w:rFonts w:ascii="Cambria Math" w:hAnsi="Cambria Math"/>
                  <w:i/>
                </w:rPr>
              </m:ctrlPr>
            </m:eqArrPr>
            <m:e>
              <m:r>
                <w:rPr>
                  <w:rFonts w:ascii="Cambria Math" w:hAnsi="Cambria Math"/>
                </w:rPr>
                <m:t>G=</m:t>
              </m:r>
              <m:sSub>
                <m:sSubPr>
                  <m:ctrlPr>
                    <w:rPr>
                      <w:rFonts w:ascii="Cambria Math" w:hAnsi="Cambria Math"/>
                      <w:i/>
                    </w:rPr>
                  </m:ctrlPr>
                </m:sSubPr>
                <m:e>
                  <m:r>
                    <w:rPr>
                      <w:rFonts w:ascii="Cambria Math" w:hAnsi="Cambria Math"/>
                    </w:rPr>
                    <m:t>B</m:t>
                  </m:r>
                </m:e>
                <m:sub>
                  <m:r>
                    <w:rPr>
                      <w:rFonts w:ascii="Cambria Math" w:hAnsi="Cambria Math"/>
                    </w:rPr>
                    <m:t>y</m:t>
                  </m:r>
                </m:sub>
              </m:sSub>
              <m:sSub>
                <m:sSubPr>
                  <m:ctrlPr>
                    <w:rPr>
                      <w:rFonts w:ascii="Cambria Math" w:hAnsi="Cambria Math"/>
                      <w:i/>
                    </w:rPr>
                  </m:ctrlPr>
                </m:sSubPr>
                <m:e>
                  <m:r>
                    <w:rPr>
                      <w:rFonts w:ascii="Cambria Math" w:hAnsi="Cambria Math"/>
                    </w:rPr>
                    <m:t>x</m:t>
                  </m:r>
                </m:e>
                <m:sub>
                  <m:r>
                    <w:rPr>
                      <w:rFonts w:ascii="Cambria Math" w:hAnsi="Cambria Math"/>
                    </w:rPr>
                    <m:t>y</m:t>
                  </m:r>
                </m:sub>
              </m:sSub>
              <m:r>
                <w:rPr>
                  <w:rFonts w:ascii="Cambria Math" w:hAnsi="Cambria Math"/>
                </w:rPr>
                <m:t xml:space="preserve"> #E2</m:t>
              </m:r>
            </m:e>
          </m:eqArr>
        </m:oMath>
      </m:oMathPara>
    </w:p>
    <w:p w14:paraId="552C2AC1" w14:textId="253BAAA0" w:rsidR="00E4260D" w:rsidRDefault="005010B2">
      <w:r>
        <w:t xml:space="preserve">Here, </w:t>
      </w:r>
      <w:r w:rsidR="00240788">
        <w:t>direct temporal biosphere exchanges added in the years defined by their own profiles.</w:t>
      </w:r>
    </w:p>
    <w:p w14:paraId="1A71154B" w14:textId="3CBF3919" w:rsidR="00E4260D" w:rsidRDefault="00240788">
      <w:r>
        <w:t xml:space="preserve">When root attribution is enabled, </w:t>
      </w:r>
      <w:r w:rsidR="003D0D1A" w:rsidRPr="003D0D1A">
        <w:rPr>
          <w:i/>
          <w:iCs/>
        </w:rPr>
        <w:t>Trails</w:t>
      </w:r>
      <w:r>
        <w:t xml:space="preserve"> stores which first-</w:t>
      </w:r>
      <w:r w:rsidR="003D0D1A">
        <w:t>depth</w:t>
      </w:r>
      <w:r>
        <w:t xml:space="preserve"> activity c</w:t>
      </w:r>
      <w:r w:rsidR="004A1364">
        <w:t>ontributed</w:t>
      </w:r>
      <w:r>
        <w:t xml:space="preserve"> to later routing and solving. This is used for diagnostic graphs, contribution plots, and the optional </w:t>
      </w:r>
      <w:proofErr w:type="spellStart"/>
      <w:r w:rsidRPr="00AA71C1">
        <w:rPr>
          <w:i/>
          <w:iCs/>
        </w:rPr>
        <w:t>FaIR</w:t>
      </w:r>
      <w:proofErr w:type="spellEnd"/>
      <w:r>
        <w:t xml:space="preserve"> allocation. For usage examples and plotting calls, see the </w:t>
      </w:r>
      <w:proofErr w:type="spellStart"/>
      <w:r>
        <w:t>quickstart</w:t>
      </w:r>
      <w:proofErr w:type="spellEnd"/>
      <w:r>
        <w:t xml:space="preserve"> and user guide.</w:t>
      </w:r>
    </w:p>
    <w:p w14:paraId="7F4A964A" w14:textId="43A90C6C" w:rsidR="00E4260D" w:rsidRDefault="00240788" w:rsidP="00E47610">
      <w:pPr>
        <w:pStyle w:val="Heading1"/>
        <w:numPr>
          <w:ilvl w:val="0"/>
          <w:numId w:val="48"/>
        </w:numPr>
      </w:pPr>
      <w:bookmarkStart w:id="6" w:name="_Toc233129504"/>
      <w:r>
        <w:t xml:space="preserve">Temporal distributions added by </w:t>
      </w:r>
      <w:r w:rsidR="00815230" w:rsidRPr="00815230">
        <w:rPr>
          <w:i/>
          <w:iCs/>
        </w:rPr>
        <w:t>P</w:t>
      </w:r>
      <w:r w:rsidRPr="00815230">
        <w:rPr>
          <w:i/>
          <w:iCs/>
        </w:rPr>
        <w:t>remise</w:t>
      </w:r>
      <w:bookmarkEnd w:id="6"/>
    </w:p>
    <w:p w14:paraId="6B748FFD" w14:textId="79556FE9" w:rsidR="00E4260D" w:rsidRDefault="00240788">
      <w:r>
        <w:t>The largest model</w:t>
      </w:r>
      <w:r w:rsidR="004A1364">
        <w:t>l</w:t>
      </w:r>
      <w:r>
        <w:t xml:space="preserve">ing step upstream of </w:t>
      </w:r>
      <w:r w:rsidR="00815230" w:rsidRPr="00815230">
        <w:rPr>
          <w:i/>
          <w:iCs/>
        </w:rPr>
        <w:t>Trails</w:t>
      </w:r>
      <w:r>
        <w:t xml:space="preserve"> is </w:t>
      </w:r>
      <w:r w:rsidR="004A1364">
        <w:t>adding</w:t>
      </w:r>
      <w:r>
        <w:t xml:space="preserve"> temporal distributions to exchanges in the </w:t>
      </w:r>
      <w:r w:rsidR="004012BB">
        <w:t>time-indexed</w:t>
      </w:r>
      <w:r>
        <w:t xml:space="preserve"> databases. In the workflow used here, this is done by</w:t>
      </w:r>
      <w:r w:rsidR="00815230">
        <w:t xml:space="preserve"> </w:t>
      </w:r>
      <w:r w:rsidR="00815230" w:rsidRPr="00815230">
        <w:rPr>
          <w:i/>
          <w:iCs/>
        </w:rPr>
        <w:t>Premise</w:t>
      </w:r>
      <w:r w:rsidR="00815230">
        <w:t xml:space="preserve"> </w:t>
      </w:r>
      <w:r>
        <w:t xml:space="preserve">before the matrices are exported. </w:t>
      </w:r>
      <w:r w:rsidR="00815230" w:rsidRPr="00815230">
        <w:rPr>
          <w:i/>
          <w:iCs/>
        </w:rPr>
        <w:t>Premise</w:t>
      </w:r>
      <w:r w:rsidR="00815230">
        <w:t xml:space="preserve"> </w:t>
      </w:r>
      <w:r>
        <w:t xml:space="preserve">does not create a separate temporal database for </w:t>
      </w:r>
      <w:r w:rsidR="00815230" w:rsidRPr="00815230">
        <w:rPr>
          <w:i/>
          <w:iCs/>
        </w:rPr>
        <w:t>Trails</w:t>
      </w:r>
      <w:r>
        <w:t>. Instead, it annotates selected technosphere</w:t>
      </w:r>
      <w:r w:rsidR="004A1364">
        <w:t>-</w:t>
      </w:r>
      <w:r>
        <w:t xml:space="preserve">biosphere exchanges with the temporal columns described in Section S3. </w:t>
      </w:r>
      <w:r w:rsidR="00815230" w:rsidRPr="00815230">
        <w:rPr>
          <w:i/>
          <w:iCs/>
        </w:rPr>
        <w:t>Trails</w:t>
      </w:r>
      <w:r w:rsidR="00815230">
        <w:t xml:space="preserve"> </w:t>
      </w:r>
      <w:r>
        <w:t>then reads these columns from the exported matrix files and applies the temporal routing described in Section S4.</w:t>
      </w:r>
    </w:p>
    <w:p w14:paraId="71C4C788" w14:textId="6FBC671A" w:rsidR="00E4260D" w:rsidRDefault="00240788">
      <w:r>
        <w:t xml:space="preserve">This section documents the exchange-level assumptions behind the </w:t>
      </w:r>
      <w:proofErr w:type="spellStart"/>
      <w:r>
        <w:t>temporali</w:t>
      </w:r>
      <w:r w:rsidR="004A1364">
        <w:t>s</w:t>
      </w:r>
      <w:r>
        <w:t>ed</w:t>
      </w:r>
      <w:proofErr w:type="spellEnd"/>
      <w:r>
        <w:t xml:space="preserve"> </w:t>
      </w:r>
      <w:r w:rsidR="000F0E02">
        <w:t>time-indexed</w:t>
      </w:r>
      <w:r>
        <w:t xml:space="preserve"> databases used in the manuscript. It complements the main-text sections "Connected </w:t>
      </w:r>
      <w:r w:rsidR="000F0E02">
        <w:t>time-indexed</w:t>
      </w:r>
      <w:r>
        <w:t xml:space="preserve"> databases" and "Temporal exchange distributions" by specifying which exchanges were given temporal distributions, which lifetimes or rotation times were used, and which sources or heuristic labels support those choices.</w:t>
      </w:r>
    </w:p>
    <w:p w14:paraId="25279888" w14:textId="15A75D95" w:rsidR="00E4260D" w:rsidRDefault="00240788">
      <w:r>
        <w:t xml:space="preserve">The source table used by </w:t>
      </w:r>
      <w:r w:rsidR="00826842" w:rsidRPr="00815230">
        <w:rPr>
          <w:i/>
          <w:iCs/>
        </w:rPr>
        <w:t>Premise</w:t>
      </w:r>
      <w:r w:rsidR="00826842">
        <w:t xml:space="preserve"> </w:t>
      </w:r>
      <w:r>
        <w:t>is</w:t>
      </w:r>
      <w:r w:rsidR="009E656A">
        <w:t xml:space="preserve"> located at the following </w:t>
      </w:r>
      <w:r w:rsidR="00284063">
        <w:t>location</w:t>
      </w:r>
      <w:r>
        <w:t>:</w:t>
      </w:r>
    </w:p>
    <w:p w14:paraId="7B135113" w14:textId="31A50D9D" w:rsidR="00E4260D" w:rsidRPr="00826842" w:rsidRDefault="00425160" w:rsidP="00826842">
      <w:pPr>
        <w:pStyle w:val="computercode"/>
        <w:jc w:val="center"/>
        <w:rPr>
          <w:i/>
          <w:iCs/>
        </w:rPr>
      </w:pPr>
      <w:r w:rsidRPr="00425160">
        <w:rPr>
          <w:i/>
          <w:iCs/>
        </w:rPr>
        <w:t>https://github.com/polca/</w:t>
      </w:r>
      <w:r w:rsidR="00240788" w:rsidRPr="00826842">
        <w:rPr>
          <w:i/>
          <w:iCs/>
        </w:rPr>
        <w:t>premise/data/trails/temporal_distributions.csv</w:t>
      </w:r>
    </w:p>
    <w:p w14:paraId="2F1A4488" w14:textId="665AAEBA" w:rsidR="00E4260D" w:rsidRDefault="003D00CB">
      <w:r>
        <w:lastRenderedPageBreak/>
        <w:t>As of Premise 2.5.0, t</w:t>
      </w:r>
      <w:r w:rsidR="00240788">
        <w:t>he temporal-distribution table used contains 9,668 rows. It is keyed by dataset name and reference product for technosphere and biomass rows, and by biosphere-flow selectors for long-term emission rows. Each active row can play one of four roles</w:t>
      </w:r>
      <w:r w:rsidR="00222631">
        <w:t>, as illustrated in Figure 3</w:t>
      </w:r>
      <w:r w:rsidR="00240788">
        <w:t xml:space="preserve">. First, it can provide temporal parameters that are copied directly to a matched exchange, as for </w:t>
      </w:r>
      <w:r w:rsidR="00240788" w:rsidRPr="000238AF">
        <w:rPr>
          <w:rFonts w:ascii="Courier New" w:hAnsi="Courier New" w:cs="Courier New"/>
        </w:rPr>
        <w:t>stock_asset</w:t>
      </w:r>
      <w:r w:rsidR="00240788">
        <w:t xml:space="preserve"> rows and for the </w:t>
      </w:r>
      <w:r w:rsidR="00240788" w:rsidRPr="000238AF">
        <w:rPr>
          <w:rFonts w:ascii="Courier New" w:hAnsi="Courier New" w:cs="Courier New"/>
        </w:rPr>
        <w:t>Carbon dioxide, in air</w:t>
      </w:r>
      <w:r w:rsidR="00240788">
        <w:t xml:space="preserve"> biosphere exchange in </w:t>
      </w:r>
      <w:r w:rsidR="00240788" w:rsidRPr="000238AF">
        <w:rPr>
          <w:rFonts w:ascii="Courier New" w:hAnsi="Courier New" w:cs="Courier New"/>
        </w:rPr>
        <w:t>biomass_growth</w:t>
      </w:r>
      <w:r w:rsidR="00240788">
        <w:t xml:space="preserve"> rows. Second, it can mark a supplier as maintenance or end-of-life, in which case timing is computed from the lifetime of the activity that calls that supplier. Third, it can assign empirical profiles to matched long-term biosphere emissions. Throughput, market, and blank rows document reviewed processes for which no special temporal distribution is assigned.</w:t>
      </w:r>
    </w:p>
    <w:p w14:paraId="1DC3EE33" w14:textId="211B516D" w:rsidR="00E4260D" w:rsidRDefault="00240788">
      <w:r>
        <w:t xml:space="preserve">This distinction is important when reading the rows. A lifetime recorded for a dataset does not always mean that an exchange in that dataset is shifted by that lifetime. For stock assets and biomass growth, the row contains the applied temporal distribution. For maintenance and end-of-life suppliers, the row identifies the supplier type, while the relevant lifetime is usually inherited from the calling dataset. For </w:t>
      </w:r>
      <w:r w:rsidRPr="008655E1">
        <w:rPr>
          <w:rFonts w:ascii="Courier New" w:hAnsi="Courier New" w:cs="Courier New"/>
        </w:rPr>
        <w:t>long_term_emission</w:t>
      </w:r>
      <w:r>
        <w:t xml:space="preserve"> rows, the lifetime field documents the 1000-year long-term horizon; the applied timing is the empirical offset-weight profile selected by the biosphere-flow selector.</w:t>
      </w:r>
    </w:p>
    <w:p w14:paraId="0F741DDF" w14:textId="77777777" w:rsidR="00E4260D" w:rsidRDefault="00240788" w:rsidP="000D6770">
      <w:pPr>
        <w:pStyle w:val="figure"/>
        <w:ind w:left="-1276"/>
        <w:jc w:val="center"/>
      </w:pPr>
      <w:r>
        <w:rPr>
          <w:noProof/>
        </w:rPr>
        <w:drawing>
          <wp:inline distT="0" distB="0" distL="0" distR="0" wp14:anchorId="49A9BCB1" wp14:editId="0FB8BA74">
            <wp:extent cx="5760720" cy="2116182"/>
            <wp:effectExtent l="0" t="0" r="0" b="0"/>
            <wp:docPr id="3" name="Picture 3" descr="Premise temporal assignment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emise_temporal_assignment.svg"/>
                    <pic:cNvPicPr/>
                  </pic:nvPicPr>
                  <pic:blipFill>
                    <a:blip r:embed="rId14">
                      <a:extLst>
                        <a:ext uri="{96DAC541-7B7A-43D3-8B79-37D633B846F1}">
                          <asvg:svgBlip xmlns:asvg="http://schemas.microsoft.com/office/drawing/2016/SVG/main" r:embed="rId15"/>
                        </a:ext>
                      </a:extLst>
                    </a:blip>
                    <a:stretch>
                      <a:fillRect/>
                    </a:stretch>
                  </pic:blipFill>
                  <pic:spPr>
                    <a:xfrm>
                      <a:off x="0" y="0"/>
                      <a:ext cx="5760720" cy="2116182"/>
                    </a:xfrm>
                    <a:prstGeom prst="rect">
                      <a:avLst/>
                    </a:prstGeom>
                  </pic:spPr>
                </pic:pic>
              </a:graphicData>
            </a:graphic>
          </wp:inline>
        </w:drawing>
      </w:r>
    </w:p>
    <w:p w14:paraId="74AABCFD" w14:textId="02C6CF01" w:rsidR="00E4260D" w:rsidRPr="00DE2D25" w:rsidRDefault="00DE2D25" w:rsidP="00016C45">
      <w:pPr>
        <w:pStyle w:val="fignotes"/>
        <w:rPr>
          <w:iCs/>
        </w:rPr>
      </w:pPr>
      <w:r w:rsidRPr="00DE2D25">
        <w:rPr>
          <w:b/>
          <w:bCs/>
          <w:iCs/>
        </w:rPr>
        <w:t>Figure 3</w:t>
      </w:r>
      <w:r w:rsidRPr="00DE2D25">
        <w:rPr>
          <w:iCs/>
        </w:rPr>
        <w:t xml:space="preserve"> - </w:t>
      </w:r>
      <w:r w:rsidR="00016C45" w:rsidRPr="00016C45">
        <w:rPr>
          <w:iCs/>
        </w:rPr>
        <w:t>Premise workflow for assigning temporal metadata to exchanges. Rows in the temporal-distribution CSV are</w:t>
      </w:r>
      <w:r w:rsidR="00016C45">
        <w:rPr>
          <w:iCs/>
        </w:rPr>
        <w:t xml:space="preserve"> </w:t>
      </w:r>
      <w:r w:rsidR="00016C45" w:rsidRPr="00016C45">
        <w:rPr>
          <w:iCs/>
        </w:rPr>
        <w:t>interpreted as biomass-growth, stock-asset, maintenance, or end-of-life assumptions, matched to technosphere or</w:t>
      </w:r>
      <w:r w:rsidR="00016C45">
        <w:rPr>
          <w:iCs/>
        </w:rPr>
        <w:t xml:space="preserve"> </w:t>
      </w:r>
      <w:r w:rsidR="00016C45" w:rsidRPr="00016C45">
        <w:rPr>
          <w:iCs/>
        </w:rPr>
        <w:t>biosphere exchanges, and written to the matrix temporal columns; unmatched or ambiguous rows are reported</w:t>
      </w:r>
      <w:r w:rsidR="00016C45">
        <w:rPr>
          <w:iCs/>
        </w:rPr>
        <w:t xml:space="preserve"> </w:t>
      </w:r>
      <w:r w:rsidR="00016C45" w:rsidRPr="00016C45">
        <w:rPr>
          <w:iCs/>
        </w:rPr>
        <w:t>separately.</w:t>
      </w:r>
    </w:p>
    <w:p w14:paraId="55213E77" w14:textId="3BA66AF6" w:rsidR="00E4260D" w:rsidRPr="002C079F" w:rsidRDefault="00240788" w:rsidP="002C079F">
      <w:pPr>
        <w:pStyle w:val="Heading20"/>
        <w:numPr>
          <w:ilvl w:val="1"/>
          <w:numId w:val="46"/>
        </w:numPr>
      </w:pPr>
      <w:bookmarkStart w:id="7" w:name="_Toc233129505"/>
      <w:r w:rsidRPr="002C079F">
        <w:lastRenderedPageBreak/>
        <w:t>Tags and direct effects</w:t>
      </w:r>
      <w:bookmarkEnd w:id="7"/>
    </w:p>
    <w:p w14:paraId="776649BF" w14:textId="31E43AAC" w:rsidR="00E4260D" w:rsidRDefault="00240788">
      <w:r>
        <w:t>The temporal-distribution table contains the tag and exchange-level effects</w:t>
      </w:r>
      <w:r w:rsidR="00B916E5">
        <w:t xml:space="preserve"> describe in Table 4.</w:t>
      </w:r>
      <w:r w:rsidR="00CF0158">
        <w:t xml:space="preserve"> The tag counts are visualized by Figure 4.</w:t>
      </w:r>
    </w:p>
    <w:tbl>
      <w:tblPr>
        <w:tblStyle w:val="TableGrid"/>
        <w:tblW w:w="5000" w:type="pct"/>
        <w:tblLook w:val="04A0" w:firstRow="1" w:lastRow="0" w:firstColumn="1" w:lastColumn="0" w:noHBand="0" w:noVBand="1"/>
      </w:tblPr>
      <w:tblGrid>
        <w:gridCol w:w="2421"/>
        <w:gridCol w:w="2149"/>
        <w:gridCol w:w="2053"/>
      </w:tblGrid>
      <w:tr w:rsidR="00C22D36" w14:paraId="287070D9" w14:textId="77777777" w:rsidTr="00C22D36">
        <w:tc>
          <w:tcPr>
            <w:tcW w:w="1828" w:type="pct"/>
            <w:shd w:val="clear" w:color="auto" w:fill="D9EAF7"/>
          </w:tcPr>
          <w:p w14:paraId="2A282185" w14:textId="77777777" w:rsidR="00C22D36" w:rsidRDefault="00C22D36">
            <w:r>
              <w:rPr>
                <w:b/>
              </w:rPr>
              <w:t>Tag</w:t>
            </w:r>
          </w:p>
        </w:tc>
        <w:tc>
          <w:tcPr>
            <w:tcW w:w="1622" w:type="pct"/>
            <w:shd w:val="clear" w:color="auto" w:fill="D9EAF7"/>
          </w:tcPr>
          <w:p w14:paraId="28BECCEB" w14:textId="77777777" w:rsidR="00C22D36" w:rsidRDefault="00C22D36">
            <w:r>
              <w:rPr>
                <w:b/>
              </w:rPr>
              <w:t>What is matched</w:t>
            </w:r>
          </w:p>
        </w:tc>
        <w:tc>
          <w:tcPr>
            <w:tcW w:w="1551" w:type="pct"/>
            <w:shd w:val="clear" w:color="auto" w:fill="D9EAF7"/>
          </w:tcPr>
          <w:p w14:paraId="3AC8123D" w14:textId="77777777" w:rsidR="00C22D36" w:rsidRDefault="00C22D36">
            <w:r>
              <w:rPr>
                <w:b/>
              </w:rPr>
              <w:t>Where the temporal distribution is written</w:t>
            </w:r>
          </w:p>
        </w:tc>
      </w:tr>
      <w:tr w:rsidR="00C22D36" w14:paraId="7DFB1AE9" w14:textId="77777777" w:rsidTr="00C22D36">
        <w:tc>
          <w:tcPr>
            <w:tcW w:w="1828" w:type="pct"/>
          </w:tcPr>
          <w:p w14:paraId="7CA601A1" w14:textId="77777777" w:rsidR="00C22D36" w:rsidRDefault="00C22D36">
            <w:proofErr w:type="spellStart"/>
            <w:r>
              <w:rPr>
                <w:rFonts w:ascii="Courier New" w:hAnsi="Courier New"/>
                <w:sz w:val="18"/>
              </w:rPr>
              <w:t>stock_asset</w:t>
            </w:r>
            <w:proofErr w:type="spellEnd"/>
          </w:p>
        </w:tc>
        <w:tc>
          <w:tcPr>
            <w:tcW w:w="1622" w:type="pct"/>
          </w:tcPr>
          <w:p w14:paraId="278314F2" w14:textId="77777777" w:rsidR="00C22D36" w:rsidRDefault="00C22D36">
            <w:r>
              <w:t>A technosphere supplier whose name and reference product match the row.</w:t>
            </w:r>
          </w:p>
        </w:tc>
        <w:tc>
          <w:tcPr>
            <w:tcW w:w="1551" w:type="pct"/>
          </w:tcPr>
          <w:p w14:paraId="6AC761AD" w14:textId="77777777" w:rsidR="00C22D36" w:rsidRDefault="00C22D36">
            <w:r>
              <w:t>The technosphere exchange to that supplier receives the row's temporal parameters.</w:t>
            </w:r>
          </w:p>
        </w:tc>
      </w:tr>
      <w:tr w:rsidR="00C22D36" w14:paraId="3CD5CB83" w14:textId="77777777" w:rsidTr="00C22D36">
        <w:tc>
          <w:tcPr>
            <w:tcW w:w="1828" w:type="pct"/>
          </w:tcPr>
          <w:p w14:paraId="25446098" w14:textId="77777777" w:rsidR="00C22D36" w:rsidRDefault="00C22D36">
            <w:proofErr w:type="spellStart"/>
            <w:r>
              <w:rPr>
                <w:rFonts w:ascii="Courier New" w:hAnsi="Courier New"/>
                <w:sz w:val="18"/>
              </w:rPr>
              <w:t>biomass_growth</w:t>
            </w:r>
            <w:proofErr w:type="spellEnd"/>
          </w:p>
        </w:tc>
        <w:tc>
          <w:tcPr>
            <w:tcW w:w="1622" w:type="pct"/>
          </w:tcPr>
          <w:p w14:paraId="1DB836A9" w14:textId="77777777" w:rsidR="00C22D36" w:rsidRDefault="00C22D36">
            <w:r>
              <w:t>A dataset whose name and reference product match the row.</w:t>
            </w:r>
          </w:p>
        </w:tc>
        <w:tc>
          <w:tcPr>
            <w:tcW w:w="1551" w:type="pct"/>
          </w:tcPr>
          <w:p w14:paraId="3F15A7DE" w14:textId="77777777" w:rsidR="00C22D36" w:rsidRDefault="00C22D36">
            <w:r>
              <w:t xml:space="preserve">The dataset's biosphere exchange named </w:t>
            </w:r>
            <w:r>
              <w:rPr>
                <w:rFonts w:ascii="Courier New" w:hAnsi="Courier New"/>
                <w:sz w:val="18"/>
              </w:rPr>
              <w:t>Carbon dioxide, in air</w:t>
            </w:r>
            <w:r>
              <w:t xml:space="preserve"> receives the row's temporal parameters.</w:t>
            </w:r>
          </w:p>
        </w:tc>
      </w:tr>
      <w:tr w:rsidR="00C22D36" w14:paraId="6D0A281D" w14:textId="77777777" w:rsidTr="00C22D36">
        <w:tc>
          <w:tcPr>
            <w:tcW w:w="1828" w:type="pct"/>
          </w:tcPr>
          <w:p w14:paraId="59FC24FD" w14:textId="77777777" w:rsidR="00E263E0" w:rsidRPr="00D26340" w:rsidRDefault="00240788">
            <w:pPr>
              <w:rPr>
                <w:rFonts w:ascii="Courier New" w:hAnsi="Courier New" w:cs="Courier New"/>
              </w:rPr>
            </w:pPr>
            <w:r w:rsidRPr="00D26340">
              <w:rPr>
                <w:rFonts w:ascii="Courier New" w:hAnsi="Courier New" w:cs="Courier New"/>
              </w:rPr>
              <w:t>long_term_emission</w:t>
            </w:r>
          </w:p>
        </w:tc>
        <w:tc>
          <w:tcPr>
            <w:tcW w:w="1622" w:type="pct"/>
          </w:tcPr>
          <w:p w14:paraId="3923E310" w14:textId="77777777" w:rsidR="00E263E0" w:rsidRDefault="00240788">
            <w:r>
              <w:t>A biosphere-flow selector. The row name matches the flow name, and the reference product field is parsed as compartment|subcompartment|unit; wildcards are allowed.</w:t>
            </w:r>
          </w:p>
        </w:tc>
        <w:tc>
          <w:tcPr>
            <w:tcW w:w="1551" w:type="pct"/>
          </w:tcPr>
          <w:p w14:paraId="30CABEE5" w14:textId="77777777" w:rsidR="00E263E0" w:rsidRDefault="00240788">
            <w:r>
              <w:t xml:space="preserve">The matched biosphere exchange receives a 32-bin empirical profile over the </w:t>
            </w:r>
            <w:proofErr w:type="gramStart"/>
            <w:r>
              <w:t>100-1000 year</w:t>
            </w:r>
            <w:proofErr w:type="gramEnd"/>
            <w:r>
              <w:t xml:space="preserve"> long-term window.</w:t>
            </w:r>
          </w:p>
        </w:tc>
      </w:tr>
      <w:tr w:rsidR="00C22D36" w14:paraId="01FE5835" w14:textId="77777777" w:rsidTr="00C22D36">
        <w:tc>
          <w:tcPr>
            <w:tcW w:w="1828" w:type="pct"/>
          </w:tcPr>
          <w:p w14:paraId="70ED2E96" w14:textId="77777777" w:rsidR="00C22D36" w:rsidRDefault="00C22D36">
            <w:r>
              <w:rPr>
                <w:rFonts w:ascii="Courier New" w:hAnsi="Courier New"/>
                <w:sz w:val="18"/>
              </w:rPr>
              <w:t>maintenance</w:t>
            </w:r>
          </w:p>
        </w:tc>
        <w:tc>
          <w:tcPr>
            <w:tcW w:w="1622" w:type="pct"/>
          </w:tcPr>
          <w:p w14:paraId="52D74884" w14:textId="77777777" w:rsidR="00C22D36" w:rsidRDefault="00C22D36">
            <w:r>
              <w:t>A technosphere supplier marked as maintenance.</w:t>
            </w:r>
          </w:p>
        </w:tc>
        <w:tc>
          <w:tcPr>
            <w:tcW w:w="1551" w:type="pct"/>
          </w:tcPr>
          <w:p w14:paraId="2805CFB7" w14:textId="77777777" w:rsidR="00C22D36" w:rsidRDefault="00C22D36">
            <w:r>
              <w:t>The technosphere exchange to that supplier is spread uniformly from year 0 to the lifetime of the calling dataset.</w:t>
            </w:r>
          </w:p>
        </w:tc>
      </w:tr>
      <w:tr w:rsidR="00C22D36" w14:paraId="1CAAD594" w14:textId="77777777" w:rsidTr="00C22D36">
        <w:tc>
          <w:tcPr>
            <w:tcW w:w="1828" w:type="pct"/>
          </w:tcPr>
          <w:p w14:paraId="158A89A0" w14:textId="77777777" w:rsidR="00C22D36" w:rsidRDefault="00C22D36">
            <w:proofErr w:type="spellStart"/>
            <w:r>
              <w:rPr>
                <w:rFonts w:ascii="Courier New" w:hAnsi="Courier New"/>
                <w:sz w:val="18"/>
              </w:rPr>
              <w:t>end_of_life</w:t>
            </w:r>
            <w:proofErr w:type="spellEnd"/>
          </w:p>
        </w:tc>
        <w:tc>
          <w:tcPr>
            <w:tcW w:w="1622" w:type="pct"/>
          </w:tcPr>
          <w:p w14:paraId="53C14795" w14:textId="77777777" w:rsidR="00C22D36" w:rsidRDefault="00C22D36">
            <w:r>
              <w:t>A technosphere supplier marked as end-of-life treatment or decommissioning.</w:t>
            </w:r>
          </w:p>
        </w:tc>
        <w:tc>
          <w:tcPr>
            <w:tcW w:w="1551" w:type="pct"/>
          </w:tcPr>
          <w:p w14:paraId="38E3F7EB" w14:textId="77777777" w:rsidR="00C22D36" w:rsidRDefault="00C22D36">
            <w:r>
              <w:t>The technosphere exchange to that supplier is moved to a one-year pulse at the lifetime of the calling dataset.</w:t>
            </w:r>
          </w:p>
        </w:tc>
      </w:tr>
      <w:tr w:rsidR="00C22D36" w14:paraId="3215564E" w14:textId="77777777" w:rsidTr="00C22D36">
        <w:tc>
          <w:tcPr>
            <w:tcW w:w="1828" w:type="pct"/>
          </w:tcPr>
          <w:p w14:paraId="60D0551F" w14:textId="77777777" w:rsidR="00C22D36" w:rsidRDefault="00C22D36">
            <w:proofErr w:type="spellStart"/>
            <w:r>
              <w:rPr>
                <w:rFonts w:ascii="Courier New" w:hAnsi="Courier New"/>
                <w:sz w:val="18"/>
              </w:rPr>
              <w:lastRenderedPageBreak/>
              <w:t>throughput_process</w:t>
            </w:r>
            <w:proofErr w:type="spellEnd"/>
          </w:p>
        </w:tc>
        <w:tc>
          <w:tcPr>
            <w:tcW w:w="1622" w:type="pct"/>
          </w:tcPr>
          <w:p w14:paraId="49D29200" w14:textId="77777777" w:rsidR="00C22D36" w:rsidRDefault="00C22D36">
            <w:r>
              <w:t>A reviewed process-throughput dataset.</w:t>
            </w:r>
          </w:p>
        </w:tc>
        <w:tc>
          <w:tcPr>
            <w:tcW w:w="1551" w:type="pct"/>
          </w:tcPr>
          <w:p w14:paraId="2E37E9E9" w14:textId="77777777" w:rsidR="00C22D36" w:rsidRDefault="00C22D36">
            <w:r>
              <w:t>No special temporal distribution is assigned from this tag.</w:t>
            </w:r>
          </w:p>
        </w:tc>
      </w:tr>
      <w:tr w:rsidR="00C22D36" w14:paraId="2AF12EA5" w14:textId="77777777" w:rsidTr="00C22D36">
        <w:tc>
          <w:tcPr>
            <w:tcW w:w="1828" w:type="pct"/>
          </w:tcPr>
          <w:p w14:paraId="779CACD3" w14:textId="77777777" w:rsidR="00C22D36" w:rsidRDefault="00C22D36">
            <w:r>
              <w:rPr>
                <w:rFonts w:ascii="Courier New" w:hAnsi="Courier New"/>
                <w:sz w:val="18"/>
              </w:rPr>
              <w:t>market</w:t>
            </w:r>
          </w:p>
        </w:tc>
        <w:tc>
          <w:tcPr>
            <w:tcW w:w="1622" w:type="pct"/>
          </w:tcPr>
          <w:p w14:paraId="7FE4F72F" w14:textId="77777777" w:rsidR="00C22D36" w:rsidRDefault="00C22D36">
            <w:r>
              <w:t>A reviewed market or market-like dataset.</w:t>
            </w:r>
          </w:p>
        </w:tc>
        <w:tc>
          <w:tcPr>
            <w:tcW w:w="1551" w:type="pct"/>
          </w:tcPr>
          <w:p w14:paraId="0DEBD258" w14:textId="77777777" w:rsidR="00C22D36" w:rsidRDefault="00C22D36">
            <w:r>
              <w:t>No special temporal distribution is assigned from this tag.</w:t>
            </w:r>
          </w:p>
        </w:tc>
      </w:tr>
      <w:tr w:rsidR="00C22D36" w14:paraId="199C2A33" w14:textId="77777777" w:rsidTr="00C22D36">
        <w:tc>
          <w:tcPr>
            <w:tcW w:w="1828" w:type="pct"/>
          </w:tcPr>
          <w:p w14:paraId="01973E05" w14:textId="315441AF" w:rsidR="00C22D36" w:rsidRDefault="001F68C7">
            <w:r>
              <w:t>*</w:t>
            </w:r>
            <w:r w:rsidR="00C22D36">
              <w:t>blank</w:t>
            </w:r>
            <w:r>
              <w:t>*</w:t>
            </w:r>
          </w:p>
        </w:tc>
        <w:tc>
          <w:tcPr>
            <w:tcW w:w="1622" w:type="pct"/>
          </w:tcPr>
          <w:p w14:paraId="1A1F3213" w14:textId="77777777" w:rsidR="00C22D36" w:rsidRDefault="00C22D36">
            <w:r>
              <w:t>Rows without an active temporal tag.</w:t>
            </w:r>
          </w:p>
        </w:tc>
        <w:tc>
          <w:tcPr>
            <w:tcW w:w="1551" w:type="pct"/>
          </w:tcPr>
          <w:p w14:paraId="39D0C82D" w14:textId="77777777" w:rsidR="00C22D36" w:rsidRDefault="00C22D36">
            <w:r>
              <w:t>No special temporal distribution is assigned.</w:t>
            </w:r>
          </w:p>
        </w:tc>
      </w:tr>
    </w:tbl>
    <w:p w14:paraId="170B991B" w14:textId="31189051" w:rsidR="00E4260D" w:rsidRPr="00130565" w:rsidRDefault="001F68C7" w:rsidP="00877941">
      <w:pPr>
        <w:rPr>
          <w:sz w:val="17"/>
          <w:szCs w:val="17"/>
        </w:rPr>
      </w:pPr>
      <w:r w:rsidRPr="00130565">
        <w:rPr>
          <w:b/>
          <w:bCs/>
          <w:sz w:val="17"/>
          <w:szCs w:val="17"/>
        </w:rPr>
        <w:t>Table 4</w:t>
      </w:r>
      <w:r w:rsidRPr="00130565">
        <w:rPr>
          <w:sz w:val="17"/>
          <w:szCs w:val="17"/>
        </w:rPr>
        <w:t xml:space="preserve"> </w:t>
      </w:r>
      <w:r w:rsidR="007B5402" w:rsidRPr="00130565">
        <w:rPr>
          <w:sz w:val="17"/>
          <w:szCs w:val="17"/>
        </w:rPr>
        <w:t>–</w:t>
      </w:r>
      <w:r w:rsidRPr="00130565">
        <w:rPr>
          <w:sz w:val="17"/>
          <w:szCs w:val="17"/>
        </w:rPr>
        <w:t xml:space="preserve"> </w:t>
      </w:r>
      <w:r w:rsidR="00877941" w:rsidRPr="00877941">
        <w:rPr>
          <w:sz w:val="17"/>
          <w:szCs w:val="17"/>
        </w:rPr>
        <w:t>Premise tag semantics for writing temporal metadata. The table distinguishes what each tag matches, such as</w:t>
      </w:r>
      <w:r w:rsidR="00877941">
        <w:rPr>
          <w:sz w:val="17"/>
          <w:szCs w:val="17"/>
        </w:rPr>
        <w:t xml:space="preserve"> </w:t>
      </w:r>
      <w:r w:rsidR="00877941" w:rsidRPr="00877941">
        <w:rPr>
          <w:sz w:val="17"/>
          <w:szCs w:val="17"/>
        </w:rPr>
        <w:t>a supplier, dataset, or biosphere-flow selector, from the exchange or matrix column where the resulting temporal</w:t>
      </w:r>
      <w:r w:rsidR="00877941">
        <w:rPr>
          <w:sz w:val="17"/>
          <w:szCs w:val="17"/>
        </w:rPr>
        <w:t xml:space="preserve"> </w:t>
      </w:r>
      <w:r w:rsidR="00877941" w:rsidRPr="00877941">
        <w:rPr>
          <w:sz w:val="17"/>
          <w:szCs w:val="17"/>
        </w:rPr>
        <w:t>parameters are written</w:t>
      </w:r>
      <w:r w:rsidR="007A5B5A" w:rsidRPr="00130565">
        <w:rPr>
          <w:sz w:val="17"/>
          <w:szCs w:val="17"/>
        </w:rPr>
        <w:t>.</w:t>
      </w:r>
    </w:p>
    <w:p w14:paraId="32FD6B97" w14:textId="77777777" w:rsidR="00E4260D" w:rsidRDefault="00240788">
      <w:pPr>
        <w:pStyle w:val="figure"/>
        <w:jc w:val="center"/>
      </w:pPr>
      <w:r>
        <w:rPr>
          <w:noProof/>
        </w:rPr>
        <w:drawing>
          <wp:inline distT="0" distB="0" distL="0" distR="0" wp14:anchorId="3CD5BA0D" wp14:editId="6E4F4A41">
            <wp:extent cx="3774643" cy="1931212"/>
            <wp:effectExtent l="0" t="0" r="0" b="0"/>
            <wp:docPr id="4" name="Picture 4" descr="Distribution families in temporal_distributions.c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mporal_csv_distribution_families.svg"/>
                    <pic:cNvPicPr/>
                  </pic:nvPicPr>
                  <pic:blipFill>
                    <a:blip r:embed="rId16">
                      <a:extLst>
                        <a:ext uri="{96DAC541-7B7A-43D3-8B79-37D633B846F1}">
                          <asvg:svgBlip xmlns:asvg="http://schemas.microsoft.com/office/drawing/2016/SVG/main" r:embed="rId17"/>
                        </a:ext>
                      </a:extLst>
                    </a:blip>
                    <a:stretch>
                      <a:fillRect/>
                    </a:stretch>
                  </pic:blipFill>
                  <pic:spPr>
                    <a:xfrm>
                      <a:off x="0" y="0"/>
                      <a:ext cx="3774643" cy="1931212"/>
                    </a:xfrm>
                    <a:prstGeom prst="rect">
                      <a:avLst/>
                    </a:prstGeom>
                  </pic:spPr>
                </pic:pic>
              </a:graphicData>
            </a:graphic>
          </wp:inline>
        </w:drawing>
      </w:r>
    </w:p>
    <w:p w14:paraId="3F153DF9" w14:textId="21876086" w:rsidR="00E4260D" w:rsidRPr="00130565" w:rsidRDefault="00130565" w:rsidP="00016C45">
      <w:pPr>
        <w:pStyle w:val="fignotes"/>
        <w:rPr>
          <w:iCs/>
        </w:rPr>
      </w:pPr>
      <w:r w:rsidRPr="00130565">
        <w:rPr>
          <w:b/>
          <w:bCs/>
          <w:iCs/>
        </w:rPr>
        <w:t>Figure 4</w:t>
      </w:r>
      <w:r w:rsidRPr="00130565">
        <w:rPr>
          <w:iCs/>
        </w:rPr>
        <w:t xml:space="preserve"> - </w:t>
      </w:r>
      <w:r w:rsidR="00016C45" w:rsidRPr="00016C45">
        <w:rPr>
          <w:iCs/>
        </w:rPr>
        <w:t xml:space="preserve">Active temporal-distribution rows by Premise tag and distribution family. Bars count rows in the temporal-distribution file that assign temporal parameters, with </w:t>
      </w:r>
      <w:proofErr w:type="spellStart"/>
      <w:r w:rsidR="00016C45" w:rsidRPr="00016C45">
        <w:rPr>
          <w:iCs/>
        </w:rPr>
        <w:t>colours</w:t>
      </w:r>
      <w:proofErr w:type="spellEnd"/>
      <w:r w:rsidR="00016C45" w:rsidRPr="00016C45">
        <w:rPr>
          <w:iCs/>
        </w:rPr>
        <w:t xml:space="preserve"> indicating the distribution family used for stock</w:t>
      </w:r>
      <w:r w:rsidR="00016C45">
        <w:rPr>
          <w:iCs/>
        </w:rPr>
        <w:t xml:space="preserve"> </w:t>
      </w:r>
      <w:r w:rsidR="00016C45" w:rsidRPr="00016C45">
        <w:rPr>
          <w:iCs/>
        </w:rPr>
        <w:t>assets, biomass growth, maintenance, and end-of-life timing</w:t>
      </w:r>
      <w:r w:rsidRPr="00130565">
        <w:rPr>
          <w:iCs/>
        </w:rPr>
        <w:t>.</w:t>
      </w:r>
    </w:p>
    <w:p w14:paraId="2CF74330" w14:textId="77777777" w:rsidR="00E4260D" w:rsidRDefault="00240788">
      <w:r>
        <w:t xml:space="preserve">For technosphere exchanges, matching is performed against the supplier named in the exchange, using the </w:t>
      </w:r>
      <w:proofErr w:type="gramStart"/>
      <w:r>
        <w:t>supplier</w:t>
      </w:r>
      <w:proofErr w:type="gramEnd"/>
      <w:r>
        <w:t xml:space="preserve"> name and product. This means that the temporal profile is attached to the exchange in the calling activity, not to all exchanges inside the supplier dataset. For example, if an activity uses a technosphere input whose supplier is a photovoltaic plant construction dataset, the exchange to that plant construction dataset can receive the stock-asset profile. The production exchanges inside the photovoltaic plant construction dataset are not individually temporalized by this matching step.</w:t>
      </w:r>
    </w:p>
    <w:p w14:paraId="24D95817" w14:textId="773C8869" w:rsidR="00E4260D" w:rsidRDefault="00240788">
      <w:r>
        <w:t>For biomass growth, the matching is different. The row identifies the biomass production dataset itself, and</w:t>
      </w:r>
      <w:r w:rsidR="00E5547C">
        <w:t xml:space="preserve"> </w:t>
      </w:r>
      <w:r w:rsidR="00E5547C" w:rsidRPr="00E5547C">
        <w:rPr>
          <w:i/>
          <w:iCs/>
        </w:rPr>
        <w:t>Premise</w:t>
      </w:r>
      <w:r w:rsidR="00E5547C">
        <w:t xml:space="preserve"> </w:t>
      </w:r>
      <w:r>
        <w:t xml:space="preserve">looks inside that dataset for the biosphere exchange named </w:t>
      </w:r>
      <w:r>
        <w:rPr>
          <w:rFonts w:ascii="Courier New" w:hAnsi="Courier New"/>
          <w:sz w:val="18"/>
        </w:rPr>
        <w:t>Carbon dioxide, in air</w:t>
      </w:r>
      <w:r>
        <w:t xml:space="preserve">. That biosphere exchange is then given </w:t>
      </w:r>
      <w:r>
        <w:lastRenderedPageBreak/>
        <w:t>a temporal distribution, usually with negative offsets so that uptake occurs before the activity year.</w:t>
      </w:r>
    </w:p>
    <w:p w14:paraId="62A1E07D" w14:textId="7F8DA288" w:rsidR="00E4260D" w:rsidRDefault="00240788" w:rsidP="002C079F">
      <w:pPr>
        <w:pStyle w:val="Heading20"/>
        <w:numPr>
          <w:ilvl w:val="1"/>
          <w:numId w:val="46"/>
        </w:numPr>
      </w:pPr>
      <w:bookmarkStart w:id="8" w:name="_Toc233129506"/>
      <w:r>
        <w:t>Biomass growth and biogenic uptake</w:t>
      </w:r>
      <w:bookmarkEnd w:id="8"/>
    </w:p>
    <w:p w14:paraId="772E0368" w14:textId="77777777" w:rsidR="00E4260D" w:rsidRDefault="00240788">
      <w:r>
        <w:t xml:space="preserve">Biomass growth rows mainly assign negative offsets to the biosphere flow </w:t>
      </w:r>
      <w:r>
        <w:rPr>
          <w:rFonts w:ascii="Courier New" w:hAnsi="Courier New"/>
          <w:sz w:val="18"/>
        </w:rPr>
        <w:t>Carbon dioxide, in air</w:t>
      </w:r>
      <w:r>
        <w:t>. The point is to place uptake before harvest, processing, or fuel production when the ecoinvent exchange is otherwise booked in the activity year.</w:t>
      </w:r>
    </w:p>
    <w:p w14:paraId="24C71C0C" w14:textId="44EEBA46" w:rsidR="00E4260D" w:rsidRDefault="00240788" w:rsidP="00D760AF">
      <w:r>
        <w:t xml:space="preserve">This tag is used for activities whose reference product is biological material or a product directly tied to biological growth. The table includes annual crops, grassland and forage products, perennial crops, forestry operations, roundwood, pulpwood, cork, and selected land-use or land-cover change rows. In these cases, the exchange being temporalized </w:t>
      </w:r>
      <w:r w:rsidR="00D760AF">
        <w:t xml:space="preserve">is the </w:t>
      </w:r>
      <w:r w:rsidRPr="007C374A">
        <w:rPr>
          <w:rFonts w:ascii="Courier New" w:hAnsi="Courier New" w:cs="Courier New"/>
        </w:rPr>
        <w:t>Carbon dioxide, in air</w:t>
      </w:r>
      <w:r w:rsidR="00D760AF">
        <w:t xml:space="preserve"> exchange.</w:t>
      </w:r>
    </w:p>
    <w:p w14:paraId="058BB295" w14:textId="55BE665C" w:rsidR="00E4260D" w:rsidRDefault="00240788">
      <w:r>
        <w:t xml:space="preserve">The result is that biogenic uptake is placed over the assumed growth period before the activity year. In the exported matrix, this means that the biosphere row </w:t>
      </w:r>
      <w:r>
        <w:rPr>
          <w:rFonts w:ascii="Courier New" w:hAnsi="Courier New"/>
          <w:sz w:val="18"/>
        </w:rPr>
        <w:t>Carbon dioxide, in air</w:t>
      </w:r>
      <w:r>
        <w:t xml:space="preserve"> carries the temporal distribution.</w:t>
      </w:r>
    </w:p>
    <w:p w14:paraId="5B4EB6C6" w14:textId="441ED6A5" w:rsidR="00E4260D" w:rsidRDefault="00240788">
      <w:r>
        <w:t xml:space="preserve">In the </w:t>
      </w:r>
      <w:proofErr w:type="spellStart"/>
      <w:r w:rsidR="008C5804">
        <w:t>temporal_distribution</w:t>
      </w:r>
      <w:proofErr w:type="spellEnd"/>
      <w:r w:rsidR="008C5804">
        <w:t xml:space="preserve"> file </w:t>
      </w:r>
      <w:r w:rsidR="008C5804" w:rsidRPr="00720AF4">
        <w:rPr>
          <w:i/>
          <w:iCs/>
        </w:rPr>
        <w:t>Premise</w:t>
      </w:r>
      <w:r w:rsidR="008C5804">
        <w:t xml:space="preserve"> uses</w:t>
      </w:r>
      <w:r>
        <w:t xml:space="preserve">, </w:t>
      </w:r>
      <w:proofErr w:type="spellStart"/>
      <w:r>
        <w:rPr>
          <w:rFonts w:ascii="Courier New" w:hAnsi="Courier New"/>
          <w:sz w:val="18"/>
        </w:rPr>
        <w:t>biomass_growth</w:t>
      </w:r>
      <w:proofErr w:type="spellEnd"/>
      <w:r>
        <w:t xml:space="preserve"> </w:t>
      </w:r>
      <w:r w:rsidR="00720AF4">
        <w:t>tags</w:t>
      </w:r>
      <w:r>
        <w:t xml:space="preserve"> use a uniform distribution (</w:t>
      </w:r>
      <w:proofErr w:type="spellStart"/>
      <w:r>
        <w:rPr>
          <w:rFonts w:ascii="Courier New" w:hAnsi="Courier New"/>
          <w:sz w:val="18"/>
        </w:rPr>
        <w:t>temporal_distribution</w:t>
      </w:r>
      <w:proofErr w:type="spellEnd"/>
      <w:r>
        <w:rPr>
          <w:rFonts w:ascii="Courier New" w:hAnsi="Courier New"/>
          <w:sz w:val="18"/>
        </w:rPr>
        <w:t xml:space="preserve"> = 4</w:t>
      </w:r>
      <w:r>
        <w:t>). Two use a triangular distribution. The lifetime values range from 1 to 180 years</w:t>
      </w:r>
      <w:r w:rsidR="008C5804">
        <w:t xml:space="preserve">. Lifetimes and </w:t>
      </w:r>
      <w:r w:rsidR="00476B54">
        <w:t>distributions</w:t>
      </w:r>
      <w:r w:rsidR="008C5804">
        <w:t xml:space="preserve"> used for the </w:t>
      </w:r>
      <w:proofErr w:type="spellStart"/>
      <w:r w:rsidR="008C5804">
        <w:rPr>
          <w:rFonts w:ascii="Courier New" w:hAnsi="Courier New"/>
          <w:sz w:val="18"/>
        </w:rPr>
        <w:t>biomass_growth</w:t>
      </w:r>
      <w:proofErr w:type="spellEnd"/>
      <w:r w:rsidR="008C5804">
        <w:t xml:space="preserve"> </w:t>
      </w:r>
      <w:r w:rsidR="00476B54">
        <w:t>tags</w:t>
      </w:r>
      <w:r w:rsidR="008C5804">
        <w:t xml:space="preserve"> are described in Table 5.</w:t>
      </w:r>
    </w:p>
    <w:tbl>
      <w:tblPr>
        <w:tblStyle w:val="TableGrid"/>
        <w:tblW w:w="0" w:type="auto"/>
        <w:tblLook w:val="04A0" w:firstRow="1" w:lastRow="0" w:firstColumn="1" w:lastColumn="0" w:noHBand="0" w:noVBand="1"/>
      </w:tblPr>
      <w:tblGrid>
        <w:gridCol w:w="953"/>
        <w:gridCol w:w="856"/>
        <w:gridCol w:w="931"/>
        <w:gridCol w:w="3883"/>
      </w:tblGrid>
      <w:tr w:rsidR="00E4260D" w14:paraId="458E3E0C" w14:textId="77777777" w:rsidTr="001F5CE7">
        <w:tc>
          <w:tcPr>
            <w:tcW w:w="953" w:type="dxa"/>
            <w:shd w:val="clear" w:color="auto" w:fill="D9EAF7"/>
          </w:tcPr>
          <w:p w14:paraId="75C6B00E" w14:textId="77777777" w:rsidR="00E4260D" w:rsidRDefault="00240788">
            <w:r>
              <w:rPr>
                <w:b/>
              </w:rPr>
              <w:t>Process group</w:t>
            </w:r>
          </w:p>
        </w:tc>
        <w:tc>
          <w:tcPr>
            <w:tcW w:w="856" w:type="dxa"/>
            <w:shd w:val="clear" w:color="auto" w:fill="D9EAF7"/>
          </w:tcPr>
          <w:p w14:paraId="625CF907" w14:textId="77777777" w:rsidR="00E4260D" w:rsidRDefault="00240788">
            <w:r>
              <w:rPr>
                <w:b/>
              </w:rPr>
              <w:t>Typical lifetime values in the CSV</w:t>
            </w:r>
          </w:p>
        </w:tc>
        <w:tc>
          <w:tcPr>
            <w:tcW w:w="931" w:type="dxa"/>
            <w:shd w:val="clear" w:color="auto" w:fill="D9EAF7"/>
          </w:tcPr>
          <w:p w14:paraId="23CA699F" w14:textId="77777777" w:rsidR="00E4260D" w:rsidRDefault="00240788">
            <w:r>
              <w:rPr>
                <w:b/>
              </w:rPr>
              <w:t>Offset support</w:t>
            </w:r>
          </w:p>
        </w:tc>
        <w:tc>
          <w:tcPr>
            <w:tcW w:w="3883" w:type="dxa"/>
            <w:shd w:val="clear" w:color="auto" w:fill="D9EAF7"/>
          </w:tcPr>
          <w:p w14:paraId="2742B7B4" w14:textId="77777777" w:rsidR="00E4260D" w:rsidRDefault="00240788">
            <w:r>
              <w:rPr>
                <w:b/>
              </w:rPr>
              <w:t>Sources and assumptions</w:t>
            </w:r>
          </w:p>
        </w:tc>
      </w:tr>
      <w:tr w:rsidR="00E4260D" w14:paraId="42A88B99" w14:textId="77777777" w:rsidTr="001F5CE7">
        <w:tc>
          <w:tcPr>
            <w:tcW w:w="953" w:type="dxa"/>
          </w:tcPr>
          <w:p w14:paraId="7CEF1B09" w14:textId="77777777" w:rsidR="00E4260D" w:rsidRDefault="00240788">
            <w:r>
              <w:t>Annual crops, legumes, grassland, and forage</w:t>
            </w:r>
          </w:p>
        </w:tc>
        <w:tc>
          <w:tcPr>
            <w:tcW w:w="856" w:type="dxa"/>
          </w:tcPr>
          <w:p w14:paraId="7BED2FD0" w14:textId="77777777" w:rsidR="00E4260D" w:rsidRDefault="00240788">
            <w:r>
              <w:t>1 year</w:t>
            </w:r>
          </w:p>
        </w:tc>
        <w:tc>
          <w:tcPr>
            <w:tcW w:w="931" w:type="dxa"/>
          </w:tcPr>
          <w:p w14:paraId="55502F07" w14:textId="77777777" w:rsidR="00E4260D" w:rsidRDefault="00240788">
            <w:r>
              <w:t xml:space="preserve">Usually from </w:t>
            </w:r>
            <w:r>
              <w:rPr>
                <w:rFonts w:ascii="Courier New" w:hAnsi="Courier New"/>
                <w:sz w:val="18"/>
              </w:rPr>
              <w:t>-1</w:t>
            </w:r>
            <w:r>
              <w:t xml:space="preserve"> to </w:t>
            </w:r>
            <w:r>
              <w:rPr>
                <w:rFonts w:ascii="Courier New" w:hAnsi="Courier New"/>
                <w:sz w:val="18"/>
              </w:rPr>
              <w:t>0</w:t>
            </w:r>
            <w:r>
              <w:t>.</w:t>
            </w:r>
          </w:p>
        </w:tc>
        <w:tc>
          <w:tcPr>
            <w:tcW w:w="3883" w:type="dxa"/>
          </w:tcPr>
          <w:p w14:paraId="0029121D" w14:textId="548D707B" w:rsidR="00E4260D" w:rsidRDefault="001F5CE7">
            <w:r>
              <w:t>Estimated.</w:t>
            </w:r>
          </w:p>
        </w:tc>
      </w:tr>
      <w:tr w:rsidR="00E4260D" w14:paraId="4458DCB8" w14:textId="77777777" w:rsidTr="001F5CE7">
        <w:tc>
          <w:tcPr>
            <w:tcW w:w="953" w:type="dxa"/>
          </w:tcPr>
          <w:p w14:paraId="570034BD" w14:textId="77777777" w:rsidR="00E4260D" w:rsidRDefault="00240788">
            <w:r>
              <w:t>Short-rotation biomass</w:t>
            </w:r>
          </w:p>
        </w:tc>
        <w:tc>
          <w:tcPr>
            <w:tcW w:w="856" w:type="dxa"/>
          </w:tcPr>
          <w:p w14:paraId="3DF41BD0" w14:textId="77777777" w:rsidR="00E4260D" w:rsidRDefault="00240788">
            <w:r>
              <w:t>2 years</w:t>
            </w:r>
          </w:p>
        </w:tc>
        <w:tc>
          <w:tcPr>
            <w:tcW w:w="931" w:type="dxa"/>
          </w:tcPr>
          <w:p w14:paraId="58DBDCA4" w14:textId="77777777" w:rsidR="00E4260D" w:rsidRDefault="00240788">
            <w:r>
              <w:t xml:space="preserve">Usually from </w:t>
            </w:r>
            <w:r>
              <w:rPr>
                <w:rFonts w:ascii="Courier New" w:hAnsi="Courier New"/>
                <w:sz w:val="18"/>
              </w:rPr>
              <w:t>-2</w:t>
            </w:r>
            <w:r>
              <w:t xml:space="preserve"> to </w:t>
            </w:r>
            <w:r>
              <w:rPr>
                <w:rFonts w:ascii="Courier New" w:hAnsi="Courier New"/>
                <w:sz w:val="18"/>
              </w:rPr>
              <w:t>0</w:t>
            </w:r>
            <w:r>
              <w:t>.</w:t>
            </w:r>
          </w:p>
        </w:tc>
        <w:tc>
          <w:tcPr>
            <w:tcW w:w="3883" w:type="dxa"/>
          </w:tcPr>
          <w:p w14:paraId="05AC76DE" w14:textId="77777777" w:rsidR="00E4260D" w:rsidRDefault="00240788">
            <w:r>
              <w:t xml:space="preserve">Forest Research short-rotation coppice willow harvest-cycle estimate: https://www.forestresearch.gov.uk/tools-and-resources/fthr/biomass-energy-resources/fuel/energy-crops-3/; FAO bamboo culm harvest-age lower-bound </w:t>
            </w:r>
            <w:r>
              <w:lastRenderedPageBreak/>
              <w:t>estimate: https://www.fao.org/4/x5390e/x5390e05.htm.</w:t>
            </w:r>
          </w:p>
        </w:tc>
      </w:tr>
      <w:tr w:rsidR="00E4260D" w14:paraId="6DC0B065" w14:textId="77777777" w:rsidTr="001F5CE7">
        <w:tc>
          <w:tcPr>
            <w:tcW w:w="953" w:type="dxa"/>
          </w:tcPr>
          <w:p w14:paraId="20184FEB" w14:textId="77777777" w:rsidR="00E4260D" w:rsidRDefault="00240788">
            <w:r>
              <w:lastRenderedPageBreak/>
              <w:t>Perennial orchard, nut, vine, and palm crops</w:t>
            </w:r>
          </w:p>
        </w:tc>
        <w:tc>
          <w:tcPr>
            <w:tcW w:w="856" w:type="dxa"/>
          </w:tcPr>
          <w:p w14:paraId="5FBEB260" w14:textId="77777777" w:rsidR="00E4260D" w:rsidRDefault="00240788">
            <w:r>
              <w:t>20 years</w:t>
            </w:r>
          </w:p>
        </w:tc>
        <w:tc>
          <w:tcPr>
            <w:tcW w:w="931" w:type="dxa"/>
          </w:tcPr>
          <w:p w14:paraId="31CDFC12" w14:textId="77777777" w:rsidR="00E4260D" w:rsidRDefault="00240788">
            <w:r>
              <w:t xml:space="preserve">Usually from </w:t>
            </w:r>
            <w:r>
              <w:rPr>
                <w:rFonts w:ascii="Courier New" w:hAnsi="Courier New"/>
                <w:sz w:val="18"/>
              </w:rPr>
              <w:t>-20</w:t>
            </w:r>
            <w:r>
              <w:t xml:space="preserve"> to </w:t>
            </w:r>
            <w:r>
              <w:rPr>
                <w:rFonts w:ascii="Courier New" w:hAnsi="Courier New"/>
                <w:sz w:val="18"/>
              </w:rPr>
              <w:t>0</w:t>
            </w:r>
            <w:r>
              <w:t>.</w:t>
            </w:r>
          </w:p>
        </w:tc>
        <w:tc>
          <w:tcPr>
            <w:tcW w:w="3883" w:type="dxa"/>
          </w:tcPr>
          <w:p w14:paraId="464C074B" w14:textId="4C6C73F8" w:rsidR="00E4260D" w:rsidRDefault="00674DEF">
            <w:r>
              <w:t>Estimated.</w:t>
            </w:r>
          </w:p>
        </w:tc>
      </w:tr>
      <w:tr w:rsidR="00E4260D" w14:paraId="384666B5" w14:textId="77777777" w:rsidTr="001F5CE7">
        <w:tc>
          <w:tcPr>
            <w:tcW w:w="953" w:type="dxa"/>
          </w:tcPr>
          <w:p w14:paraId="143BFEF7" w14:textId="77777777" w:rsidR="00E4260D" w:rsidRDefault="00240788">
            <w:r>
              <w:t>Forestry, wood products, cork, and roundwood</w:t>
            </w:r>
          </w:p>
        </w:tc>
        <w:tc>
          <w:tcPr>
            <w:tcW w:w="856" w:type="dxa"/>
          </w:tcPr>
          <w:p w14:paraId="5CB10F56" w14:textId="77777777" w:rsidR="00E4260D" w:rsidRDefault="00240788">
            <w:r>
              <w:t>15, 20, 25, 32, 40, 50, 60, 80, 120, or 180 years depending on species or product class</w:t>
            </w:r>
          </w:p>
        </w:tc>
        <w:tc>
          <w:tcPr>
            <w:tcW w:w="931" w:type="dxa"/>
          </w:tcPr>
          <w:p w14:paraId="0FA64CA2" w14:textId="77777777" w:rsidR="00E4260D" w:rsidRDefault="00240788">
            <w:r>
              <w:t xml:space="preserve">Usually from </w:t>
            </w:r>
            <w:r>
              <w:rPr>
                <w:rFonts w:ascii="Courier New" w:hAnsi="Courier New"/>
                <w:sz w:val="18"/>
              </w:rPr>
              <w:t>-lifetime</w:t>
            </w:r>
            <w:r>
              <w:t xml:space="preserve"> to </w:t>
            </w:r>
            <w:r>
              <w:rPr>
                <w:rFonts w:ascii="Courier New" w:hAnsi="Courier New"/>
                <w:sz w:val="18"/>
              </w:rPr>
              <w:t>0</w:t>
            </w:r>
            <w:r>
              <w:t>.</w:t>
            </w:r>
          </w:p>
        </w:tc>
        <w:tc>
          <w:tcPr>
            <w:tcW w:w="3883" w:type="dxa"/>
          </w:tcPr>
          <w:p w14:paraId="79D69606" w14:textId="04243D14" w:rsidR="00E4260D" w:rsidRDefault="00674DEF">
            <w:r>
              <w:t xml:space="preserve">Species-specific rotation sources including Wald-Prinz (https://www.wald-prinz.de/umtriebszeit-wie-lange-benotigt-ein-baum-bis-zur-hiebsreife/3697), ABARES eucalypt sawlog rotation (https://www.agriculture.gov.au/sites/default/files/sitecollectiondocuments/abares/publications/logSupply.pdf), FAO tropical forestry Azobe (https://www.fao.org/4/t0404e/t0404e00.pdf), and IPB </w:t>
            </w:r>
            <w:proofErr w:type="spellStart"/>
            <w:r>
              <w:t>Shorea</w:t>
            </w:r>
            <w:proofErr w:type="spellEnd"/>
            <w:r>
              <w:t xml:space="preserve"> </w:t>
            </w:r>
            <w:proofErr w:type="spellStart"/>
            <w:r>
              <w:t>leprosula</w:t>
            </w:r>
            <w:proofErr w:type="spellEnd"/>
            <w:r>
              <w:t xml:space="preserve"> (https://repository.ipb.ac.id/handle/123456789/55537).</w:t>
            </w:r>
          </w:p>
        </w:tc>
      </w:tr>
      <w:tr w:rsidR="00E4260D" w14:paraId="093CF5D6" w14:textId="77777777" w:rsidTr="001F5CE7">
        <w:tc>
          <w:tcPr>
            <w:tcW w:w="953" w:type="dxa"/>
          </w:tcPr>
          <w:p w14:paraId="7FDEF143" w14:textId="77777777" w:rsidR="00E4260D" w:rsidRDefault="00240788">
            <w:r>
              <w:t>Selected land-use or land-cover change rows</w:t>
            </w:r>
          </w:p>
        </w:tc>
        <w:tc>
          <w:tcPr>
            <w:tcW w:w="856" w:type="dxa"/>
          </w:tcPr>
          <w:p w14:paraId="26DA8A6E" w14:textId="77777777" w:rsidR="00E4260D" w:rsidRDefault="00240788">
            <w:r>
              <w:t>80 to 100 years</w:t>
            </w:r>
          </w:p>
        </w:tc>
        <w:tc>
          <w:tcPr>
            <w:tcW w:w="931" w:type="dxa"/>
          </w:tcPr>
          <w:p w14:paraId="28FD77CD" w14:textId="77777777" w:rsidR="00E4260D" w:rsidRDefault="00240788">
            <w:r>
              <w:t xml:space="preserve">Long negative support, sometimes ending at </w:t>
            </w:r>
            <w:r>
              <w:rPr>
                <w:rFonts w:ascii="Courier New" w:hAnsi="Courier New"/>
                <w:sz w:val="18"/>
              </w:rPr>
              <w:t>-1</w:t>
            </w:r>
            <w:r>
              <w:t>.</w:t>
            </w:r>
          </w:p>
        </w:tc>
        <w:tc>
          <w:tcPr>
            <w:tcW w:w="3883" w:type="dxa"/>
          </w:tcPr>
          <w:p w14:paraId="1EE9C526" w14:textId="5A283A3A" w:rsidR="00E4260D" w:rsidRDefault="00240788">
            <w:r>
              <w:t>Land-tenure and land-conversion assumptions</w:t>
            </w:r>
            <w:r w:rsidR="000667CC">
              <w:t>.</w:t>
            </w:r>
          </w:p>
        </w:tc>
      </w:tr>
    </w:tbl>
    <w:p w14:paraId="02AFBA9C" w14:textId="200B663B" w:rsidR="00E4260D" w:rsidRPr="00321DE6" w:rsidRDefault="008C5804" w:rsidP="00761888">
      <w:pPr>
        <w:rPr>
          <w:sz w:val="17"/>
          <w:szCs w:val="17"/>
        </w:rPr>
      </w:pPr>
      <w:r w:rsidRPr="00321DE6">
        <w:rPr>
          <w:b/>
          <w:bCs/>
          <w:sz w:val="17"/>
          <w:szCs w:val="17"/>
        </w:rPr>
        <w:t>Table 5</w:t>
      </w:r>
      <w:r w:rsidRPr="00321DE6">
        <w:rPr>
          <w:sz w:val="17"/>
          <w:szCs w:val="17"/>
        </w:rPr>
        <w:t xml:space="preserve"> </w:t>
      </w:r>
      <w:r w:rsidR="00321DE6" w:rsidRPr="00321DE6">
        <w:rPr>
          <w:sz w:val="17"/>
          <w:szCs w:val="17"/>
        </w:rPr>
        <w:t>–</w:t>
      </w:r>
      <w:r w:rsidRPr="00321DE6">
        <w:rPr>
          <w:sz w:val="17"/>
          <w:szCs w:val="17"/>
        </w:rPr>
        <w:t xml:space="preserve"> </w:t>
      </w:r>
      <w:r w:rsidR="00761888" w:rsidRPr="00761888">
        <w:rPr>
          <w:sz w:val="17"/>
          <w:szCs w:val="17"/>
        </w:rPr>
        <w:t>Lifetime values and offset supports used for biomass-growth tags. Negative offset windows place biogenic</w:t>
      </w:r>
      <w:r w:rsidR="00761888">
        <w:rPr>
          <w:sz w:val="17"/>
          <w:szCs w:val="17"/>
        </w:rPr>
        <w:t xml:space="preserve"> </w:t>
      </w:r>
      <w:r w:rsidR="00761888" w:rsidRPr="00761888">
        <w:rPr>
          <w:sz w:val="17"/>
          <w:szCs w:val="17"/>
        </w:rPr>
        <w:t>CO2 uptake before the activity year, with source notes documenting the assumptions used for crops, forestry</w:t>
      </w:r>
      <w:r w:rsidR="00761888">
        <w:rPr>
          <w:sz w:val="17"/>
          <w:szCs w:val="17"/>
        </w:rPr>
        <w:t xml:space="preserve"> </w:t>
      </w:r>
      <w:r w:rsidR="00761888" w:rsidRPr="00761888">
        <w:rPr>
          <w:sz w:val="17"/>
          <w:szCs w:val="17"/>
        </w:rPr>
        <w:t>products, and land-use-related rows</w:t>
      </w:r>
      <w:r w:rsidR="00321DE6" w:rsidRPr="00321DE6">
        <w:rPr>
          <w:sz w:val="17"/>
          <w:szCs w:val="17"/>
        </w:rPr>
        <w:t>.</w:t>
      </w:r>
    </w:p>
    <w:p w14:paraId="2A969810" w14:textId="161C57B2" w:rsidR="00E4260D" w:rsidRDefault="001143A0">
      <w:r>
        <w:t>T</w:t>
      </w:r>
      <w:r w:rsidR="00240788">
        <w:t xml:space="preserve">able </w:t>
      </w:r>
      <w:r>
        <w:t xml:space="preserve">6 </w:t>
      </w:r>
      <w:r w:rsidR="00240788">
        <w:t xml:space="preserve">lists the main biomass-growth categories and wood species represented in the </w:t>
      </w:r>
      <w:proofErr w:type="spellStart"/>
      <w:r w:rsidR="004817C6">
        <w:t>tempoeral_distributions</w:t>
      </w:r>
      <w:proofErr w:type="spellEnd"/>
      <w:r w:rsidR="004817C6">
        <w:t xml:space="preserve"> file</w:t>
      </w:r>
      <w:r w:rsidR="00240788">
        <w:t xml:space="preserve">. Unless otherwise stated, the distribution is uniform over the negative interval from </w:t>
      </w:r>
      <w:r w:rsidR="00240788">
        <w:rPr>
          <w:rFonts w:ascii="Courier New" w:hAnsi="Courier New"/>
          <w:sz w:val="18"/>
        </w:rPr>
        <w:t>-lifetime</w:t>
      </w:r>
      <w:r w:rsidR="00240788">
        <w:t xml:space="preserve"> to </w:t>
      </w:r>
      <w:r w:rsidR="00240788">
        <w:rPr>
          <w:rFonts w:ascii="Courier New" w:hAnsi="Courier New"/>
          <w:sz w:val="18"/>
        </w:rPr>
        <w:t>0</w:t>
      </w:r>
      <w:r w:rsidR="00240788">
        <w:t>, so the value in the rotation-time column is also the width of the uptake window before the activity year.</w:t>
      </w:r>
    </w:p>
    <w:tbl>
      <w:tblPr>
        <w:tblStyle w:val="TableGrid"/>
        <w:tblW w:w="5000" w:type="pct"/>
        <w:tblLook w:val="04A0" w:firstRow="1" w:lastRow="0" w:firstColumn="1" w:lastColumn="0" w:noHBand="0" w:noVBand="1"/>
      </w:tblPr>
      <w:tblGrid>
        <w:gridCol w:w="1996"/>
        <w:gridCol w:w="2974"/>
        <w:gridCol w:w="1653"/>
      </w:tblGrid>
      <w:tr w:rsidR="000667CC" w14:paraId="4A16BA06" w14:textId="77777777" w:rsidTr="000667CC">
        <w:tc>
          <w:tcPr>
            <w:tcW w:w="1507" w:type="pct"/>
            <w:shd w:val="clear" w:color="auto" w:fill="D9EAF7"/>
          </w:tcPr>
          <w:p w14:paraId="6E5469CA" w14:textId="77777777" w:rsidR="000667CC" w:rsidRDefault="000667CC">
            <w:r>
              <w:rPr>
                <w:b/>
              </w:rPr>
              <w:lastRenderedPageBreak/>
              <w:t>Biomass type or species</w:t>
            </w:r>
          </w:p>
        </w:tc>
        <w:tc>
          <w:tcPr>
            <w:tcW w:w="2245" w:type="pct"/>
            <w:shd w:val="clear" w:color="auto" w:fill="D9EAF7"/>
          </w:tcPr>
          <w:p w14:paraId="376B6245" w14:textId="77777777" w:rsidR="000667CC" w:rsidRDefault="000667CC">
            <w:r>
              <w:rPr>
                <w:b/>
              </w:rPr>
              <w:t>Representative rows in the table</w:t>
            </w:r>
          </w:p>
        </w:tc>
        <w:tc>
          <w:tcPr>
            <w:tcW w:w="1248" w:type="pct"/>
            <w:shd w:val="clear" w:color="auto" w:fill="D9EAF7"/>
          </w:tcPr>
          <w:p w14:paraId="2DA5BC85" w14:textId="77777777" w:rsidR="000667CC" w:rsidRDefault="000667CC">
            <w:r>
              <w:rPr>
                <w:b/>
              </w:rPr>
              <w:t>Rotation time or lifetime</w:t>
            </w:r>
          </w:p>
        </w:tc>
      </w:tr>
      <w:tr w:rsidR="000667CC" w14:paraId="1265B934" w14:textId="77777777" w:rsidTr="000667CC">
        <w:tc>
          <w:tcPr>
            <w:tcW w:w="1507" w:type="pct"/>
          </w:tcPr>
          <w:p w14:paraId="64EB4B33" w14:textId="77777777" w:rsidR="000667CC" w:rsidRDefault="000667CC">
            <w:r>
              <w:t>Annual cereal crops and straw</w:t>
            </w:r>
          </w:p>
        </w:tc>
        <w:tc>
          <w:tcPr>
            <w:tcW w:w="2245" w:type="pct"/>
          </w:tcPr>
          <w:p w14:paraId="31B0C742" w14:textId="77777777" w:rsidR="000667CC" w:rsidRDefault="000667CC">
            <w:r>
              <w:t>Barley, wheat, maize, rice, straw, and cereal-straw outputs.</w:t>
            </w:r>
          </w:p>
        </w:tc>
        <w:tc>
          <w:tcPr>
            <w:tcW w:w="1248" w:type="pct"/>
          </w:tcPr>
          <w:p w14:paraId="65D8FFBF" w14:textId="77777777" w:rsidR="000667CC" w:rsidRDefault="000667CC">
            <w:r>
              <w:t>1 year</w:t>
            </w:r>
          </w:p>
        </w:tc>
      </w:tr>
      <w:tr w:rsidR="000667CC" w14:paraId="158DA9DC" w14:textId="77777777" w:rsidTr="000667CC">
        <w:tc>
          <w:tcPr>
            <w:tcW w:w="1507" w:type="pct"/>
          </w:tcPr>
          <w:p w14:paraId="637EC725" w14:textId="77777777" w:rsidR="000667CC" w:rsidRDefault="000667CC">
            <w:r>
              <w:t xml:space="preserve">Annual oil, </w:t>
            </w:r>
            <w:proofErr w:type="spellStart"/>
            <w:r>
              <w:t>fibre</w:t>
            </w:r>
            <w:proofErr w:type="spellEnd"/>
            <w:r>
              <w:t>, root, and industrial crops</w:t>
            </w:r>
          </w:p>
        </w:tc>
        <w:tc>
          <w:tcPr>
            <w:tcW w:w="2245" w:type="pct"/>
          </w:tcPr>
          <w:p w14:paraId="11AACCAE" w14:textId="77777777" w:rsidR="000667CC" w:rsidRDefault="000667CC">
            <w:r>
              <w:t>Rapeseed, seed-cotton, sugar beet, potato, peanut, and similar annual crop rows.</w:t>
            </w:r>
          </w:p>
        </w:tc>
        <w:tc>
          <w:tcPr>
            <w:tcW w:w="1248" w:type="pct"/>
          </w:tcPr>
          <w:p w14:paraId="607AFAD0" w14:textId="77777777" w:rsidR="000667CC" w:rsidRDefault="000667CC">
            <w:r>
              <w:t>1 year</w:t>
            </w:r>
          </w:p>
        </w:tc>
      </w:tr>
      <w:tr w:rsidR="000667CC" w14:paraId="0FF700FA" w14:textId="77777777" w:rsidTr="000667CC">
        <w:tc>
          <w:tcPr>
            <w:tcW w:w="1507" w:type="pct"/>
          </w:tcPr>
          <w:p w14:paraId="76BA0A53" w14:textId="77777777" w:rsidR="000667CC" w:rsidRDefault="000667CC">
            <w:r>
              <w:t>Annual legumes and pulses</w:t>
            </w:r>
          </w:p>
        </w:tc>
        <w:tc>
          <w:tcPr>
            <w:tcW w:w="2245" w:type="pct"/>
          </w:tcPr>
          <w:p w14:paraId="5A2B1533" w14:textId="77777777" w:rsidR="000667CC" w:rsidRDefault="000667CC">
            <w:r>
              <w:t>Soybean, pea, chickpea, lentil, fava bean, and similar legume rows.</w:t>
            </w:r>
          </w:p>
        </w:tc>
        <w:tc>
          <w:tcPr>
            <w:tcW w:w="1248" w:type="pct"/>
          </w:tcPr>
          <w:p w14:paraId="41D939E4" w14:textId="77777777" w:rsidR="000667CC" w:rsidRDefault="000667CC">
            <w:r>
              <w:t>1 year</w:t>
            </w:r>
          </w:p>
        </w:tc>
      </w:tr>
      <w:tr w:rsidR="000667CC" w14:paraId="4A1AE0E5" w14:textId="77777777" w:rsidTr="000667CC">
        <w:tc>
          <w:tcPr>
            <w:tcW w:w="1507" w:type="pct"/>
          </w:tcPr>
          <w:p w14:paraId="11ED3038" w14:textId="77777777" w:rsidR="000667CC" w:rsidRDefault="000667CC">
            <w:r>
              <w:t>Grassland, forage, and silage crops</w:t>
            </w:r>
          </w:p>
        </w:tc>
        <w:tc>
          <w:tcPr>
            <w:tcW w:w="2245" w:type="pct"/>
          </w:tcPr>
          <w:p w14:paraId="535F8D10" w14:textId="77777777" w:rsidR="000667CC" w:rsidRDefault="000667CC">
            <w:r>
              <w:t>Alfalfa-grass mixtures, alfalfa/grass silage, phacelia silage, clover seed, switchgrass, fodder beet, and grass products.</w:t>
            </w:r>
          </w:p>
        </w:tc>
        <w:tc>
          <w:tcPr>
            <w:tcW w:w="1248" w:type="pct"/>
          </w:tcPr>
          <w:p w14:paraId="13B38BE9" w14:textId="77777777" w:rsidR="000667CC" w:rsidRDefault="000667CC">
            <w:r>
              <w:t>1 year</w:t>
            </w:r>
          </w:p>
        </w:tc>
      </w:tr>
      <w:tr w:rsidR="000667CC" w14:paraId="47213558" w14:textId="77777777" w:rsidTr="000667CC">
        <w:tc>
          <w:tcPr>
            <w:tcW w:w="1507" w:type="pct"/>
          </w:tcPr>
          <w:p w14:paraId="043292FA" w14:textId="77777777" w:rsidR="000667CC" w:rsidRDefault="000667CC">
            <w:r>
              <w:t>Perennial fruit, nut, and vine crops</w:t>
            </w:r>
          </w:p>
        </w:tc>
        <w:tc>
          <w:tcPr>
            <w:tcW w:w="2245" w:type="pct"/>
          </w:tcPr>
          <w:p w14:paraId="233D35DF" w14:textId="77777777" w:rsidR="000667CC" w:rsidRDefault="000667CC">
            <w:r>
              <w:t>Almond, apple, grape, palm date, and similar orchard or perennial crop rows.</w:t>
            </w:r>
          </w:p>
        </w:tc>
        <w:tc>
          <w:tcPr>
            <w:tcW w:w="1248" w:type="pct"/>
          </w:tcPr>
          <w:p w14:paraId="7E487690" w14:textId="77777777" w:rsidR="000667CC" w:rsidRDefault="000667CC">
            <w:r>
              <w:t>20 years</w:t>
            </w:r>
          </w:p>
        </w:tc>
      </w:tr>
      <w:tr w:rsidR="000667CC" w14:paraId="1DB3A1FA" w14:textId="77777777" w:rsidTr="000667CC">
        <w:tc>
          <w:tcPr>
            <w:tcW w:w="1507" w:type="pct"/>
          </w:tcPr>
          <w:p w14:paraId="60083F7E" w14:textId="77777777" w:rsidR="000667CC" w:rsidRDefault="000667CC">
            <w:r>
              <w:t>Bamboo</w:t>
            </w:r>
          </w:p>
        </w:tc>
        <w:tc>
          <w:tcPr>
            <w:tcW w:w="2245" w:type="pct"/>
          </w:tcPr>
          <w:p w14:paraId="3778AC66" w14:textId="77777777" w:rsidR="000667CC" w:rsidRDefault="000667CC">
            <w:r>
              <w:rPr>
                <w:rFonts w:ascii="Courier New" w:hAnsi="Courier New"/>
                <w:sz w:val="18"/>
              </w:rPr>
              <w:t>bamboo forestry, sustainable forest management</w:t>
            </w:r>
            <w:r>
              <w:t xml:space="preserve"> for </w:t>
            </w:r>
            <w:r>
              <w:rPr>
                <w:rFonts w:ascii="Courier New" w:hAnsi="Courier New"/>
                <w:sz w:val="18"/>
              </w:rPr>
              <w:t>bamboo culm</w:t>
            </w:r>
            <w:r>
              <w:t>.</w:t>
            </w:r>
          </w:p>
        </w:tc>
        <w:tc>
          <w:tcPr>
            <w:tcW w:w="1248" w:type="pct"/>
          </w:tcPr>
          <w:p w14:paraId="2B7AA6EA" w14:textId="77777777" w:rsidR="000667CC" w:rsidRDefault="000667CC">
            <w:r>
              <w:t>2 years</w:t>
            </w:r>
          </w:p>
        </w:tc>
      </w:tr>
      <w:tr w:rsidR="000667CC" w14:paraId="41153EF7" w14:textId="77777777" w:rsidTr="000667CC">
        <w:tc>
          <w:tcPr>
            <w:tcW w:w="1507" w:type="pct"/>
          </w:tcPr>
          <w:p w14:paraId="0F59C3C6" w14:textId="77777777" w:rsidR="000667CC" w:rsidRDefault="000667CC">
            <w:r>
              <w:t>Short-rotation coppice willow</w:t>
            </w:r>
          </w:p>
        </w:tc>
        <w:tc>
          <w:tcPr>
            <w:tcW w:w="2245" w:type="pct"/>
          </w:tcPr>
          <w:p w14:paraId="01B82F24" w14:textId="77777777" w:rsidR="000667CC" w:rsidRDefault="000667CC">
            <w:r>
              <w:rPr>
                <w:rFonts w:ascii="Courier New" w:hAnsi="Courier New"/>
                <w:sz w:val="18"/>
              </w:rPr>
              <w:t>willow production, short rotation coppice</w:t>
            </w:r>
            <w:r>
              <w:t xml:space="preserve"> for willow wood chips and particles.</w:t>
            </w:r>
          </w:p>
        </w:tc>
        <w:tc>
          <w:tcPr>
            <w:tcW w:w="1248" w:type="pct"/>
          </w:tcPr>
          <w:p w14:paraId="11F53200" w14:textId="77777777" w:rsidR="000667CC" w:rsidRDefault="000667CC">
            <w:r>
              <w:t>2 years</w:t>
            </w:r>
          </w:p>
        </w:tc>
      </w:tr>
      <w:tr w:rsidR="000667CC" w14:paraId="0A66C5AB" w14:textId="77777777" w:rsidTr="000667CC">
        <w:tc>
          <w:tcPr>
            <w:tcW w:w="1507" w:type="pct"/>
          </w:tcPr>
          <w:p w14:paraId="671D6F1B" w14:textId="77777777" w:rsidR="000667CC" w:rsidRDefault="000667CC">
            <w:r>
              <w:t>Generic pulpwood and wood chips without species-specific source</w:t>
            </w:r>
          </w:p>
        </w:tc>
        <w:tc>
          <w:tcPr>
            <w:tcW w:w="2245" w:type="pct"/>
          </w:tcPr>
          <w:p w14:paraId="6F3C55CB" w14:textId="77777777" w:rsidR="000667CC" w:rsidRDefault="000667CC">
            <w:r>
              <w:t>Mixed hardwood or softwood pulpwood, bark chips, and wood-chip rows where no species-specific rotation source is recorded.</w:t>
            </w:r>
          </w:p>
        </w:tc>
        <w:tc>
          <w:tcPr>
            <w:tcW w:w="1248" w:type="pct"/>
          </w:tcPr>
          <w:p w14:paraId="78B437AA" w14:textId="77777777" w:rsidR="000667CC" w:rsidRDefault="000667CC">
            <w:r>
              <w:t>15 years</w:t>
            </w:r>
          </w:p>
        </w:tc>
      </w:tr>
      <w:tr w:rsidR="000667CC" w14:paraId="4710A73D" w14:textId="77777777" w:rsidTr="000667CC">
        <w:tc>
          <w:tcPr>
            <w:tcW w:w="1507" w:type="pct"/>
          </w:tcPr>
          <w:p w14:paraId="23B9E486" w14:textId="77777777" w:rsidR="000667CC" w:rsidRDefault="000667CC">
            <w:r>
              <w:t>Generic mixed roundwood without species-specific source</w:t>
            </w:r>
          </w:p>
        </w:tc>
        <w:tc>
          <w:tcPr>
            <w:tcW w:w="2245" w:type="pct"/>
          </w:tcPr>
          <w:p w14:paraId="2D80B362" w14:textId="77777777" w:rsidR="000667CC" w:rsidRDefault="000667CC">
            <w:r>
              <w:t>Mixed hardwood or softwood sawlogs, veneer logs, cleft timber, and green wood rows where no species-specific rotation source is recorded.</w:t>
            </w:r>
          </w:p>
        </w:tc>
        <w:tc>
          <w:tcPr>
            <w:tcW w:w="1248" w:type="pct"/>
          </w:tcPr>
          <w:p w14:paraId="3D6E941D" w14:textId="77777777" w:rsidR="000667CC" w:rsidRDefault="000667CC">
            <w:r>
              <w:t>40 years</w:t>
            </w:r>
          </w:p>
        </w:tc>
      </w:tr>
      <w:tr w:rsidR="000667CC" w14:paraId="3214FEE9" w14:textId="77777777" w:rsidTr="000667CC">
        <w:tc>
          <w:tcPr>
            <w:tcW w:w="1507" w:type="pct"/>
          </w:tcPr>
          <w:p w14:paraId="64ECAFBE" w14:textId="77777777" w:rsidR="000667CC" w:rsidRDefault="000667CC">
            <w:r>
              <w:t>Cork oak</w:t>
            </w:r>
          </w:p>
        </w:tc>
        <w:tc>
          <w:tcPr>
            <w:tcW w:w="2245" w:type="pct"/>
          </w:tcPr>
          <w:p w14:paraId="671EEB08" w14:textId="77777777" w:rsidR="000667CC" w:rsidRDefault="000667CC">
            <w:r>
              <w:rPr>
                <w:rFonts w:ascii="Courier New" w:hAnsi="Courier New"/>
                <w:sz w:val="18"/>
              </w:rPr>
              <w:t>cork forestry</w:t>
            </w:r>
            <w:r>
              <w:t xml:space="preserve"> rows for raw cork and cleft timber.</w:t>
            </w:r>
          </w:p>
        </w:tc>
        <w:tc>
          <w:tcPr>
            <w:tcW w:w="1248" w:type="pct"/>
          </w:tcPr>
          <w:p w14:paraId="282B7809" w14:textId="77777777" w:rsidR="000667CC" w:rsidRDefault="000667CC">
            <w:r>
              <w:t>25 years</w:t>
            </w:r>
          </w:p>
        </w:tc>
      </w:tr>
      <w:tr w:rsidR="000667CC" w14:paraId="184ABC77" w14:textId="77777777" w:rsidTr="000667CC">
        <w:tc>
          <w:tcPr>
            <w:tcW w:w="1507" w:type="pct"/>
          </w:tcPr>
          <w:p w14:paraId="6A83EF95" w14:textId="77777777" w:rsidR="000667CC" w:rsidRDefault="000667CC">
            <w:r>
              <w:lastRenderedPageBreak/>
              <w:t>Eucalyptus spp.</w:t>
            </w:r>
          </w:p>
        </w:tc>
        <w:tc>
          <w:tcPr>
            <w:tcW w:w="2245" w:type="pct"/>
          </w:tcPr>
          <w:p w14:paraId="628B1725" w14:textId="77777777" w:rsidR="000667CC" w:rsidRDefault="000667CC">
            <w:r>
              <w:t xml:space="preserve">Planted and sustainable </w:t>
            </w:r>
            <w:r>
              <w:rPr>
                <w:rFonts w:ascii="Courier New" w:hAnsi="Courier New"/>
                <w:sz w:val="18"/>
              </w:rPr>
              <w:t>hardwood forestry, eucalyptus ssp.</w:t>
            </w:r>
            <w:r>
              <w:t xml:space="preserve"> rows for cleft timber and sawlog/veneer log products.</w:t>
            </w:r>
          </w:p>
        </w:tc>
        <w:tc>
          <w:tcPr>
            <w:tcW w:w="1248" w:type="pct"/>
          </w:tcPr>
          <w:p w14:paraId="0D03D57D" w14:textId="77777777" w:rsidR="000667CC" w:rsidRDefault="000667CC">
            <w:r>
              <w:t>20 years</w:t>
            </w:r>
          </w:p>
        </w:tc>
      </w:tr>
      <w:tr w:rsidR="000667CC" w14:paraId="39E9548D" w14:textId="77777777" w:rsidTr="000667CC">
        <w:tc>
          <w:tcPr>
            <w:tcW w:w="1507" w:type="pct"/>
          </w:tcPr>
          <w:p w14:paraId="062CE665" w14:textId="77777777" w:rsidR="000667CC" w:rsidRDefault="000667CC">
            <w:r>
              <w:t xml:space="preserve">Meranti, represented by </w:t>
            </w:r>
            <w:proofErr w:type="spellStart"/>
            <w:r>
              <w:t>Shorea</w:t>
            </w:r>
            <w:proofErr w:type="spellEnd"/>
            <w:r>
              <w:t xml:space="preserve"> </w:t>
            </w:r>
            <w:proofErr w:type="spellStart"/>
            <w:r>
              <w:t>leprosula</w:t>
            </w:r>
            <w:proofErr w:type="spellEnd"/>
          </w:p>
        </w:tc>
        <w:tc>
          <w:tcPr>
            <w:tcW w:w="2245" w:type="pct"/>
          </w:tcPr>
          <w:p w14:paraId="038F56E9" w14:textId="77777777" w:rsidR="000667CC" w:rsidRDefault="000667CC">
            <w:r>
              <w:rPr>
                <w:rFonts w:ascii="Courier New" w:hAnsi="Courier New"/>
                <w:sz w:val="18"/>
              </w:rPr>
              <w:t>hardwood forestry, meranti</w:t>
            </w:r>
            <w:r>
              <w:t xml:space="preserve"> and meranti sawlog/veneer-</w:t>
            </w:r>
            <w:proofErr w:type="spellStart"/>
            <w:r>
              <w:t>log</w:t>
            </w:r>
            <w:proofErr w:type="spellEnd"/>
            <w:r>
              <w:t xml:space="preserve"> rows.</w:t>
            </w:r>
          </w:p>
        </w:tc>
        <w:tc>
          <w:tcPr>
            <w:tcW w:w="1248" w:type="pct"/>
          </w:tcPr>
          <w:p w14:paraId="2D05CE2F" w14:textId="77777777" w:rsidR="000667CC" w:rsidRDefault="000667CC">
            <w:r>
              <w:t>32 years</w:t>
            </w:r>
          </w:p>
        </w:tc>
      </w:tr>
      <w:tr w:rsidR="000667CC" w14:paraId="57752940" w14:textId="77777777" w:rsidTr="000667CC">
        <w:tc>
          <w:tcPr>
            <w:tcW w:w="1507" w:type="pct"/>
          </w:tcPr>
          <w:p w14:paraId="475D7A7E" w14:textId="77777777" w:rsidR="000667CC" w:rsidRDefault="000667CC">
            <w:r>
              <w:t>Parana pine, represented by Araucaria angustifolia</w:t>
            </w:r>
          </w:p>
        </w:tc>
        <w:tc>
          <w:tcPr>
            <w:tcW w:w="2245" w:type="pct"/>
          </w:tcPr>
          <w:p w14:paraId="6831025F" w14:textId="77777777" w:rsidR="000667CC" w:rsidRDefault="000667CC">
            <w:r>
              <w:rPr>
                <w:rFonts w:ascii="Courier New" w:hAnsi="Courier New"/>
                <w:sz w:val="18"/>
              </w:rPr>
              <w:t xml:space="preserve">softwood forestry, </w:t>
            </w:r>
            <w:proofErr w:type="spellStart"/>
            <w:r>
              <w:rPr>
                <w:rFonts w:ascii="Courier New" w:hAnsi="Courier New"/>
                <w:sz w:val="18"/>
              </w:rPr>
              <w:t>parana</w:t>
            </w:r>
            <w:proofErr w:type="spellEnd"/>
            <w:r>
              <w:rPr>
                <w:rFonts w:ascii="Courier New" w:hAnsi="Courier New"/>
                <w:sz w:val="18"/>
              </w:rPr>
              <w:t xml:space="preserve"> pine, sustainable forest management</w:t>
            </w:r>
            <w:r>
              <w:t xml:space="preserve"> rows.</w:t>
            </w:r>
          </w:p>
        </w:tc>
        <w:tc>
          <w:tcPr>
            <w:tcW w:w="1248" w:type="pct"/>
          </w:tcPr>
          <w:p w14:paraId="3B34E51B" w14:textId="77777777" w:rsidR="000667CC" w:rsidRDefault="000667CC">
            <w:r>
              <w:t>40 years</w:t>
            </w:r>
          </w:p>
        </w:tc>
      </w:tr>
      <w:tr w:rsidR="000667CC" w14:paraId="5087267D" w14:textId="77777777" w:rsidTr="000667CC">
        <w:tc>
          <w:tcPr>
            <w:tcW w:w="1507" w:type="pct"/>
          </w:tcPr>
          <w:p w14:paraId="44BC6586" w14:textId="77777777" w:rsidR="000667CC" w:rsidRDefault="000667CC">
            <w:r>
              <w:t>Azobe</w:t>
            </w:r>
          </w:p>
        </w:tc>
        <w:tc>
          <w:tcPr>
            <w:tcW w:w="2245" w:type="pct"/>
          </w:tcPr>
          <w:p w14:paraId="0A8FA764" w14:textId="77777777" w:rsidR="000667CC" w:rsidRDefault="000667CC">
            <w:r>
              <w:rPr>
                <w:rFonts w:ascii="Courier New" w:hAnsi="Courier New"/>
                <w:sz w:val="18"/>
              </w:rPr>
              <w:t xml:space="preserve">hardwood forestry, </w:t>
            </w:r>
            <w:proofErr w:type="spellStart"/>
            <w:r>
              <w:rPr>
                <w:rFonts w:ascii="Courier New" w:hAnsi="Courier New"/>
                <w:sz w:val="18"/>
              </w:rPr>
              <w:t>azobe</w:t>
            </w:r>
            <w:proofErr w:type="spellEnd"/>
            <w:r>
              <w:t xml:space="preserve"> and </w:t>
            </w:r>
            <w:proofErr w:type="spellStart"/>
            <w:r>
              <w:t>azobe</w:t>
            </w:r>
            <w:proofErr w:type="spellEnd"/>
            <w:r>
              <w:t xml:space="preserve"> sawlog/veneer-</w:t>
            </w:r>
            <w:proofErr w:type="spellStart"/>
            <w:r>
              <w:t>log</w:t>
            </w:r>
            <w:proofErr w:type="spellEnd"/>
            <w:r>
              <w:t xml:space="preserve"> rows.</w:t>
            </w:r>
          </w:p>
        </w:tc>
        <w:tc>
          <w:tcPr>
            <w:tcW w:w="1248" w:type="pct"/>
          </w:tcPr>
          <w:p w14:paraId="44155569" w14:textId="77777777" w:rsidR="000667CC" w:rsidRDefault="000667CC">
            <w:r>
              <w:t>50 years</w:t>
            </w:r>
          </w:p>
        </w:tc>
      </w:tr>
      <w:tr w:rsidR="000667CC" w14:paraId="47E98A54" w14:textId="77777777" w:rsidTr="000667CC">
        <w:tc>
          <w:tcPr>
            <w:tcW w:w="1507" w:type="pct"/>
          </w:tcPr>
          <w:p w14:paraId="6BDC6306" w14:textId="77777777" w:rsidR="000667CC" w:rsidRDefault="000667CC">
            <w:r>
              <w:t>Birch</w:t>
            </w:r>
          </w:p>
        </w:tc>
        <w:tc>
          <w:tcPr>
            <w:tcW w:w="2245" w:type="pct"/>
          </w:tcPr>
          <w:p w14:paraId="00CFCBC7" w14:textId="77777777" w:rsidR="000667CC" w:rsidRDefault="000667CC">
            <w:r>
              <w:rPr>
                <w:rFonts w:ascii="Courier New" w:hAnsi="Courier New"/>
                <w:sz w:val="18"/>
              </w:rPr>
              <w:t>hardwood forestry, birch, sustainable forest management</w:t>
            </w:r>
            <w:r>
              <w:t xml:space="preserve"> rows for sawlogs, pulpwood, wood chips, cleft timber, and energy wood.</w:t>
            </w:r>
          </w:p>
        </w:tc>
        <w:tc>
          <w:tcPr>
            <w:tcW w:w="1248" w:type="pct"/>
          </w:tcPr>
          <w:p w14:paraId="3EC948AA" w14:textId="77777777" w:rsidR="000667CC" w:rsidRDefault="000667CC">
            <w:r>
              <w:t>60 years</w:t>
            </w:r>
          </w:p>
        </w:tc>
      </w:tr>
      <w:tr w:rsidR="000667CC" w14:paraId="1078B942" w14:textId="77777777" w:rsidTr="000667CC">
        <w:tc>
          <w:tcPr>
            <w:tcW w:w="1507" w:type="pct"/>
          </w:tcPr>
          <w:p w14:paraId="656C9234" w14:textId="77777777" w:rsidR="000667CC" w:rsidRDefault="000667CC">
            <w:r>
              <w:t>Pine and spruce</w:t>
            </w:r>
          </w:p>
        </w:tc>
        <w:tc>
          <w:tcPr>
            <w:tcW w:w="2245" w:type="pct"/>
          </w:tcPr>
          <w:p w14:paraId="1131BEFE" w14:textId="77777777" w:rsidR="000667CC" w:rsidRDefault="000667CC">
            <w:r>
              <w:rPr>
                <w:rFonts w:ascii="Courier New" w:hAnsi="Courier New"/>
                <w:sz w:val="18"/>
              </w:rPr>
              <w:t>softwood forestry, pine</w:t>
            </w:r>
            <w:r>
              <w:t xml:space="preserve"> and </w:t>
            </w:r>
            <w:r>
              <w:rPr>
                <w:rFonts w:ascii="Courier New" w:hAnsi="Courier New"/>
                <w:sz w:val="18"/>
              </w:rPr>
              <w:t>softwood forestry, spruce</w:t>
            </w:r>
            <w:r>
              <w:t xml:space="preserve"> rows for sawlogs, pulpwood, wood chips, fuel wood, and energy wood.</w:t>
            </w:r>
          </w:p>
        </w:tc>
        <w:tc>
          <w:tcPr>
            <w:tcW w:w="1248" w:type="pct"/>
          </w:tcPr>
          <w:p w14:paraId="3C78D18B" w14:textId="77777777" w:rsidR="000667CC" w:rsidRDefault="000667CC">
            <w:r>
              <w:t>80 years</w:t>
            </w:r>
          </w:p>
        </w:tc>
      </w:tr>
      <w:tr w:rsidR="000667CC" w14:paraId="2C6FE0B5" w14:textId="77777777" w:rsidTr="000667CC">
        <w:tc>
          <w:tcPr>
            <w:tcW w:w="1507" w:type="pct"/>
          </w:tcPr>
          <w:p w14:paraId="0267C172" w14:textId="77777777" w:rsidR="000667CC" w:rsidRDefault="000667CC">
            <w:r>
              <w:t>Beech</w:t>
            </w:r>
          </w:p>
        </w:tc>
        <w:tc>
          <w:tcPr>
            <w:tcW w:w="2245" w:type="pct"/>
          </w:tcPr>
          <w:p w14:paraId="6174D9D3" w14:textId="77777777" w:rsidR="000667CC" w:rsidRDefault="000667CC">
            <w:r>
              <w:rPr>
                <w:rFonts w:ascii="Courier New" w:hAnsi="Courier New"/>
                <w:sz w:val="18"/>
              </w:rPr>
              <w:t>hardwood forestry, beech, sustainable forest management</w:t>
            </w:r>
            <w:r>
              <w:t xml:space="preserve"> rows for sawlogs, pulpwood, wood chips, and cleft timber.</w:t>
            </w:r>
          </w:p>
        </w:tc>
        <w:tc>
          <w:tcPr>
            <w:tcW w:w="1248" w:type="pct"/>
          </w:tcPr>
          <w:p w14:paraId="5AD56253" w14:textId="77777777" w:rsidR="000667CC" w:rsidRDefault="000667CC">
            <w:r>
              <w:t>120 years</w:t>
            </w:r>
          </w:p>
        </w:tc>
      </w:tr>
      <w:tr w:rsidR="000667CC" w14:paraId="2A41AE40" w14:textId="77777777" w:rsidTr="000667CC">
        <w:tc>
          <w:tcPr>
            <w:tcW w:w="1507" w:type="pct"/>
          </w:tcPr>
          <w:p w14:paraId="5B0C43DD" w14:textId="77777777" w:rsidR="000667CC" w:rsidRDefault="000667CC">
            <w:r>
              <w:t>Oak</w:t>
            </w:r>
          </w:p>
        </w:tc>
        <w:tc>
          <w:tcPr>
            <w:tcW w:w="2245" w:type="pct"/>
          </w:tcPr>
          <w:p w14:paraId="00945366" w14:textId="77777777" w:rsidR="000667CC" w:rsidRDefault="000667CC">
            <w:r>
              <w:rPr>
                <w:rFonts w:ascii="Courier New" w:hAnsi="Courier New"/>
                <w:sz w:val="18"/>
              </w:rPr>
              <w:t>hardwood forestry, oak, sustainable forest management</w:t>
            </w:r>
            <w:r>
              <w:t xml:space="preserve"> rows for sawlogs, pulpwood, wood chips, and cleft timber.</w:t>
            </w:r>
          </w:p>
        </w:tc>
        <w:tc>
          <w:tcPr>
            <w:tcW w:w="1248" w:type="pct"/>
          </w:tcPr>
          <w:p w14:paraId="555028ED" w14:textId="77777777" w:rsidR="000667CC" w:rsidRDefault="000667CC">
            <w:r>
              <w:t>180 years</w:t>
            </w:r>
          </w:p>
        </w:tc>
      </w:tr>
      <w:tr w:rsidR="000667CC" w14:paraId="0200AEB7" w14:textId="77777777" w:rsidTr="000667CC">
        <w:tc>
          <w:tcPr>
            <w:tcW w:w="1507" w:type="pct"/>
          </w:tcPr>
          <w:p w14:paraId="34C68812" w14:textId="77777777" w:rsidR="000667CC" w:rsidRDefault="000667CC">
            <w:r>
              <w:t>Selected land-use or land-cover change rows</w:t>
            </w:r>
          </w:p>
        </w:tc>
        <w:tc>
          <w:tcPr>
            <w:tcW w:w="2245" w:type="pct"/>
          </w:tcPr>
          <w:p w14:paraId="3F5EE492" w14:textId="77777777" w:rsidR="000667CC" w:rsidRDefault="000667CC">
            <w:r>
              <w:t>Land-tenure and conversion rows for arable land, pasture, forest, and afforested land.</w:t>
            </w:r>
          </w:p>
        </w:tc>
        <w:tc>
          <w:tcPr>
            <w:tcW w:w="1248" w:type="pct"/>
          </w:tcPr>
          <w:p w14:paraId="36737A33" w14:textId="77777777" w:rsidR="000667CC" w:rsidRDefault="000667CC">
            <w:r>
              <w:t>80 to 100 years</w:t>
            </w:r>
          </w:p>
        </w:tc>
      </w:tr>
    </w:tbl>
    <w:p w14:paraId="72D59956" w14:textId="5A8BCA91" w:rsidR="00557083" w:rsidRPr="00321DE6" w:rsidRDefault="00557083" w:rsidP="009A0B47">
      <w:pPr>
        <w:rPr>
          <w:sz w:val="17"/>
          <w:szCs w:val="17"/>
        </w:rPr>
      </w:pPr>
      <w:r w:rsidRPr="00321DE6">
        <w:rPr>
          <w:b/>
          <w:bCs/>
          <w:sz w:val="17"/>
          <w:szCs w:val="17"/>
        </w:rPr>
        <w:t xml:space="preserve">Table </w:t>
      </w:r>
      <w:r>
        <w:rPr>
          <w:b/>
          <w:bCs/>
          <w:sz w:val="17"/>
          <w:szCs w:val="17"/>
        </w:rPr>
        <w:t>6</w:t>
      </w:r>
      <w:r w:rsidRPr="00321DE6">
        <w:rPr>
          <w:sz w:val="17"/>
          <w:szCs w:val="17"/>
        </w:rPr>
        <w:t xml:space="preserve"> – </w:t>
      </w:r>
      <w:r w:rsidR="009A0B47" w:rsidRPr="009A0B47">
        <w:rPr>
          <w:sz w:val="17"/>
          <w:szCs w:val="17"/>
        </w:rPr>
        <w:t>Biomass-growth categories represented in the temporal-distribution file. Rows group crop, forage, orchard,</w:t>
      </w:r>
      <w:r w:rsidR="009A0B47">
        <w:rPr>
          <w:sz w:val="17"/>
          <w:szCs w:val="17"/>
        </w:rPr>
        <w:t xml:space="preserve"> </w:t>
      </w:r>
      <w:r w:rsidR="009A0B47" w:rsidRPr="009A0B47">
        <w:rPr>
          <w:sz w:val="17"/>
          <w:szCs w:val="17"/>
        </w:rPr>
        <w:t>forestry, and land-use classes and report the assumed lifetime or rotation period used to time biogenic uptake</w:t>
      </w:r>
      <w:r w:rsidR="00971DC1">
        <w:rPr>
          <w:sz w:val="17"/>
          <w:szCs w:val="17"/>
        </w:rPr>
        <w:t>.</w:t>
      </w:r>
    </w:p>
    <w:p w14:paraId="5260498C" w14:textId="49115E14" w:rsidR="00E4260D" w:rsidRDefault="00240788">
      <w:r>
        <w:lastRenderedPageBreak/>
        <w:t xml:space="preserve">The distribution is generally uniform because </w:t>
      </w:r>
      <w:r w:rsidR="00B03897" w:rsidRPr="00B03897">
        <w:rPr>
          <w:i/>
          <w:iCs/>
        </w:rPr>
        <w:t>Premise</w:t>
      </w:r>
      <w:r>
        <w:t xml:space="preserve"> does not attempt to model species-specific growth curves. A one-year annual crop profile</w:t>
      </w:r>
      <w:r w:rsidR="00C279D8">
        <w:t>,</w:t>
      </w:r>
      <w:r>
        <w:t xml:space="preserve"> therefore</w:t>
      </w:r>
      <w:r w:rsidR="00C279D8">
        <w:t>,</w:t>
      </w:r>
      <w:r>
        <w:t xml:space="preserve"> means that uptake is spread over the year before harvest, while a 60-year roundwood profile spreads uptake over the preceding 60 years. This is a deliberate simplification: the timing represents an average carbon uptake window attached to the life-cycle inventory exchange, not a detailed forest or crop growth model.</w:t>
      </w:r>
    </w:p>
    <w:p w14:paraId="52F26C21" w14:textId="10CDB1A1" w:rsidR="00E4260D" w:rsidRDefault="00240788">
      <w:r>
        <w:t xml:space="preserve">Examples of biomass-growth </w:t>
      </w:r>
      <w:r w:rsidR="009D6963">
        <w:t>distributions</w:t>
      </w:r>
      <w:r>
        <w:t xml:space="preserve"> </w:t>
      </w:r>
      <w:r w:rsidR="001407D2">
        <w:t>are listed in Table 7.</w:t>
      </w:r>
    </w:p>
    <w:tbl>
      <w:tblPr>
        <w:tblStyle w:val="TableGrid"/>
        <w:tblW w:w="5000" w:type="pct"/>
        <w:tblLook w:val="04A0" w:firstRow="1" w:lastRow="0" w:firstColumn="1" w:lastColumn="0" w:noHBand="0" w:noVBand="1"/>
      </w:tblPr>
      <w:tblGrid>
        <w:gridCol w:w="970"/>
        <w:gridCol w:w="715"/>
        <w:gridCol w:w="734"/>
        <w:gridCol w:w="4204"/>
      </w:tblGrid>
      <w:tr w:rsidR="009D6963" w14:paraId="324EE0B9" w14:textId="77777777" w:rsidTr="001407D2">
        <w:tc>
          <w:tcPr>
            <w:tcW w:w="732" w:type="pct"/>
            <w:shd w:val="clear" w:color="auto" w:fill="D9EAF7"/>
          </w:tcPr>
          <w:p w14:paraId="392B19E3" w14:textId="77777777" w:rsidR="009D6963" w:rsidRDefault="009D6963">
            <w:r>
              <w:rPr>
                <w:b/>
              </w:rPr>
              <w:t>Dataset</w:t>
            </w:r>
          </w:p>
        </w:tc>
        <w:tc>
          <w:tcPr>
            <w:tcW w:w="540" w:type="pct"/>
            <w:shd w:val="clear" w:color="auto" w:fill="D9EAF7"/>
          </w:tcPr>
          <w:p w14:paraId="48DAE5FA" w14:textId="77777777" w:rsidR="009D6963" w:rsidRDefault="009D6963">
            <w:r>
              <w:rPr>
                <w:b/>
              </w:rPr>
              <w:t>Lifetime</w:t>
            </w:r>
          </w:p>
        </w:tc>
        <w:tc>
          <w:tcPr>
            <w:tcW w:w="554" w:type="pct"/>
            <w:shd w:val="clear" w:color="auto" w:fill="D9EAF7"/>
          </w:tcPr>
          <w:p w14:paraId="10B5839C" w14:textId="77777777" w:rsidR="009D6963" w:rsidRDefault="009D6963">
            <w:r>
              <w:rPr>
                <w:b/>
              </w:rPr>
              <w:t>Distribution and support</w:t>
            </w:r>
          </w:p>
        </w:tc>
        <w:tc>
          <w:tcPr>
            <w:tcW w:w="3174" w:type="pct"/>
            <w:shd w:val="clear" w:color="auto" w:fill="D9EAF7"/>
          </w:tcPr>
          <w:p w14:paraId="1E86BEB5" w14:textId="77777777" w:rsidR="009D6963" w:rsidRDefault="009D6963">
            <w:r>
              <w:rPr>
                <w:b/>
              </w:rPr>
              <w:t>Sources and assumptions</w:t>
            </w:r>
          </w:p>
        </w:tc>
      </w:tr>
      <w:tr w:rsidR="009D6963" w14:paraId="19C83E75" w14:textId="77777777" w:rsidTr="001407D2">
        <w:tc>
          <w:tcPr>
            <w:tcW w:w="732" w:type="pct"/>
          </w:tcPr>
          <w:p w14:paraId="170FF12D" w14:textId="77777777" w:rsidR="009D6963" w:rsidRDefault="009D6963">
            <w:r>
              <w:rPr>
                <w:rFonts w:ascii="Courier New" w:hAnsi="Courier New"/>
                <w:sz w:val="18"/>
              </w:rPr>
              <w:t>cork forestry</w:t>
            </w:r>
          </w:p>
        </w:tc>
        <w:tc>
          <w:tcPr>
            <w:tcW w:w="540" w:type="pct"/>
          </w:tcPr>
          <w:p w14:paraId="04DDE608" w14:textId="77777777" w:rsidR="009D6963" w:rsidRDefault="009D6963">
            <w:r>
              <w:t>25 years</w:t>
            </w:r>
          </w:p>
        </w:tc>
        <w:tc>
          <w:tcPr>
            <w:tcW w:w="554" w:type="pct"/>
          </w:tcPr>
          <w:p w14:paraId="4FCE85C4" w14:textId="77777777" w:rsidR="009D6963" w:rsidRDefault="009D6963">
            <w:r>
              <w:t xml:space="preserve">Uniform, </w:t>
            </w:r>
            <w:r>
              <w:rPr>
                <w:rFonts w:ascii="Courier New" w:hAnsi="Courier New"/>
                <w:sz w:val="18"/>
              </w:rPr>
              <w:t>-25</w:t>
            </w:r>
            <w:r>
              <w:t xml:space="preserve"> to </w:t>
            </w:r>
            <w:r>
              <w:rPr>
                <w:rFonts w:ascii="Courier New" w:hAnsi="Courier New"/>
                <w:sz w:val="18"/>
              </w:rPr>
              <w:t>0</w:t>
            </w:r>
            <w:r>
              <w:t>.</w:t>
            </w:r>
          </w:p>
        </w:tc>
        <w:tc>
          <w:tcPr>
            <w:tcW w:w="3174" w:type="pct"/>
          </w:tcPr>
          <w:p w14:paraId="40EE8745" w14:textId="77777777" w:rsidR="009D6963" w:rsidRDefault="009D6963">
            <w:r>
              <w:t>EUFORGEN cork oak first-harvest estimate: https://www.euforgen.org/fileadmin/bioversity/publications/pdfs/1323_Cork_oak__Quercus_suber_.pdf.</w:t>
            </w:r>
          </w:p>
        </w:tc>
      </w:tr>
      <w:tr w:rsidR="009D6963" w14:paraId="3959C706" w14:textId="77777777" w:rsidTr="001407D2">
        <w:tc>
          <w:tcPr>
            <w:tcW w:w="732" w:type="pct"/>
          </w:tcPr>
          <w:p w14:paraId="3210C08F" w14:textId="77777777" w:rsidR="009D6963" w:rsidRDefault="009D6963">
            <w:r>
              <w:rPr>
                <w:rFonts w:ascii="Courier New" w:hAnsi="Courier New"/>
                <w:sz w:val="18"/>
              </w:rPr>
              <w:t xml:space="preserve">debarking, hardwood, </w:t>
            </w:r>
            <w:proofErr w:type="spellStart"/>
            <w:r>
              <w:rPr>
                <w:rFonts w:ascii="Courier New" w:hAnsi="Courier New"/>
                <w:sz w:val="18"/>
              </w:rPr>
              <w:t>azobe</w:t>
            </w:r>
            <w:proofErr w:type="spellEnd"/>
          </w:p>
        </w:tc>
        <w:tc>
          <w:tcPr>
            <w:tcW w:w="540" w:type="pct"/>
          </w:tcPr>
          <w:p w14:paraId="763E4E06" w14:textId="77777777" w:rsidR="009D6963" w:rsidRDefault="009D6963">
            <w:r>
              <w:t>50 years</w:t>
            </w:r>
          </w:p>
        </w:tc>
        <w:tc>
          <w:tcPr>
            <w:tcW w:w="554" w:type="pct"/>
          </w:tcPr>
          <w:p w14:paraId="4F4429A6" w14:textId="77777777" w:rsidR="009D6963" w:rsidRDefault="009D6963">
            <w:r>
              <w:t xml:space="preserve">Uniform, </w:t>
            </w:r>
            <w:r>
              <w:rPr>
                <w:rFonts w:ascii="Courier New" w:hAnsi="Courier New"/>
                <w:sz w:val="18"/>
              </w:rPr>
              <w:t>-50</w:t>
            </w:r>
            <w:r>
              <w:t xml:space="preserve"> to </w:t>
            </w:r>
            <w:r>
              <w:rPr>
                <w:rFonts w:ascii="Courier New" w:hAnsi="Courier New"/>
                <w:sz w:val="18"/>
              </w:rPr>
              <w:t>0</w:t>
            </w:r>
            <w:r>
              <w:t>.</w:t>
            </w:r>
          </w:p>
        </w:tc>
        <w:tc>
          <w:tcPr>
            <w:tcW w:w="3174" w:type="pct"/>
          </w:tcPr>
          <w:p w14:paraId="04FEADAF" w14:textId="77777777" w:rsidR="009D6963" w:rsidRDefault="009D6963">
            <w:r>
              <w:t>FAO tropical forestry Azobe rotation lower-bound estimate: https://www.fao.org/4/t0404e/t0404e00.pdf.</w:t>
            </w:r>
          </w:p>
        </w:tc>
      </w:tr>
      <w:tr w:rsidR="009D6963" w14:paraId="3750B186" w14:textId="77777777" w:rsidTr="001407D2">
        <w:tc>
          <w:tcPr>
            <w:tcW w:w="732" w:type="pct"/>
          </w:tcPr>
          <w:p w14:paraId="443510B7" w14:textId="77777777" w:rsidR="009D6963" w:rsidRDefault="009D6963">
            <w:r>
              <w:rPr>
                <w:rFonts w:ascii="Courier New" w:hAnsi="Courier New"/>
                <w:sz w:val="18"/>
              </w:rPr>
              <w:t>debarking, hardwood, meranti</w:t>
            </w:r>
          </w:p>
        </w:tc>
        <w:tc>
          <w:tcPr>
            <w:tcW w:w="540" w:type="pct"/>
          </w:tcPr>
          <w:p w14:paraId="1B3F547E" w14:textId="77777777" w:rsidR="009D6963" w:rsidRDefault="009D6963">
            <w:r>
              <w:t>32 years</w:t>
            </w:r>
          </w:p>
        </w:tc>
        <w:tc>
          <w:tcPr>
            <w:tcW w:w="554" w:type="pct"/>
          </w:tcPr>
          <w:p w14:paraId="67992A1B" w14:textId="77777777" w:rsidR="009D6963" w:rsidRDefault="009D6963">
            <w:r>
              <w:t xml:space="preserve">Uniform, </w:t>
            </w:r>
            <w:r>
              <w:rPr>
                <w:rFonts w:ascii="Courier New" w:hAnsi="Courier New"/>
                <w:sz w:val="18"/>
              </w:rPr>
              <w:t>-32</w:t>
            </w:r>
            <w:r>
              <w:t xml:space="preserve"> to </w:t>
            </w:r>
            <w:r>
              <w:rPr>
                <w:rFonts w:ascii="Courier New" w:hAnsi="Courier New"/>
                <w:sz w:val="18"/>
              </w:rPr>
              <w:t>0</w:t>
            </w:r>
            <w:r>
              <w:t>.</w:t>
            </w:r>
          </w:p>
        </w:tc>
        <w:tc>
          <w:tcPr>
            <w:tcW w:w="3174" w:type="pct"/>
          </w:tcPr>
          <w:p w14:paraId="79F140D2" w14:textId="77777777" w:rsidR="009D6963" w:rsidRDefault="009D6963">
            <w:r>
              <w:t xml:space="preserve">IPB </w:t>
            </w:r>
            <w:proofErr w:type="spellStart"/>
            <w:r>
              <w:t>Shorea</w:t>
            </w:r>
            <w:proofErr w:type="spellEnd"/>
            <w:r>
              <w:t xml:space="preserve"> </w:t>
            </w:r>
            <w:proofErr w:type="spellStart"/>
            <w:r>
              <w:t>leprosula</w:t>
            </w:r>
            <w:proofErr w:type="spellEnd"/>
            <w:r>
              <w:t xml:space="preserve"> first-rotation estimate: https://repository.ipb.ac.id/handle/123456789/55537.</w:t>
            </w:r>
          </w:p>
        </w:tc>
      </w:tr>
      <w:tr w:rsidR="009D6963" w14:paraId="33879E43" w14:textId="77777777" w:rsidTr="001407D2">
        <w:tc>
          <w:tcPr>
            <w:tcW w:w="732" w:type="pct"/>
          </w:tcPr>
          <w:p w14:paraId="2DB73779" w14:textId="77777777" w:rsidR="009D6963" w:rsidRDefault="009D6963">
            <w:r>
              <w:rPr>
                <w:rFonts w:ascii="Courier New" w:hAnsi="Courier New"/>
                <w:sz w:val="18"/>
              </w:rPr>
              <w:t>hardwood forestry, beech, sustainable forest man</w:t>
            </w:r>
            <w:r>
              <w:rPr>
                <w:rFonts w:ascii="Courier New" w:hAnsi="Courier New"/>
                <w:sz w:val="18"/>
              </w:rPr>
              <w:lastRenderedPageBreak/>
              <w:t>agement</w:t>
            </w:r>
          </w:p>
        </w:tc>
        <w:tc>
          <w:tcPr>
            <w:tcW w:w="540" w:type="pct"/>
          </w:tcPr>
          <w:p w14:paraId="40042334" w14:textId="77777777" w:rsidR="009D6963" w:rsidRDefault="009D6963">
            <w:r>
              <w:lastRenderedPageBreak/>
              <w:t>120 years</w:t>
            </w:r>
          </w:p>
        </w:tc>
        <w:tc>
          <w:tcPr>
            <w:tcW w:w="554" w:type="pct"/>
          </w:tcPr>
          <w:p w14:paraId="79C7623F" w14:textId="77777777" w:rsidR="009D6963" w:rsidRDefault="009D6963">
            <w:r>
              <w:t xml:space="preserve">Uniform, </w:t>
            </w:r>
            <w:r>
              <w:rPr>
                <w:rFonts w:ascii="Courier New" w:hAnsi="Courier New"/>
                <w:sz w:val="18"/>
              </w:rPr>
              <w:t>-120</w:t>
            </w:r>
            <w:r>
              <w:t xml:space="preserve"> to </w:t>
            </w:r>
            <w:r>
              <w:rPr>
                <w:rFonts w:ascii="Courier New" w:hAnsi="Courier New"/>
                <w:sz w:val="18"/>
              </w:rPr>
              <w:t>0</w:t>
            </w:r>
            <w:r>
              <w:t>.</w:t>
            </w:r>
          </w:p>
        </w:tc>
        <w:tc>
          <w:tcPr>
            <w:tcW w:w="3174" w:type="pct"/>
          </w:tcPr>
          <w:p w14:paraId="7110FB5A" w14:textId="77777777" w:rsidR="009D6963" w:rsidRDefault="009D6963">
            <w:r>
              <w:t xml:space="preserve">Wald-Prinz </w:t>
            </w:r>
            <w:proofErr w:type="spellStart"/>
            <w:r>
              <w:t>Umtriebsalter</w:t>
            </w:r>
            <w:proofErr w:type="spellEnd"/>
            <w:r>
              <w:t xml:space="preserve"> lower-bound source: https://www.wald-prinz.de/umtriebszeit-wie-lange-benotigt-ein-baum-bis-zur-hiebsreife/3697.</w:t>
            </w:r>
          </w:p>
        </w:tc>
      </w:tr>
    </w:tbl>
    <w:p w14:paraId="54EE7B47" w14:textId="71E78678" w:rsidR="001407D2" w:rsidRPr="00321DE6" w:rsidRDefault="001407D2" w:rsidP="009A0B47">
      <w:pPr>
        <w:rPr>
          <w:sz w:val="17"/>
          <w:szCs w:val="17"/>
        </w:rPr>
      </w:pPr>
      <w:r w:rsidRPr="00321DE6">
        <w:rPr>
          <w:b/>
          <w:bCs/>
          <w:sz w:val="17"/>
          <w:szCs w:val="17"/>
        </w:rPr>
        <w:t xml:space="preserve">Table </w:t>
      </w:r>
      <w:r>
        <w:rPr>
          <w:b/>
          <w:bCs/>
          <w:sz w:val="17"/>
          <w:szCs w:val="17"/>
        </w:rPr>
        <w:t>7</w:t>
      </w:r>
      <w:r w:rsidRPr="00321DE6">
        <w:rPr>
          <w:sz w:val="17"/>
          <w:szCs w:val="17"/>
        </w:rPr>
        <w:t xml:space="preserve"> – </w:t>
      </w:r>
      <w:r w:rsidR="009A0B47" w:rsidRPr="009A0B47">
        <w:rPr>
          <w:sz w:val="17"/>
          <w:szCs w:val="17"/>
        </w:rPr>
        <w:t>Representative biomass-growth assignments with species- or product-specific rotation assumptions. Each example reports the dataset, lifetime, negative support interval, and source used for the timing assumption</w:t>
      </w:r>
      <w:r w:rsidR="005E2292">
        <w:rPr>
          <w:sz w:val="17"/>
          <w:szCs w:val="17"/>
        </w:rPr>
        <w:t>.</w:t>
      </w:r>
    </w:p>
    <w:p w14:paraId="4DD0EA3B" w14:textId="77777777" w:rsidR="00E4260D" w:rsidRDefault="00240788">
      <w:r>
        <w:t>These values should be read as timing assumptions rather than biological measurements for each exchange. The table combines default biomass-growth classes with species-specific rotation-age estimates where available.</w:t>
      </w:r>
    </w:p>
    <w:p w14:paraId="62B6AC14" w14:textId="45F3F270" w:rsidR="00E4260D" w:rsidRDefault="00240788" w:rsidP="00E91034">
      <w:pPr>
        <w:pStyle w:val="Heading20"/>
        <w:numPr>
          <w:ilvl w:val="1"/>
          <w:numId w:val="46"/>
        </w:numPr>
      </w:pPr>
      <w:bookmarkStart w:id="9" w:name="_Toc233129507"/>
      <w:r>
        <w:t>Stock assets and fleet vintages</w:t>
      </w:r>
      <w:bookmarkEnd w:id="9"/>
    </w:p>
    <w:p w14:paraId="14F46285" w14:textId="5C61A7AA" w:rsidR="00E4260D" w:rsidRDefault="005E2292">
      <w:r w:rsidRPr="005E2292">
        <w:rPr>
          <w:sz w:val="18"/>
        </w:rPr>
        <w:t xml:space="preserve">The </w:t>
      </w:r>
      <w:proofErr w:type="spellStart"/>
      <w:r w:rsidR="00240788">
        <w:rPr>
          <w:rFonts w:ascii="Courier New" w:hAnsi="Courier New"/>
          <w:sz w:val="18"/>
        </w:rPr>
        <w:t>stock_asset</w:t>
      </w:r>
      <w:proofErr w:type="spellEnd"/>
      <w:r w:rsidR="00240788">
        <w:t xml:space="preserve"> </w:t>
      </w:r>
      <w:r>
        <w:t>tags</w:t>
      </w:r>
      <w:r w:rsidR="00240788">
        <w:t xml:space="preserve"> describe suppliers interpreted as long-lived assets, installed equipment, infrastructure, vehicles, buildings, or other stock-like items. When such a supplier appears in a technosphere exchange, the exchange receives the distribution parameters from the CSV.</w:t>
      </w:r>
    </w:p>
    <w:p w14:paraId="7E744754" w14:textId="18481E16" w:rsidR="00E4260D" w:rsidRDefault="00240788">
      <w:r>
        <w:t xml:space="preserve">This tag applies to technosphere exchanges, not to biosphere flows. A row in the table identifies a supplier dataset such as a vehicle production dataset, an infrastructure construction dataset, a battery production dataset, a pipeline construction dataset, or an installed equipment dataset. When another activity has a technosphere exchange </w:t>
      </w:r>
      <w:r w:rsidR="00C279D8">
        <w:t>with</w:t>
      </w:r>
      <w:r>
        <w:t xml:space="preserve"> that supplier,</w:t>
      </w:r>
      <w:r w:rsidR="0013010F">
        <w:t xml:space="preserve"> </w:t>
      </w:r>
      <w:r w:rsidR="0013010F" w:rsidRPr="0013010F">
        <w:rPr>
          <w:i/>
          <w:iCs/>
        </w:rPr>
        <w:t>Premise</w:t>
      </w:r>
      <w:r w:rsidR="0013010F">
        <w:t xml:space="preserve"> </w:t>
      </w:r>
      <w:r>
        <w:t xml:space="preserve">copies the supplier's temporal distribution to the exchange. In </w:t>
      </w:r>
      <w:r w:rsidR="0013010F" w:rsidRPr="0013010F">
        <w:rPr>
          <w:i/>
          <w:iCs/>
        </w:rPr>
        <w:t>Trails</w:t>
      </w:r>
      <w:r>
        <w:t>, that exchange is then interpreted as a demand for an asset whose production or vintage is distributed over time instead of occurring entirely in the activity year.</w:t>
      </w:r>
    </w:p>
    <w:p w14:paraId="4DE15880" w14:textId="77777777" w:rsidR="00E4260D" w:rsidRDefault="00240788">
      <w:r>
        <w:t xml:space="preserve">The negative support used for these profiles reflects the perspective of the calling activity. The activity year is the year in which the service or product system is evaluated. If a plant, vehicle, building, or equipment item already exists at that time, the production of that asset can be represented as having occurred in earlier years. A triangular profile from </w:t>
      </w:r>
      <w:r>
        <w:rPr>
          <w:rFonts w:ascii="Courier New" w:hAnsi="Courier New"/>
          <w:sz w:val="18"/>
        </w:rPr>
        <w:t>-30</w:t>
      </w:r>
      <w:r>
        <w:t xml:space="preserve"> to </w:t>
      </w:r>
      <w:r>
        <w:rPr>
          <w:rFonts w:ascii="Courier New" w:hAnsi="Courier New"/>
          <w:sz w:val="18"/>
        </w:rPr>
        <w:t>-1</w:t>
      </w:r>
      <w:r>
        <w:t>, for example, places the asset history over the 30 years before the activity year.</w:t>
      </w:r>
    </w:p>
    <w:p w14:paraId="590D116C" w14:textId="4EEB4B47" w:rsidR="00E4260D" w:rsidRDefault="00240788">
      <w:r>
        <w:t>Two distribution families dominate</w:t>
      </w:r>
      <w:r w:rsidR="00B07E76">
        <w:t>, as listed in Table 8.</w:t>
      </w:r>
    </w:p>
    <w:tbl>
      <w:tblPr>
        <w:tblStyle w:val="TableGrid"/>
        <w:tblW w:w="5000" w:type="pct"/>
        <w:tblLook w:val="04A0" w:firstRow="1" w:lastRow="0" w:firstColumn="1" w:lastColumn="0" w:noHBand="0" w:noVBand="1"/>
      </w:tblPr>
      <w:tblGrid>
        <w:gridCol w:w="3159"/>
        <w:gridCol w:w="3464"/>
      </w:tblGrid>
      <w:tr w:rsidR="00F515C3" w14:paraId="54B466DB" w14:textId="77777777" w:rsidTr="00F515C3">
        <w:tc>
          <w:tcPr>
            <w:tcW w:w="2385" w:type="pct"/>
            <w:shd w:val="clear" w:color="auto" w:fill="D9EAF7"/>
          </w:tcPr>
          <w:p w14:paraId="65623DCA" w14:textId="77777777" w:rsidR="00F515C3" w:rsidRDefault="00F515C3">
            <w:r>
              <w:rPr>
                <w:b/>
              </w:rPr>
              <w:t>Distribution</w:t>
            </w:r>
          </w:p>
        </w:tc>
        <w:tc>
          <w:tcPr>
            <w:tcW w:w="2615" w:type="pct"/>
            <w:shd w:val="clear" w:color="auto" w:fill="D9EAF7"/>
          </w:tcPr>
          <w:p w14:paraId="075EA389" w14:textId="77777777" w:rsidR="00F515C3" w:rsidRDefault="00F515C3">
            <w:r>
              <w:rPr>
                <w:b/>
              </w:rPr>
              <w:t>Interpretation</w:t>
            </w:r>
          </w:p>
        </w:tc>
      </w:tr>
      <w:tr w:rsidR="00F515C3" w14:paraId="417D0D0B" w14:textId="77777777" w:rsidTr="00F515C3">
        <w:tc>
          <w:tcPr>
            <w:tcW w:w="2385" w:type="pct"/>
          </w:tcPr>
          <w:p w14:paraId="27DAC038" w14:textId="77777777" w:rsidR="00F515C3" w:rsidRDefault="00F515C3">
            <w:r>
              <w:t>Lognormal (</w:t>
            </w:r>
            <w:r>
              <w:rPr>
                <w:rFonts w:ascii="Courier New" w:hAnsi="Courier New"/>
                <w:sz w:val="18"/>
              </w:rPr>
              <w:t>2</w:t>
            </w:r>
            <w:r>
              <w:t>)</w:t>
            </w:r>
          </w:p>
        </w:tc>
        <w:tc>
          <w:tcPr>
            <w:tcW w:w="2615" w:type="pct"/>
          </w:tcPr>
          <w:p w14:paraId="1F921003" w14:textId="77777777" w:rsidR="00F515C3" w:rsidRDefault="00F515C3">
            <w:r>
              <w:t xml:space="preserve">Fleet-age or vintage profiles, especially vehicles. The parameters use a negative-offset </w:t>
            </w:r>
            <w:proofErr w:type="gramStart"/>
            <w:r>
              <w:t>convention</w:t>
            </w:r>
            <w:proofErr w:type="gramEnd"/>
            <w:r>
              <w:t xml:space="preserve"> and many rows use </w:t>
            </w:r>
            <w:r>
              <w:rPr>
                <w:rFonts w:ascii="Courier New" w:hAnsi="Courier New"/>
                <w:sz w:val="18"/>
              </w:rPr>
              <w:t>sigma = 0.55</w:t>
            </w:r>
            <w:r>
              <w:t xml:space="preserve">. Sources and assumptions include </w:t>
            </w:r>
            <w:r>
              <w:rPr>
                <w:rFonts w:ascii="Courier New" w:hAnsi="Courier New"/>
                <w:sz w:val="18"/>
              </w:rPr>
              <w:t>fleet age lognormal (</w:t>
            </w:r>
            <w:proofErr w:type="spellStart"/>
            <w:r>
              <w:rPr>
                <w:rFonts w:ascii="Courier New" w:hAnsi="Courier New"/>
                <w:sz w:val="18"/>
              </w:rPr>
              <w:t>mu_log</w:t>
            </w:r>
            <w:proofErr w:type="spellEnd"/>
            <w:r>
              <w:rPr>
                <w:rFonts w:ascii="Courier New" w:hAnsi="Courier New"/>
                <w:sz w:val="18"/>
              </w:rPr>
              <w:t xml:space="preserve"> from provided medians, sigma=0.55; negative loc con</w:t>
            </w:r>
            <w:r>
              <w:rPr>
                <w:rFonts w:ascii="Courier New" w:hAnsi="Courier New"/>
                <w:sz w:val="18"/>
              </w:rPr>
              <w:lastRenderedPageBreak/>
              <w:t>vention)</w:t>
            </w:r>
            <w:r>
              <w:t xml:space="preserve">, </w:t>
            </w:r>
            <w:r>
              <w:rPr>
                <w:rFonts w:ascii="Courier New" w:hAnsi="Courier New"/>
                <w:sz w:val="18"/>
              </w:rPr>
              <w:t>Typical passenger car lifetime</w:t>
            </w:r>
            <w:r>
              <w:t xml:space="preserve">, </w:t>
            </w:r>
            <w:r>
              <w:rPr>
                <w:rFonts w:ascii="Courier New" w:hAnsi="Courier New"/>
                <w:sz w:val="18"/>
              </w:rPr>
              <w:t>Typical urban/coach bus lifetime assumption</w:t>
            </w:r>
            <w:r>
              <w:t xml:space="preserve">, and </w:t>
            </w:r>
            <w:r>
              <w:rPr>
                <w:rFonts w:ascii="Courier New" w:hAnsi="Courier New"/>
                <w:sz w:val="18"/>
              </w:rPr>
              <w:t>Heavy truck typical lifetime</w:t>
            </w:r>
            <w:r>
              <w:t>.</w:t>
            </w:r>
          </w:p>
        </w:tc>
      </w:tr>
      <w:tr w:rsidR="00F515C3" w14:paraId="55AD34A5" w14:textId="77777777" w:rsidTr="00F515C3">
        <w:tc>
          <w:tcPr>
            <w:tcW w:w="2385" w:type="pct"/>
          </w:tcPr>
          <w:p w14:paraId="756A438C" w14:textId="77777777" w:rsidR="00F515C3" w:rsidRDefault="00F515C3">
            <w:r>
              <w:lastRenderedPageBreak/>
              <w:t>Triangular (</w:t>
            </w:r>
            <w:r>
              <w:rPr>
                <w:rFonts w:ascii="Courier New" w:hAnsi="Courier New"/>
                <w:sz w:val="18"/>
              </w:rPr>
              <w:t>5</w:t>
            </w:r>
            <w:r>
              <w:t>)</w:t>
            </w:r>
          </w:p>
        </w:tc>
        <w:tc>
          <w:tcPr>
            <w:tcW w:w="2615" w:type="pct"/>
          </w:tcPr>
          <w:p w14:paraId="21305157" w14:textId="77777777" w:rsidR="00F515C3" w:rsidRDefault="00F515C3">
            <w:r>
              <w:t xml:space="preserve">Construction, installation, capital equipment, and infrastructure profiles over a finite lifetime. Sources and assumptions include </w:t>
            </w:r>
            <w:r>
              <w:rPr>
                <w:rFonts w:ascii="Courier New" w:hAnsi="Courier New"/>
                <w:sz w:val="18"/>
              </w:rPr>
              <w:t>Typical PV system lifetime; triangular vintage distribution</w:t>
            </w:r>
            <w:r>
              <w:t xml:space="preserve">, </w:t>
            </w:r>
            <w:r>
              <w:rPr>
                <w:rFonts w:ascii="Courier New" w:hAnsi="Courier New"/>
                <w:sz w:val="18"/>
              </w:rPr>
              <w:t>small wind turbine lifetime</w:t>
            </w:r>
            <w:r>
              <w:t xml:space="preserve">, </w:t>
            </w:r>
            <w:r>
              <w:rPr>
                <w:rFonts w:ascii="Courier New" w:hAnsi="Courier New"/>
                <w:sz w:val="18"/>
              </w:rPr>
              <w:t>distribution pipeline lifetime</w:t>
            </w:r>
            <w:r>
              <w:t xml:space="preserve">, </w:t>
            </w:r>
            <w:r>
              <w:rPr>
                <w:rFonts w:ascii="Courier New" w:hAnsi="Courier New"/>
                <w:sz w:val="18"/>
              </w:rPr>
              <w:t>industrial building lifetime</w:t>
            </w:r>
            <w:r>
              <w:t xml:space="preserve">, and </w:t>
            </w:r>
            <w:r>
              <w:rPr>
                <w:rFonts w:ascii="Courier New" w:hAnsi="Courier New"/>
                <w:sz w:val="18"/>
              </w:rPr>
              <w:t>LFP rechargeable battery product lifetime</w:t>
            </w:r>
            <w:r>
              <w:t>.</w:t>
            </w:r>
          </w:p>
        </w:tc>
      </w:tr>
    </w:tbl>
    <w:p w14:paraId="70C98710" w14:textId="3C402A2A" w:rsidR="00E4260D" w:rsidRPr="000F78FB" w:rsidRDefault="000F78FB" w:rsidP="004D4D63">
      <w:pPr>
        <w:rPr>
          <w:sz w:val="17"/>
          <w:szCs w:val="17"/>
        </w:rPr>
      </w:pPr>
      <w:r w:rsidRPr="00321DE6">
        <w:rPr>
          <w:b/>
          <w:bCs/>
          <w:sz w:val="17"/>
          <w:szCs w:val="17"/>
        </w:rPr>
        <w:t xml:space="preserve">Table </w:t>
      </w:r>
      <w:r>
        <w:rPr>
          <w:b/>
          <w:bCs/>
          <w:sz w:val="17"/>
          <w:szCs w:val="17"/>
        </w:rPr>
        <w:t>8</w:t>
      </w:r>
      <w:r w:rsidRPr="00321DE6">
        <w:rPr>
          <w:sz w:val="17"/>
          <w:szCs w:val="17"/>
        </w:rPr>
        <w:t xml:space="preserve"> – </w:t>
      </w:r>
      <w:r w:rsidR="004D4D63" w:rsidRPr="004D4D63">
        <w:rPr>
          <w:sz w:val="17"/>
          <w:szCs w:val="17"/>
        </w:rPr>
        <w:t>Distribution families used for stock assets and fleet vintages. Lognormal profiles represent fleet-age or</w:t>
      </w:r>
      <w:r w:rsidR="004D4D63">
        <w:rPr>
          <w:sz w:val="17"/>
          <w:szCs w:val="17"/>
        </w:rPr>
        <w:t xml:space="preserve"> </w:t>
      </w:r>
      <w:r w:rsidR="004D4D63" w:rsidRPr="004D4D63">
        <w:rPr>
          <w:sz w:val="17"/>
          <w:szCs w:val="17"/>
        </w:rPr>
        <w:t>vintage histories with negative offsets, whereas triangular profiles represent finite construction, equipment, or</w:t>
      </w:r>
      <w:r w:rsidR="004D4D63">
        <w:rPr>
          <w:sz w:val="17"/>
          <w:szCs w:val="17"/>
        </w:rPr>
        <w:t xml:space="preserve"> </w:t>
      </w:r>
      <w:r w:rsidR="004D4D63" w:rsidRPr="004D4D63">
        <w:rPr>
          <w:sz w:val="17"/>
          <w:szCs w:val="17"/>
        </w:rPr>
        <w:t>infrastructure lifetime windows</w:t>
      </w:r>
      <w:r w:rsidR="004D4D63">
        <w:rPr>
          <w:sz w:val="17"/>
          <w:szCs w:val="17"/>
        </w:rPr>
        <w:t>.</w:t>
      </w:r>
    </w:p>
    <w:p w14:paraId="7E4F6AF1" w14:textId="63B51949" w:rsidR="00E4260D" w:rsidRDefault="00240788">
      <w:r>
        <w:t>The stock-asset lifetimes range from 1.5 to 200 years, with a median of 20 years</w:t>
      </w:r>
      <w:r w:rsidR="00C3368B">
        <w:t>, as illustrated in Figure 5</w:t>
      </w:r>
      <w:r>
        <w:t>. Examples include short-lived filters and lamps at 1.5 to 2 years, lorry tires at 4 years, reverse-osmosis modules at 5 years, batteries around 10 to 15 years, passenger cars around 14.74 years, trucks around 16 years, wind turbines around 20 years, photovoltaic systems around 30 years, buildings around 35 to 60 years, pipelines around 40 to 50 years, and selected long-lived infrastructure at higher values.</w:t>
      </w:r>
    </w:p>
    <w:p w14:paraId="47C6A29A" w14:textId="615E6DF0" w:rsidR="00E4260D" w:rsidRDefault="00240788">
      <w:r>
        <w:t>For triangular stock profiles, the support is typically negative and finite, for example</w:t>
      </w:r>
      <w:r w:rsidR="00C279D8">
        <w:t>,</w:t>
      </w:r>
      <w:r>
        <w:t xml:space="preserve"> from </w:t>
      </w:r>
      <w:r>
        <w:rPr>
          <w:rFonts w:ascii="Courier New" w:hAnsi="Courier New"/>
          <w:sz w:val="18"/>
        </w:rPr>
        <w:t>-30</w:t>
      </w:r>
      <w:r>
        <w:t xml:space="preserve"> to </w:t>
      </w:r>
      <w:r>
        <w:rPr>
          <w:rFonts w:ascii="Courier New" w:hAnsi="Courier New"/>
          <w:sz w:val="18"/>
        </w:rPr>
        <w:t>-1</w:t>
      </w:r>
      <w:r>
        <w:t xml:space="preserve"> for a 30-year photovoltaic installation. This places the asset production or vintage history before the service represented by the calling activity. For lognormal fleet profiles, the same negative offset convention represents the age distribution of a fleet or technology stock.</w:t>
      </w:r>
    </w:p>
    <w:p w14:paraId="2A58BBF3" w14:textId="76AB7A87" w:rsidR="00E4260D" w:rsidRDefault="00240788">
      <w:r>
        <w:t xml:space="preserve">The source information is mixed. Some stock lifetimes are represented by explicit class assumptions, such as passenger-car, bus, heavy-truck, photovoltaic-system, wind-turbine, industrial-building, pipeline, and battery lifetimes. Other rows use a common fleet-age lognormal </w:t>
      </w:r>
      <w:proofErr w:type="spellStart"/>
      <w:r>
        <w:t>parameteri</w:t>
      </w:r>
      <w:r w:rsidR="00C279D8">
        <w:t>s</w:t>
      </w:r>
      <w:r>
        <w:t>ation</w:t>
      </w:r>
      <w:proofErr w:type="spellEnd"/>
      <w:r>
        <w:t xml:space="preserve">, with </w:t>
      </w:r>
      <w:r>
        <w:rPr>
          <w:rFonts w:ascii="Courier New" w:hAnsi="Courier New"/>
          <w:sz w:val="18"/>
        </w:rPr>
        <w:t>sigma = 0.55</w:t>
      </w:r>
      <w:r>
        <w:t xml:space="preserve"> and the lognormal location convention recorded in the table. The table should therefore be interpreted as a transparent set of timing assumptions for stock-like exchanges, not as an exhaustive component-level asset lifetime database.</w:t>
      </w:r>
    </w:p>
    <w:p w14:paraId="292F1020" w14:textId="77777777" w:rsidR="00E4260D" w:rsidRDefault="00240788" w:rsidP="00F40F54">
      <w:pPr>
        <w:pStyle w:val="figure"/>
        <w:ind w:left="-567"/>
        <w:jc w:val="center"/>
      </w:pPr>
      <w:r>
        <w:rPr>
          <w:noProof/>
        </w:rPr>
        <w:lastRenderedPageBreak/>
        <w:drawing>
          <wp:inline distT="0" distB="0" distL="0" distR="0" wp14:anchorId="72E08F07" wp14:editId="40E098FF">
            <wp:extent cx="5051819" cy="5173884"/>
            <wp:effectExtent l="0" t="0" r="3175" b="0"/>
            <wp:docPr id="5" name="Picture 5" descr="Stock-asset lifetimes by sub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mporal_csv_stock_lifetimes_by_subtype.svg"/>
                    <pic:cNvPicPr/>
                  </pic:nvPicPr>
                  <pic:blipFill>
                    <a:blip r:embed="rId18">
                      <a:extLst>
                        <a:ext uri="{96DAC541-7B7A-43D3-8B79-37D633B846F1}">
                          <asvg:svgBlip xmlns:asvg="http://schemas.microsoft.com/office/drawing/2016/SVG/main" r:embed="rId19"/>
                        </a:ext>
                      </a:extLst>
                    </a:blip>
                    <a:stretch>
                      <a:fillRect/>
                    </a:stretch>
                  </pic:blipFill>
                  <pic:spPr>
                    <a:xfrm>
                      <a:off x="0" y="0"/>
                      <a:ext cx="5067855" cy="5190308"/>
                    </a:xfrm>
                    <a:prstGeom prst="rect">
                      <a:avLst/>
                    </a:prstGeom>
                  </pic:spPr>
                </pic:pic>
              </a:graphicData>
            </a:graphic>
          </wp:inline>
        </w:drawing>
      </w:r>
    </w:p>
    <w:p w14:paraId="0D8A73F8" w14:textId="09BD83BD" w:rsidR="00E4260D" w:rsidRPr="00AB07F8" w:rsidRDefault="00AB07F8" w:rsidP="00814121">
      <w:pPr>
        <w:rPr>
          <w:sz w:val="17"/>
          <w:szCs w:val="17"/>
        </w:rPr>
      </w:pPr>
      <w:r w:rsidRPr="00AB07F8">
        <w:rPr>
          <w:b/>
          <w:bCs/>
          <w:sz w:val="17"/>
          <w:szCs w:val="17"/>
        </w:rPr>
        <w:t>Figure 5</w:t>
      </w:r>
      <w:r w:rsidR="00124AEF" w:rsidRPr="00AB07F8">
        <w:rPr>
          <w:sz w:val="17"/>
          <w:szCs w:val="17"/>
        </w:rPr>
        <w:t xml:space="preserve"> – </w:t>
      </w:r>
      <w:r w:rsidR="00814121" w:rsidRPr="00814121">
        <w:rPr>
          <w:sz w:val="17"/>
          <w:szCs w:val="17"/>
        </w:rPr>
        <w:t>Stock-asset lifetimes by detailed process subtype. Points show individual temporal-distribution rows and</w:t>
      </w:r>
      <w:r w:rsidR="00814121">
        <w:rPr>
          <w:sz w:val="17"/>
          <w:szCs w:val="17"/>
        </w:rPr>
        <w:t xml:space="preserve"> </w:t>
      </w:r>
      <w:r w:rsidR="00814121" w:rsidRPr="00814121">
        <w:rPr>
          <w:sz w:val="17"/>
          <w:szCs w:val="17"/>
        </w:rPr>
        <w:t>boxplots summarize lifetime ranges within interpretive subtypes derived from dataset names, reference products, and</w:t>
      </w:r>
      <w:r w:rsidR="00814121">
        <w:rPr>
          <w:sz w:val="17"/>
          <w:szCs w:val="17"/>
        </w:rPr>
        <w:t xml:space="preserve"> </w:t>
      </w:r>
      <w:r w:rsidR="00814121" w:rsidRPr="00814121">
        <w:rPr>
          <w:sz w:val="17"/>
          <w:szCs w:val="17"/>
        </w:rPr>
        <w:t>source labels; n gives the number of rows in each subtype.</w:t>
      </w:r>
    </w:p>
    <w:p w14:paraId="138FAA7E" w14:textId="518A24E0" w:rsidR="00E4260D" w:rsidRDefault="005A120D">
      <w:r>
        <w:t>S</w:t>
      </w:r>
      <w:r w:rsidR="00240788">
        <w:t>ubtypes in this figure are interpretive groups derived from dataset names, reference products, and source labels in the temporal-distribution table. They are used to make the stock-asset lifetime patterns readable; they are not a separate classification exported b</w:t>
      </w:r>
      <w:r w:rsidR="001016D6">
        <w:t xml:space="preserve">y </w:t>
      </w:r>
      <w:r w:rsidR="001016D6" w:rsidRPr="001016D6">
        <w:rPr>
          <w:i/>
          <w:iCs/>
        </w:rPr>
        <w:t>Premise</w:t>
      </w:r>
      <w:r w:rsidR="00240788">
        <w:t>.</w:t>
      </w:r>
    </w:p>
    <w:p w14:paraId="098C5C7F" w14:textId="4FFAE3C2" w:rsidR="00E4260D" w:rsidRDefault="00240788">
      <w:r>
        <w:t xml:space="preserve">Examples of stock-asset </w:t>
      </w:r>
      <w:r w:rsidR="00C20BD2">
        <w:t>tags are listed in Table 9.</w:t>
      </w:r>
    </w:p>
    <w:tbl>
      <w:tblPr>
        <w:tblStyle w:val="TableGrid"/>
        <w:tblW w:w="5000" w:type="pct"/>
        <w:tblLook w:val="04A0" w:firstRow="1" w:lastRow="0" w:firstColumn="1" w:lastColumn="0" w:noHBand="0" w:noVBand="1"/>
      </w:tblPr>
      <w:tblGrid>
        <w:gridCol w:w="1782"/>
        <w:gridCol w:w="1780"/>
        <w:gridCol w:w="1449"/>
        <w:gridCol w:w="1612"/>
      </w:tblGrid>
      <w:tr w:rsidR="001016D6" w14:paraId="1D5AF82E" w14:textId="77777777" w:rsidTr="00281092">
        <w:tc>
          <w:tcPr>
            <w:tcW w:w="1345" w:type="pct"/>
            <w:shd w:val="clear" w:color="auto" w:fill="D9EAF7"/>
          </w:tcPr>
          <w:p w14:paraId="68C53ADE" w14:textId="77777777" w:rsidR="001016D6" w:rsidRDefault="001016D6">
            <w:r>
              <w:rPr>
                <w:b/>
              </w:rPr>
              <w:lastRenderedPageBreak/>
              <w:t>Dataset</w:t>
            </w:r>
          </w:p>
        </w:tc>
        <w:tc>
          <w:tcPr>
            <w:tcW w:w="1344" w:type="pct"/>
            <w:shd w:val="clear" w:color="auto" w:fill="D9EAF7"/>
          </w:tcPr>
          <w:p w14:paraId="71704278" w14:textId="77777777" w:rsidR="001016D6" w:rsidRDefault="001016D6">
            <w:r>
              <w:rPr>
                <w:b/>
              </w:rPr>
              <w:t>Reference product</w:t>
            </w:r>
          </w:p>
        </w:tc>
        <w:tc>
          <w:tcPr>
            <w:tcW w:w="1094" w:type="pct"/>
            <w:shd w:val="clear" w:color="auto" w:fill="D9EAF7"/>
          </w:tcPr>
          <w:p w14:paraId="7AB2DE0A" w14:textId="77777777" w:rsidR="001016D6" w:rsidRDefault="001016D6">
            <w:r>
              <w:rPr>
                <w:b/>
              </w:rPr>
              <w:t>Lifetime</w:t>
            </w:r>
          </w:p>
        </w:tc>
        <w:tc>
          <w:tcPr>
            <w:tcW w:w="1218" w:type="pct"/>
            <w:shd w:val="clear" w:color="auto" w:fill="D9EAF7"/>
          </w:tcPr>
          <w:p w14:paraId="3AFD2DC7" w14:textId="77777777" w:rsidR="001016D6" w:rsidRDefault="001016D6">
            <w:r>
              <w:rPr>
                <w:b/>
              </w:rPr>
              <w:t>Distribution and support</w:t>
            </w:r>
          </w:p>
        </w:tc>
      </w:tr>
      <w:tr w:rsidR="001016D6" w14:paraId="1218F382" w14:textId="77777777" w:rsidTr="00281092">
        <w:tc>
          <w:tcPr>
            <w:tcW w:w="1345" w:type="pct"/>
          </w:tcPr>
          <w:p w14:paraId="45EFC82A" w14:textId="77777777" w:rsidR="001016D6" w:rsidRDefault="001016D6">
            <w:r>
              <w:rPr>
                <w:rFonts w:ascii="Courier New" w:hAnsi="Courier New"/>
                <w:sz w:val="18"/>
              </w:rPr>
              <w:t>photovoltaic plant construction, 570kWp, multi-Si, on open ground</w:t>
            </w:r>
          </w:p>
        </w:tc>
        <w:tc>
          <w:tcPr>
            <w:tcW w:w="1344" w:type="pct"/>
          </w:tcPr>
          <w:p w14:paraId="1ADEC9BA" w14:textId="77777777" w:rsidR="001016D6" w:rsidRDefault="001016D6">
            <w:r>
              <w:rPr>
                <w:rFonts w:ascii="Courier New" w:hAnsi="Courier New"/>
                <w:sz w:val="18"/>
              </w:rPr>
              <w:t>photovoltaic plant, 570kWp, multi-Si, on open ground</w:t>
            </w:r>
          </w:p>
        </w:tc>
        <w:tc>
          <w:tcPr>
            <w:tcW w:w="1094" w:type="pct"/>
          </w:tcPr>
          <w:p w14:paraId="6FEDAF92" w14:textId="77777777" w:rsidR="001016D6" w:rsidRDefault="001016D6">
            <w:r>
              <w:t>30 years</w:t>
            </w:r>
          </w:p>
        </w:tc>
        <w:tc>
          <w:tcPr>
            <w:tcW w:w="1218" w:type="pct"/>
          </w:tcPr>
          <w:p w14:paraId="0C756D6D" w14:textId="77777777" w:rsidR="001016D6" w:rsidRDefault="001016D6">
            <w:r>
              <w:t xml:space="preserve">Triangular, </w:t>
            </w:r>
            <w:r>
              <w:rPr>
                <w:rFonts w:ascii="Courier New" w:hAnsi="Courier New"/>
                <w:sz w:val="18"/>
              </w:rPr>
              <w:t>-30</w:t>
            </w:r>
            <w:r>
              <w:t xml:space="preserve"> to </w:t>
            </w:r>
            <w:r>
              <w:rPr>
                <w:rFonts w:ascii="Courier New" w:hAnsi="Courier New"/>
                <w:sz w:val="18"/>
              </w:rPr>
              <w:t>-1</w:t>
            </w:r>
            <w:r>
              <w:t>.</w:t>
            </w:r>
          </w:p>
        </w:tc>
      </w:tr>
      <w:tr w:rsidR="001016D6" w14:paraId="20857FD1" w14:textId="77777777" w:rsidTr="00281092">
        <w:tc>
          <w:tcPr>
            <w:tcW w:w="1345" w:type="pct"/>
          </w:tcPr>
          <w:p w14:paraId="62426E5C" w14:textId="77777777" w:rsidR="001016D6" w:rsidRDefault="001016D6">
            <w:r>
              <w:rPr>
                <w:rFonts w:ascii="Courier New" w:hAnsi="Courier New"/>
                <w:sz w:val="18"/>
              </w:rPr>
              <w:t>wind turbine construction, 2.3MW, precast concrete tower, onshore</w:t>
            </w:r>
          </w:p>
        </w:tc>
        <w:tc>
          <w:tcPr>
            <w:tcW w:w="1344" w:type="pct"/>
          </w:tcPr>
          <w:p w14:paraId="299098BD" w14:textId="77777777" w:rsidR="001016D6" w:rsidRDefault="001016D6">
            <w:r>
              <w:rPr>
                <w:rFonts w:ascii="Courier New" w:hAnsi="Courier New"/>
                <w:sz w:val="18"/>
              </w:rPr>
              <w:t>wind turbine, 2.3MW, onshore</w:t>
            </w:r>
          </w:p>
        </w:tc>
        <w:tc>
          <w:tcPr>
            <w:tcW w:w="1094" w:type="pct"/>
          </w:tcPr>
          <w:p w14:paraId="2B4051EB" w14:textId="77777777" w:rsidR="001016D6" w:rsidRDefault="001016D6">
            <w:r>
              <w:t>20 years</w:t>
            </w:r>
          </w:p>
        </w:tc>
        <w:tc>
          <w:tcPr>
            <w:tcW w:w="1218" w:type="pct"/>
          </w:tcPr>
          <w:p w14:paraId="5D93743E" w14:textId="77777777" w:rsidR="001016D6" w:rsidRDefault="001016D6">
            <w:r>
              <w:t xml:space="preserve">Triangular, </w:t>
            </w:r>
            <w:r>
              <w:rPr>
                <w:rFonts w:ascii="Courier New" w:hAnsi="Courier New"/>
                <w:sz w:val="18"/>
              </w:rPr>
              <w:t>-20</w:t>
            </w:r>
            <w:r>
              <w:t xml:space="preserve"> to </w:t>
            </w:r>
            <w:r>
              <w:rPr>
                <w:rFonts w:ascii="Courier New" w:hAnsi="Courier New"/>
                <w:sz w:val="18"/>
              </w:rPr>
              <w:t>-1</w:t>
            </w:r>
            <w:r>
              <w:t>.</w:t>
            </w:r>
          </w:p>
        </w:tc>
      </w:tr>
      <w:tr w:rsidR="001016D6" w14:paraId="7CCD5145" w14:textId="77777777" w:rsidTr="00281092">
        <w:tc>
          <w:tcPr>
            <w:tcW w:w="1345" w:type="pct"/>
          </w:tcPr>
          <w:p w14:paraId="3C8537B0" w14:textId="77777777" w:rsidR="001016D6" w:rsidRDefault="001016D6">
            <w:r>
              <w:rPr>
                <w:rFonts w:ascii="Courier New" w:hAnsi="Courier New"/>
                <w:sz w:val="18"/>
              </w:rPr>
              <w:t>passenger car production, petrol/natural gas</w:t>
            </w:r>
          </w:p>
        </w:tc>
        <w:tc>
          <w:tcPr>
            <w:tcW w:w="1344" w:type="pct"/>
          </w:tcPr>
          <w:p w14:paraId="5DB62EB5" w14:textId="77777777" w:rsidR="001016D6" w:rsidRDefault="001016D6">
            <w:r>
              <w:rPr>
                <w:rFonts w:ascii="Courier New" w:hAnsi="Courier New"/>
                <w:sz w:val="18"/>
              </w:rPr>
              <w:t>passenger car, petrol/natural gas</w:t>
            </w:r>
          </w:p>
        </w:tc>
        <w:tc>
          <w:tcPr>
            <w:tcW w:w="1094" w:type="pct"/>
          </w:tcPr>
          <w:p w14:paraId="312AB271" w14:textId="77777777" w:rsidR="001016D6" w:rsidRDefault="001016D6">
            <w:r>
              <w:t>14.74 years</w:t>
            </w:r>
          </w:p>
        </w:tc>
        <w:tc>
          <w:tcPr>
            <w:tcW w:w="1218" w:type="pct"/>
          </w:tcPr>
          <w:p w14:paraId="4E0C66FA" w14:textId="77777777" w:rsidR="001016D6" w:rsidRDefault="001016D6">
            <w:r>
              <w:t xml:space="preserve">Lognormal fleet-age profile, approximately </w:t>
            </w:r>
            <w:r>
              <w:rPr>
                <w:rFonts w:ascii="Courier New" w:hAnsi="Courier New"/>
                <w:sz w:val="18"/>
              </w:rPr>
              <w:t>-15.28</w:t>
            </w:r>
            <w:r>
              <w:t xml:space="preserve"> to </w:t>
            </w:r>
            <w:r>
              <w:rPr>
                <w:rFonts w:ascii="Courier New" w:hAnsi="Courier New"/>
                <w:sz w:val="18"/>
              </w:rPr>
              <w:t>-1</w:t>
            </w:r>
            <w:r>
              <w:t>.</w:t>
            </w:r>
          </w:p>
        </w:tc>
      </w:tr>
      <w:tr w:rsidR="001016D6" w14:paraId="68943D6C" w14:textId="77777777" w:rsidTr="00281092">
        <w:tc>
          <w:tcPr>
            <w:tcW w:w="1345" w:type="pct"/>
          </w:tcPr>
          <w:p w14:paraId="6BB3C9D0" w14:textId="77777777" w:rsidR="001016D6" w:rsidRDefault="001016D6">
            <w:r>
              <w:rPr>
                <w:rFonts w:ascii="Courier New" w:hAnsi="Courier New"/>
                <w:sz w:val="18"/>
              </w:rPr>
              <w:t>lorry production, diesel hybrid, 3.5 metric ton</w:t>
            </w:r>
          </w:p>
        </w:tc>
        <w:tc>
          <w:tcPr>
            <w:tcW w:w="1344" w:type="pct"/>
          </w:tcPr>
          <w:p w14:paraId="6B52133E" w14:textId="77777777" w:rsidR="001016D6" w:rsidRDefault="001016D6">
            <w:r>
              <w:rPr>
                <w:rFonts w:ascii="Courier New" w:hAnsi="Courier New"/>
                <w:sz w:val="18"/>
              </w:rPr>
              <w:t>truck</w:t>
            </w:r>
          </w:p>
        </w:tc>
        <w:tc>
          <w:tcPr>
            <w:tcW w:w="1094" w:type="pct"/>
          </w:tcPr>
          <w:p w14:paraId="46B913E7" w14:textId="77777777" w:rsidR="001016D6" w:rsidRDefault="001016D6">
            <w:r>
              <w:t>16 years</w:t>
            </w:r>
          </w:p>
        </w:tc>
        <w:tc>
          <w:tcPr>
            <w:tcW w:w="1218" w:type="pct"/>
          </w:tcPr>
          <w:p w14:paraId="453D71CA" w14:textId="77777777" w:rsidR="001016D6" w:rsidRDefault="001016D6">
            <w:r>
              <w:t xml:space="preserve">Lognormal fleet-age profile, </w:t>
            </w:r>
            <w:r>
              <w:rPr>
                <w:rFonts w:ascii="Courier New" w:hAnsi="Courier New"/>
                <w:sz w:val="18"/>
              </w:rPr>
              <w:t>-16</w:t>
            </w:r>
            <w:r>
              <w:t xml:space="preserve"> to </w:t>
            </w:r>
            <w:r>
              <w:rPr>
                <w:rFonts w:ascii="Courier New" w:hAnsi="Courier New"/>
                <w:sz w:val="18"/>
              </w:rPr>
              <w:t>-1</w:t>
            </w:r>
            <w:r>
              <w:t>.</w:t>
            </w:r>
          </w:p>
        </w:tc>
      </w:tr>
      <w:tr w:rsidR="001016D6" w14:paraId="5D350D14" w14:textId="77777777" w:rsidTr="00281092">
        <w:tc>
          <w:tcPr>
            <w:tcW w:w="1345" w:type="pct"/>
          </w:tcPr>
          <w:p w14:paraId="1A0538E5" w14:textId="77777777" w:rsidR="001016D6" w:rsidRDefault="001016D6">
            <w:r>
              <w:rPr>
                <w:rFonts w:ascii="Courier New" w:hAnsi="Courier New"/>
                <w:sz w:val="18"/>
              </w:rPr>
              <w:t>pipeline construction, natural gas, long distance, low capacity, onshore</w:t>
            </w:r>
          </w:p>
        </w:tc>
        <w:tc>
          <w:tcPr>
            <w:tcW w:w="1344" w:type="pct"/>
          </w:tcPr>
          <w:p w14:paraId="556468CE" w14:textId="77777777" w:rsidR="001016D6" w:rsidRDefault="001016D6">
            <w:r>
              <w:rPr>
                <w:rFonts w:ascii="Courier New" w:hAnsi="Courier New"/>
                <w:sz w:val="18"/>
              </w:rPr>
              <w:t>pipeline, natural gas, long distance, low capacity, onshore</w:t>
            </w:r>
          </w:p>
        </w:tc>
        <w:tc>
          <w:tcPr>
            <w:tcW w:w="1094" w:type="pct"/>
          </w:tcPr>
          <w:p w14:paraId="081588D9" w14:textId="77777777" w:rsidR="001016D6" w:rsidRDefault="001016D6">
            <w:r>
              <w:t>40 years</w:t>
            </w:r>
          </w:p>
        </w:tc>
        <w:tc>
          <w:tcPr>
            <w:tcW w:w="1218" w:type="pct"/>
          </w:tcPr>
          <w:p w14:paraId="3D2F906C" w14:textId="77777777" w:rsidR="001016D6" w:rsidRDefault="001016D6">
            <w:r>
              <w:t xml:space="preserve">Triangular, </w:t>
            </w:r>
            <w:r>
              <w:rPr>
                <w:rFonts w:ascii="Courier New" w:hAnsi="Courier New"/>
                <w:sz w:val="18"/>
              </w:rPr>
              <w:t>-40</w:t>
            </w:r>
            <w:r>
              <w:t xml:space="preserve"> to </w:t>
            </w:r>
            <w:r>
              <w:rPr>
                <w:rFonts w:ascii="Courier New" w:hAnsi="Courier New"/>
                <w:sz w:val="18"/>
              </w:rPr>
              <w:t>-1</w:t>
            </w:r>
            <w:r>
              <w:t>.</w:t>
            </w:r>
          </w:p>
        </w:tc>
      </w:tr>
      <w:tr w:rsidR="001016D6" w14:paraId="37C9F0F8" w14:textId="77777777" w:rsidTr="00281092">
        <w:tc>
          <w:tcPr>
            <w:tcW w:w="1345" w:type="pct"/>
          </w:tcPr>
          <w:p w14:paraId="5743AA28" w14:textId="77777777" w:rsidR="001016D6" w:rsidRDefault="001016D6">
            <w:r>
              <w:rPr>
                <w:rFonts w:ascii="Courier New" w:hAnsi="Courier New"/>
                <w:sz w:val="18"/>
              </w:rPr>
              <w:t>battery production, Li-ion, LFP, rechargeable</w:t>
            </w:r>
          </w:p>
        </w:tc>
        <w:tc>
          <w:tcPr>
            <w:tcW w:w="1344" w:type="pct"/>
          </w:tcPr>
          <w:p w14:paraId="59E39DF7" w14:textId="77777777" w:rsidR="001016D6" w:rsidRDefault="001016D6">
            <w:r>
              <w:rPr>
                <w:rFonts w:ascii="Courier New" w:hAnsi="Courier New"/>
                <w:sz w:val="18"/>
              </w:rPr>
              <w:t>battery, Li-ion, LFP, rechargeable</w:t>
            </w:r>
          </w:p>
        </w:tc>
        <w:tc>
          <w:tcPr>
            <w:tcW w:w="1094" w:type="pct"/>
          </w:tcPr>
          <w:p w14:paraId="0C2FF9FB" w14:textId="77777777" w:rsidR="001016D6" w:rsidRDefault="001016D6">
            <w:r>
              <w:t>10 years</w:t>
            </w:r>
          </w:p>
        </w:tc>
        <w:tc>
          <w:tcPr>
            <w:tcW w:w="1218" w:type="pct"/>
          </w:tcPr>
          <w:p w14:paraId="2795BF38" w14:textId="77777777" w:rsidR="001016D6" w:rsidRDefault="001016D6">
            <w:r>
              <w:t xml:space="preserve">Triangular, </w:t>
            </w:r>
            <w:r>
              <w:rPr>
                <w:rFonts w:ascii="Courier New" w:hAnsi="Courier New"/>
                <w:sz w:val="18"/>
              </w:rPr>
              <w:t>-10</w:t>
            </w:r>
            <w:r>
              <w:t xml:space="preserve"> to </w:t>
            </w:r>
            <w:r>
              <w:rPr>
                <w:rFonts w:ascii="Courier New" w:hAnsi="Courier New"/>
                <w:sz w:val="18"/>
              </w:rPr>
              <w:t>-1</w:t>
            </w:r>
            <w:r>
              <w:t>.</w:t>
            </w:r>
          </w:p>
        </w:tc>
      </w:tr>
    </w:tbl>
    <w:p w14:paraId="592E2E76" w14:textId="7C00F39B" w:rsidR="00E4260D" w:rsidRPr="00281092" w:rsidRDefault="00281092" w:rsidP="004C74A9">
      <w:pPr>
        <w:rPr>
          <w:sz w:val="17"/>
          <w:szCs w:val="17"/>
        </w:rPr>
      </w:pPr>
      <w:r w:rsidRPr="00321DE6">
        <w:rPr>
          <w:b/>
          <w:bCs/>
          <w:sz w:val="17"/>
          <w:szCs w:val="17"/>
        </w:rPr>
        <w:t xml:space="preserve">Table </w:t>
      </w:r>
      <w:r>
        <w:rPr>
          <w:b/>
          <w:bCs/>
          <w:sz w:val="17"/>
          <w:szCs w:val="17"/>
        </w:rPr>
        <w:t>9</w:t>
      </w:r>
      <w:r w:rsidRPr="00321DE6">
        <w:rPr>
          <w:sz w:val="17"/>
          <w:szCs w:val="17"/>
        </w:rPr>
        <w:t xml:space="preserve"> – </w:t>
      </w:r>
      <w:r w:rsidR="004C74A9" w:rsidRPr="004C74A9">
        <w:rPr>
          <w:sz w:val="17"/>
          <w:szCs w:val="17"/>
        </w:rPr>
        <w:t>Examples of stock-asset temporalization. Each row gives the matched supplier dataset, reference product,</w:t>
      </w:r>
      <w:r w:rsidR="004C74A9">
        <w:rPr>
          <w:sz w:val="17"/>
          <w:szCs w:val="17"/>
        </w:rPr>
        <w:t xml:space="preserve"> </w:t>
      </w:r>
      <w:r w:rsidR="004C74A9" w:rsidRPr="004C74A9">
        <w:rPr>
          <w:sz w:val="17"/>
          <w:szCs w:val="17"/>
        </w:rPr>
        <w:t>assumed lifetime, and profile support written to the calling technosphere exchange</w:t>
      </w:r>
      <w:r>
        <w:rPr>
          <w:sz w:val="17"/>
          <w:szCs w:val="17"/>
        </w:rPr>
        <w:t>.</w:t>
      </w:r>
    </w:p>
    <w:p w14:paraId="5BB952EF" w14:textId="67528E9F" w:rsidR="00E4260D" w:rsidRDefault="00240788" w:rsidP="00E91034">
      <w:pPr>
        <w:pStyle w:val="Heading20"/>
        <w:numPr>
          <w:ilvl w:val="1"/>
          <w:numId w:val="46"/>
        </w:numPr>
      </w:pPr>
      <w:bookmarkStart w:id="10" w:name="_Toc233129508"/>
      <w:r>
        <w:t>Maintenance</w:t>
      </w:r>
      <w:bookmarkEnd w:id="10"/>
    </w:p>
    <w:p w14:paraId="6FAF9481" w14:textId="2591C0A7" w:rsidR="00E4260D" w:rsidRDefault="00240788">
      <w:r>
        <w:t xml:space="preserve">Maintenance </w:t>
      </w:r>
      <w:r w:rsidR="007070A1">
        <w:t>entries</w:t>
      </w:r>
      <w:r>
        <w:t xml:space="preserve"> do not usually carry their own lifetime. They identify suppliers that should be interpreted as maintenance demand when a stock-like dataset</w:t>
      </w:r>
      <w:r w:rsidR="00C279D8">
        <w:t xml:space="preserve"> calls them</w:t>
      </w:r>
      <w:r>
        <w:t>. The lifetime is taken from the calling dataset.</w:t>
      </w:r>
    </w:p>
    <w:p w14:paraId="3DE11877" w14:textId="37F0A489" w:rsidR="00E4260D" w:rsidRDefault="00240788">
      <w:r>
        <w:lastRenderedPageBreak/>
        <w:t xml:space="preserve">The exchange being </w:t>
      </w:r>
      <w:proofErr w:type="spellStart"/>
      <w:r>
        <w:t>temporali</w:t>
      </w:r>
      <w:r w:rsidR="00C279D8">
        <w:t>s</w:t>
      </w:r>
      <w:r>
        <w:t>ed</w:t>
      </w:r>
      <w:proofErr w:type="spellEnd"/>
      <w:r>
        <w:t xml:space="preserve"> is a technosphere exchange </w:t>
      </w:r>
      <w:r w:rsidR="00C279D8">
        <w:t>with</w:t>
      </w:r>
      <w:r>
        <w:t xml:space="preserve"> a maintenance or repair supplier. Typical examples </w:t>
      </w:r>
      <w:r w:rsidR="00C279D8">
        <w:t>includ</w:t>
      </w:r>
      <w:r>
        <w:t xml:space="preserve">e </w:t>
      </w:r>
      <w:r w:rsidR="00C279D8">
        <w:t>dataset</w:t>
      </w:r>
      <w:r>
        <w:t xml:space="preserve">s </w:t>
      </w:r>
      <w:r w:rsidR="00C279D8">
        <w:t>from</w:t>
      </w:r>
      <w:r>
        <w:t xml:space="preserve"> vehicle maintenance, electric-scooter maintenance, road maintenance, transmission-network maintenance, aircraft maintenance, ship maintenance, mine maintenance, or energy-system maintenance. These suppliers do not define the lifetime of the maintained system. Instead, they define the type of exchange that should be spread through time when it appears in a dataset with a known lifetime</w:t>
      </w:r>
      <w:r w:rsidR="00EC2495">
        <w:t>, as illustrated in Figure 6</w:t>
      </w:r>
      <w:r>
        <w:t>.</w:t>
      </w:r>
    </w:p>
    <w:p w14:paraId="7F7473F4" w14:textId="77777777" w:rsidR="00E4260D" w:rsidRDefault="00240788" w:rsidP="007070A1">
      <w:pPr>
        <w:pStyle w:val="figure"/>
        <w:ind w:left="-1418"/>
        <w:jc w:val="center"/>
      </w:pPr>
      <w:r>
        <w:rPr>
          <w:noProof/>
        </w:rPr>
        <w:drawing>
          <wp:inline distT="0" distB="0" distL="0" distR="0" wp14:anchorId="32848D69" wp14:editId="2231BF07">
            <wp:extent cx="5760720" cy="1528354"/>
            <wp:effectExtent l="0" t="0" r="0" b="0"/>
            <wp:docPr id="6" name="Picture 6" descr="Maintenance and end-of-life ti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intenance_eol_timing_schematic.svg"/>
                    <pic:cNvPicPr/>
                  </pic:nvPicPr>
                  <pic:blipFill>
                    <a:blip r:embed="rId20">
                      <a:extLst>
                        <a:ext uri="{96DAC541-7B7A-43D3-8B79-37D633B846F1}">
                          <asvg:svgBlip xmlns:asvg="http://schemas.microsoft.com/office/drawing/2016/SVG/main" r:embed="rId21"/>
                        </a:ext>
                      </a:extLst>
                    </a:blip>
                    <a:stretch>
                      <a:fillRect/>
                    </a:stretch>
                  </pic:blipFill>
                  <pic:spPr>
                    <a:xfrm>
                      <a:off x="0" y="0"/>
                      <a:ext cx="5760720" cy="1528354"/>
                    </a:xfrm>
                    <a:prstGeom prst="rect">
                      <a:avLst/>
                    </a:prstGeom>
                  </pic:spPr>
                </pic:pic>
              </a:graphicData>
            </a:graphic>
          </wp:inline>
        </w:drawing>
      </w:r>
    </w:p>
    <w:p w14:paraId="319158F8" w14:textId="143A1CB0" w:rsidR="00E4260D" w:rsidRPr="00F867DD" w:rsidRDefault="00F867DD" w:rsidP="006353CA">
      <w:pPr>
        <w:pStyle w:val="fignotes"/>
      </w:pPr>
      <w:r w:rsidRPr="00F867DD">
        <w:rPr>
          <w:b/>
          <w:bCs/>
          <w:szCs w:val="17"/>
        </w:rPr>
        <w:t>Figure 6</w:t>
      </w:r>
      <w:r w:rsidRPr="00F867DD">
        <w:rPr>
          <w:szCs w:val="17"/>
        </w:rPr>
        <w:t xml:space="preserve"> – </w:t>
      </w:r>
      <w:r w:rsidR="006353CA">
        <w:t>Timing convention for maintenance and end-of-life exchanges. Maintenance demand is distributed uniformly</w:t>
      </w:r>
      <w:r w:rsidR="006353CA">
        <w:t xml:space="preserve"> </w:t>
      </w:r>
      <w:r w:rsidR="006353CA">
        <w:t>from the anchor year through the inherited lifetime of the calling stock-like dataset, whereas end-of-life demand is</w:t>
      </w:r>
      <w:r w:rsidR="006353CA">
        <w:t xml:space="preserve"> </w:t>
      </w:r>
      <w:r w:rsidR="006353CA">
        <w:t>represented as a pulse at the end of that lifetime</w:t>
      </w:r>
      <w:r w:rsidRPr="00F867DD">
        <w:t>.</w:t>
      </w:r>
    </w:p>
    <w:p w14:paraId="483AD392" w14:textId="66E8EDD6" w:rsidR="00E4260D" w:rsidRDefault="00240788">
      <w:r>
        <w:t xml:space="preserve">Maintenance is therefore </w:t>
      </w:r>
      <w:r w:rsidR="00C279D8">
        <w:t>applie</w:t>
      </w:r>
      <w:r>
        <w:t>d uniformly from the anchor year t</w:t>
      </w:r>
      <w:r w:rsidR="00C279D8">
        <w:t>hrough</w:t>
      </w:r>
      <w:r>
        <w:t xml:space="preserve"> the end of the calling dataset</w:t>
      </w:r>
      <w:r w:rsidR="00C279D8">
        <w:t>’s</w:t>
      </w:r>
      <w:r>
        <w:t xml:space="preserve"> lifetime. If a 30-year stock activity calls a maintenance supplier, the maintenance exchange is spread from year 0 to year 30. If a 20-year stock activity calls the same supplier, the same maintenance supplier is instead spread from year 0 to year 20. The temporal profile </w:t>
      </w:r>
      <w:r w:rsidR="00C279D8">
        <w:t>reflects</w:t>
      </w:r>
      <w:r>
        <w:t xml:space="preserve"> the exchange between stock activity and the maintenance supplier; it is not a fixed property of the maintenance supplier alone.</w:t>
      </w:r>
    </w:p>
    <w:p w14:paraId="13D35EA9" w14:textId="0321697B" w:rsidR="00E4260D" w:rsidRDefault="00673ADE">
      <w:r>
        <w:t xml:space="preserve">Typical maintenance-type entries include vehicle maintenance, road maintenance, transmission-network maintenance, and selected reused or refurbished components. </w:t>
      </w:r>
      <w:r w:rsidR="00FB2026">
        <w:t>They</w:t>
      </w:r>
      <w:r>
        <w:t xml:space="preserve"> </w:t>
      </w:r>
      <w:r w:rsidR="00C279D8">
        <w:t xml:space="preserve">are </w:t>
      </w:r>
      <w:r>
        <w:t>on the lifetime of the activity that calls the maintenance exchange. The provenance information for maintenance is</w:t>
      </w:r>
      <w:r w:rsidR="00C279D8">
        <w:t>,</w:t>
      </w:r>
      <w:r>
        <w:t xml:space="preserve"> therefore</w:t>
      </w:r>
      <w:r w:rsidR="00C279D8">
        <w:t>,</w:t>
      </w:r>
      <w:r>
        <w:t xml:space="preserve"> mostly heuristic and class-level. Examples include </w:t>
      </w:r>
      <w:proofErr w:type="spellStart"/>
      <w:r>
        <w:rPr>
          <w:rFonts w:ascii="Courier New" w:hAnsi="Courier New"/>
          <w:sz w:val="18"/>
        </w:rPr>
        <w:t>maintenance_ship_default</w:t>
      </w:r>
      <w:proofErr w:type="spellEnd"/>
      <w:r>
        <w:t xml:space="preserve">, </w:t>
      </w:r>
      <w:proofErr w:type="spellStart"/>
      <w:r>
        <w:rPr>
          <w:rFonts w:ascii="Courier New" w:hAnsi="Courier New"/>
          <w:sz w:val="18"/>
        </w:rPr>
        <w:t>maintenance_energy_system_default</w:t>
      </w:r>
      <w:proofErr w:type="spellEnd"/>
      <w:r>
        <w:t xml:space="preserve">, </w:t>
      </w:r>
      <w:proofErr w:type="spellStart"/>
      <w:r>
        <w:rPr>
          <w:rFonts w:ascii="Courier New" w:hAnsi="Courier New"/>
          <w:sz w:val="18"/>
        </w:rPr>
        <w:t>maintenance_aircraft_default</w:t>
      </w:r>
      <w:proofErr w:type="spellEnd"/>
      <w:r>
        <w:t xml:space="preserve">, </w:t>
      </w:r>
      <w:proofErr w:type="spellStart"/>
      <w:r>
        <w:rPr>
          <w:rFonts w:ascii="Courier New" w:hAnsi="Courier New"/>
          <w:sz w:val="18"/>
        </w:rPr>
        <w:t>maintenance_mine_default</w:t>
      </w:r>
      <w:proofErr w:type="spellEnd"/>
      <w:r>
        <w:t xml:space="preserve">, and </w:t>
      </w:r>
      <w:proofErr w:type="spellStart"/>
      <w:r>
        <w:rPr>
          <w:rFonts w:ascii="Courier New" w:hAnsi="Courier New"/>
          <w:sz w:val="18"/>
        </w:rPr>
        <w:t>maintenance_road_vehicle_default</w:t>
      </w:r>
      <w:proofErr w:type="spellEnd"/>
      <w:r>
        <w:t>.</w:t>
      </w:r>
    </w:p>
    <w:p w14:paraId="2EE32BF9" w14:textId="77777777" w:rsidR="00E4260D" w:rsidRDefault="00240788">
      <w:r>
        <w:t xml:space="preserve">Representative supplier datasets include </w:t>
      </w:r>
      <w:r>
        <w:rPr>
          <w:rFonts w:ascii="Courier New" w:hAnsi="Courier New"/>
          <w:sz w:val="18"/>
        </w:rPr>
        <w:t>maintenance, passenger car</w:t>
      </w:r>
      <w:r>
        <w:t xml:space="preserve">, </w:t>
      </w:r>
      <w:r>
        <w:rPr>
          <w:rFonts w:ascii="Courier New" w:hAnsi="Courier New"/>
          <w:sz w:val="18"/>
        </w:rPr>
        <w:t>maintenance, electric scooter, without battery</w:t>
      </w:r>
      <w:r>
        <w:t xml:space="preserve">, </w:t>
      </w:r>
      <w:r>
        <w:rPr>
          <w:rFonts w:ascii="Courier New" w:hAnsi="Courier New"/>
          <w:sz w:val="18"/>
        </w:rPr>
        <w:t>road maintenance</w:t>
      </w:r>
      <w:r>
        <w:t xml:space="preserve">, transmission-network maintenance for high-voltage direct-current land cables, and </w:t>
      </w:r>
      <w:r>
        <w:rPr>
          <w:rFonts w:ascii="Courier New" w:hAnsi="Courier New"/>
          <w:sz w:val="18"/>
        </w:rPr>
        <w:t>maintenance, bus</w:t>
      </w:r>
      <w:r>
        <w:t>. These rows make the maintenance exchange time-dependent only when they are used by a calling dataset for which a lifetime is avail</w:t>
      </w:r>
      <w:r>
        <w:lastRenderedPageBreak/>
        <w:t xml:space="preserve">able. If no calling-dataset lifetime is available, </w:t>
      </w:r>
      <w:r>
        <w:rPr>
          <w:rFonts w:ascii="Courier New" w:hAnsi="Courier New"/>
          <w:sz w:val="18"/>
        </w:rPr>
        <w:t>premise</w:t>
      </w:r>
      <w:r>
        <w:t xml:space="preserve"> does not guess one; it reports the exchange in </w:t>
      </w:r>
      <w:r>
        <w:rPr>
          <w:rFonts w:ascii="Courier New" w:hAnsi="Courier New"/>
          <w:sz w:val="18"/>
        </w:rPr>
        <w:t>temporal_distribution_faulty_exchanges.csv</w:t>
      </w:r>
      <w:r>
        <w:t>.</w:t>
      </w:r>
    </w:p>
    <w:p w14:paraId="5C1ABA3C" w14:textId="5D3B561E" w:rsidR="00E4260D" w:rsidRDefault="00240788" w:rsidP="00A0674D">
      <w:pPr>
        <w:pStyle w:val="Heading20"/>
        <w:numPr>
          <w:ilvl w:val="1"/>
          <w:numId w:val="46"/>
        </w:numPr>
      </w:pPr>
      <w:bookmarkStart w:id="11" w:name="_Toc233129509"/>
      <w:r>
        <w:t>End-of-life</w:t>
      </w:r>
      <w:bookmarkEnd w:id="11"/>
    </w:p>
    <w:p w14:paraId="08677448" w14:textId="7645A8C9" w:rsidR="00E4260D" w:rsidRDefault="00240788">
      <w:r>
        <w:t xml:space="preserve">End-of-life </w:t>
      </w:r>
      <w:r w:rsidR="00FB2026">
        <w:t>entries</w:t>
      </w:r>
      <w:r>
        <w:t xml:space="preserve"> identify suppliers that should occur after a stock-like activity reaches the end of its lifetime. As with maintenance, the relevant lifetime is generally taken from the calling dataset. When a lifetime is available,</w:t>
      </w:r>
      <w:r w:rsidR="00FB2026">
        <w:t xml:space="preserve"> </w:t>
      </w:r>
      <w:r w:rsidR="00FB2026" w:rsidRPr="00FB2026">
        <w:rPr>
          <w:i/>
          <w:iCs/>
        </w:rPr>
        <w:t>Premise</w:t>
      </w:r>
      <w:r w:rsidR="00FB2026">
        <w:t xml:space="preserve"> </w:t>
      </w:r>
      <w:r>
        <w:t>writes an empirical one-pulse distribution:</w:t>
      </w:r>
    </w:p>
    <w:p w14:paraId="03E49187" w14:textId="77777777" w:rsidR="00E4260D" w:rsidRDefault="00240788">
      <w:pPr>
        <w:pStyle w:val="computercode"/>
      </w:pPr>
      <w:proofErr w:type="spellStart"/>
      <w:r>
        <w:t>temporal_distribution</w:t>
      </w:r>
      <w:proofErr w:type="spellEnd"/>
      <w:r>
        <w:t xml:space="preserve"> = 6</w:t>
      </w:r>
    </w:p>
    <w:p w14:paraId="72AF9153" w14:textId="67CD8954" w:rsidR="00E4260D" w:rsidRDefault="00240788">
      <w:pPr>
        <w:pStyle w:val="computercode"/>
      </w:pPr>
      <w:proofErr w:type="spellStart"/>
      <w:r>
        <w:t>temporal_offsets</w:t>
      </w:r>
      <w:proofErr w:type="spellEnd"/>
      <w:r>
        <w:t xml:space="preserve"> = [&lt;calling dataset lifetime&gt;</w:t>
      </w:r>
      <w:r w:rsidR="00B320A1">
        <w:t xml:space="preserve"> + 1</w:t>
      </w:r>
      <w:r>
        <w:t>]</w:t>
      </w:r>
    </w:p>
    <w:p w14:paraId="54672093" w14:textId="77777777" w:rsidR="00E4260D" w:rsidRDefault="00240788">
      <w:pPr>
        <w:pStyle w:val="computercode"/>
      </w:pPr>
      <w:proofErr w:type="spellStart"/>
      <w:r>
        <w:t>temporal_weights</w:t>
      </w:r>
      <w:proofErr w:type="spellEnd"/>
      <w:r>
        <w:t xml:space="preserve"> = [1.0]</w:t>
      </w:r>
    </w:p>
    <w:p w14:paraId="1359982C" w14:textId="78CAABF3" w:rsidR="00E4260D" w:rsidRDefault="00240788">
      <w:r>
        <w:t xml:space="preserve">The exchange being </w:t>
      </w:r>
      <w:proofErr w:type="spellStart"/>
      <w:r>
        <w:t>temporali</w:t>
      </w:r>
      <w:r w:rsidR="00517206">
        <w:t>s</w:t>
      </w:r>
      <w:r>
        <w:t>ed</w:t>
      </w:r>
      <w:proofErr w:type="spellEnd"/>
      <w:r>
        <w:t xml:space="preserve"> is a technosphere exchange to an end-of-life, treatment, dismantling, recycling, closure, disposal, or decommissioning supplier. The pulse is placed at the </w:t>
      </w:r>
      <w:r w:rsidR="00B320A1">
        <w:t xml:space="preserve">end of the </w:t>
      </w:r>
      <w:r>
        <w:t>calling dataset</w:t>
      </w:r>
      <w:r w:rsidR="00517206">
        <w:t>'s lifetime</w:t>
      </w:r>
      <w:r>
        <w:t>. Thus, if a 40-year power-plant construction dataset calls a dismantling supplier, the dismantling exchange is assigned to year 4</w:t>
      </w:r>
      <w:r w:rsidR="00B320A1">
        <w:t>1</w:t>
      </w:r>
      <w:r>
        <w:t>. If a 10-year battery stock calls a battery treatment supplier, the treatment exchange is assigned to year 1</w:t>
      </w:r>
      <w:r w:rsidR="00B320A1">
        <w:t>1</w:t>
      </w:r>
      <w:r>
        <w:t>.</w:t>
      </w:r>
    </w:p>
    <w:p w14:paraId="6F2F919E" w14:textId="133DD617" w:rsidR="00E4260D" w:rsidRDefault="00C42D84">
      <w:r>
        <w:t>End-of-life entries include battery deactivation, battery</w:t>
      </w:r>
      <w:r w:rsidR="00517206">
        <w:t xml:space="preserve"> </w:t>
      </w:r>
      <w:r>
        <w:t>module disassembly, recycling steps, container disposal, deep-well closure, power</w:t>
      </w:r>
      <w:r w:rsidR="00517206">
        <w:t xml:space="preserve"> </w:t>
      </w:r>
      <w:r>
        <w:t xml:space="preserve">plant dismantling, and decommissioning datasets. The largest group </w:t>
      </w:r>
      <w:r w:rsidR="00517206">
        <w:t>consists of</w:t>
      </w:r>
      <w:r>
        <w:t xml:space="preserve"> waste, residue, and treatment-related rows under </w:t>
      </w:r>
      <w:r w:rsidR="00517206">
        <w:t xml:space="preserve">the </w:t>
      </w:r>
      <w:r>
        <w:t>CPC prefix 39</w:t>
      </w:r>
      <w:r w:rsidR="00517206">
        <w:t>.</w:t>
      </w:r>
      <w:r>
        <w:t xml:space="preserve"> </w:t>
      </w:r>
      <w:r w:rsidR="00517206">
        <w:t>Still,</w:t>
      </w:r>
      <w:r>
        <w:t xml:space="preserve"> the tag also appears </w:t>
      </w:r>
      <w:r w:rsidR="00517206">
        <w:t>in</w:t>
      </w:r>
      <w:r>
        <w:t xml:space="preserve"> battery-related rows, construction and decommissioning rows, and selected machinery or chemical-treatment datasets.</w:t>
      </w:r>
    </w:p>
    <w:p w14:paraId="0EF25F1A" w14:textId="77777777" w:rsidR="00E4260D" w:rsidRDefault="00240788">
      <w:r>
        <w:t>Most end-of-life timing is inherited from the calling dataset. Some end-of-life treatment datasets also carry a 1-year heuristic lifetime in the table. These values document short-delay treatment assumptions and can be used when such a dataset is itself the calling dataset for another marked exchange. They do not replace the general rule that an end-of-life supplier is normally placed at the lifetime of the activity that calls it.</w:t>
      </w:r>
    </w:p>
    <w:p w14:paraId="03370FF0" w14:textId="05C3725F" w:rsidR="00E4260D" w:rsidRDefault="00240788">
      <w:r>
        <w:t>The source content a</w:t>
      </w:r>
      <w:r w:rsidR="00517206">
        <w:t>ssociat</w:t>
      </w:r>
      <w:r>
        <w:t xml:space="preserve">ed </w:t>
      </w:r>
      <w:r w:rsidR="00517206">
        <w:t>with</w:t>
      </w:r>
      <w:r>
        <w:t xml:space="preserve"> these rows is </w:t>
      </w:r>
      <w:r w:rsidR="00517206">
        <w:t>primari</w:t>
      </w:r>
      <w:r>
        <w:t xml:space="preserve">ly heuristic. Common labels include </w:t>
      </w:r>
      <w:proofErr w:type="spellStart"/>
      <w:r>
        <w:rPr>
          <w:rFonts w:ascii="Courier New" w:hAnsi="Courier New"/>
          <w:sz w:val="18"/>
        </w:rPr>
        <w:t>end_of_life_short_delay_default</w:t>
      </w:r>
      <w:proofErr w:type="spellEnd"/>
      <w:r>
        <w:t xml:space="preserve">, </w:t>
      </w:r>
      <w:r>
        <w:rPr>
          <w:rFonts w:ascii="Courier New" w:hAnsi="Courier New"/>
          <w:sz w:val="18"/>
        </w:rPr>
        <w:t>rule-based market/EoL pattern</w:t>
      </w:r>
      <w:r>
        <w:t xml:space="preserve">, and rows auto-added from </w:t>
      </w:r>
      <w:r>
        <w:rPr>
          <w:rFonts w:ascii="Courier New" w:hAnsi="Courier New"/>
          <w:sz w:val="18"/>
        </w:rPr>
        <w:t>temporal_distribution_faulty_exchanges.csv</w:t>
      </w:r>
      <w:r>
        <w:t xml:space="preserve">. Representative supplier datasets include battery cell deactivation for </w:t>
      </w:r>
      <w:proofErr w:type="spellStart"/>
      <w:r>
        <w:t>LiS</w:t>
      </w:r>
      <w:proofErr w:type="spellEnd"/>
      <w:r>
        <w:t xml:space="preserve"> batteries, battery module disassembly for </w:t>
      </w:r>
      <w:proofErr w:type="spellStart"/>
      <w:r>
        <w:t>LiS</w:t>
      </w:r>
      <w:proofErr w:type="spellEnd"/>
      <w:r>
        <w:t xml:space="preserve"> batteries, deep-well closure for geothermal power, </w:t>
      </w:r>
      <w:r>
        <w:rPr>
          <w:rFonts w:ascii="Courier New" w:hAnsi="Courier New"/>
          <w:sz w:val="18"/>
        </w:rPr>
        <w:t>dismantling, BIGCC power plant 450MW</w:t>
      </w:r>
      <w:r>
        <w:t xml:space="preserve">, and EPR decommissioning. As for maintenance, unresolved cases with no </w:t>
      </w:r>
      <w:r>
        <w:lastRenderedPageBreak/>
        <w:t xml:space="preserve">calling-dataset lifetime are written to </w:t>
      </w:r>
      <w:r>
        <w:rPr>
          <w:rFonts w:ascii="Courier New" w:hAnsi="Courier New"/>
          <w:sz w:val="18"/>
        </w:rPr>
        <w:t>temporal_distribution_faulty_exchanges.csv</w:t>
      </w:r>
      <w:r>
        <w:t xml:space="preserve"> instead of being assigned a default pulse time.</w:t>
      </w:r>
    </w:p>
    <w:p w14:paraId="39B1C0F8" w14:textId="0A465A9A" w:rsidR="00E263E0" w:rsidRDefault="00240788" w:rsidP="00A0674D">
      <w:pPr>
        <w:pStyle w:val="Heading20"/>
        <w:numPr>
          <w:ilvl w:val="1"/>
          <w:numId w:val="46"/>
        </w:numPr>
      </w:pPr>
      <w:bookmarkStart w:id="12" w:name="_Toc233129510"/>
      <w:r>
        <w:t>Long-term biosphere emissions</w:t>
      </w:r>
      <w:bookmarkEnd w:id="12"/>
    </w:p>
    <w:p w14:paraId="7344BB3D" w14:textId="6EDDF57D" w:rsidR="00E263E0" w:rsidRDefault="0092151C">
      <w:r w:rsidRPr="0092151C">
        <w:t xml:space="preserve">The </w:t>
      </w:r>
      <w:proofErr w:type="spellStart"/>
      <w:r w:rsidR="00240788" w:rsidRPr="00D26340">
        <w:rPr>
          <w:rFonts w:ascii="Courier New" w:hAnsi="Courier New" w:cs="Courier New"/>
        </w:rPr>
        <w:t>long_term_emission</w:t>
      </w:r>
      <w:proofErr w:type="spellEnd"/>
      <w:r w:rsidR="00240788">
        <w:t xml:space="preserve"> </w:t>
      </w:r>
      <w:r>
        <w:t>tags</w:t>
      </w:r>
      <w:r w:rsidR="00240788">
        <w:t xml:space="preserve"> extend the same temporal-column mechanism to direct biosphere flows that ecoinvent labels as long-term emissions.</w:t>
      </w:r>
    </w:p>
    <w:p w14:paraId="2ED00880" w14:textId="08C431CC" w:rsidR="00E263E0" w:rsidRDefault="00240788">
      <w:r>
        <w:t xml:space="preserve">All long-term profiles are written as empirical discrete distributions (temporal_distribution = 6). The </w:t>
      </w:r>
      <w:proofErr w:type="gramStart"/>
      <w:r>
        <w:t>100-1000 year</w:t>
      </w:r>
      <w:proofErr w:type="gramEnd"/>
      <w:r>
        <w:t xml:space="preserve"> support is discretised into 32 bins with midpoint offsets from 105 to 975 years and normalised weights. The 100-year lower bound follows the ecoinvent convention that waste emissions occurring after 100 years are reported as long-term; the 1000-year upper bound is a pragmatic </w:t>
      </w:r>
      <w:r w:rsidRPr="00B53EAD">
        <w:rPr>
          <w:i/>
          <w:iCs/>
        </w:rPr>
        <w:t>Trails</w:t>
      </w:r>
      <w:r>
        <w:t xml:space="preserve"> routing horizon for the scenarios used here, not a claim that the source is exhausted </w:t>
      </w:r>
      <w:r w:rsidR="00D0552C">
        <w:t>after</w:t>
      </w:r>
      <w:r>
        <w:t xml:space="preserve"> 1000 years. Profiles such as </w:t>
      </w:r>
      <w:r w:rsidRPr="00D0552C">
        <w:rPr>
          <w:rFonts w:ascii="Courier New" w:hAnsi="Courier New" w:cs="Courier New"/>
        </w:rPr>
        <w:t>mobile_metal</w:t>
      </w:r>
      <w:r>
        <w:t xml:space="preserve">, </w:t>
      </w:r>
      <w:r w:rsidRPr="00D0552C">
        <w:rPr>
          <w:rFonts w:ascii="Courier New" w:hAnsi="Courier New" w:cs="Courier New"/>
        </w:rPr>
        <w:t>sorbed_metal</w:t>
      </w:r>
      <w:r>
        <w:t xml:space="preserve">, </w:t>
      </w:r>
      <w:r w:rsidRPr="00D0552C">
        <w:rPr>
          <w:rFonts w:ascii="Courier New" w:hAnsi="Courier New" w:cs="Courier New"/>
        </w:rPr>
        <w:t>conservative_washout, ammonium_plateau, and uniform_100_1000</w:t>
      </w:r>
      <w:r>
        <w:t xml:space="preserve"> map to coarse leaching or persistence types rather than site-specific fate modelling (Hischier et al., 2010; Doka, 2003).</w:t>
      </w:r>
    </w:p>
    <w:p w14:paraId="32518426" w14:textId="4BF78B24" w:rsidR="00E263E0" w:rsidRDefault="00240788">
      <w:r>
        <w:t>The profiles should be read as source-release timing assumptions for already</w:t>
      </w:r>
      <w:r w:rsidR="0052104F">
        <w:t>-</w:t>
      </w:r>
      <w:r>
        <w:t xml:space="preserve">quantified long-term exchanges, not as independent estimates of the total amount </w:t>
      </w:r>
      <w:r w:rsidR="0052104F">
        <w:t>ultimate</w:t>
      </w:r>
      <w:r>
        <w:t xml:space="preserve">ly emitted. </w:t>
      </w:r>
      <w:r w:rsidRPr="0052104F">
        <w:rPr>
          <w:i/>
          <w:iCs/>
        </w:rPr>
        <w:t>Premise</w:t>
      </w:r>
      <w:r>
        <w:t xml:space="preserve"> first preserves the exchange amount reported in the exported biosphere matrix and then redistributes </w:t>
      </w:r>
      <w:r w:rsidR="0052104F">
        <w:t>i</w:t>
      </w:r>
      <w:r>
        <w:t>t across the 100-1000</w:t>
      </w:r>
      <w:r w:rsidR="0052104F">
        <w:t>-</w:t>
      </w:r>
      <w:r>
        <w:t xml:space="preserve">year support. This choice keeps the mass balance of the original inventory unchanged while making the timing explicit for </w:t>
      </w:r>
      <w:r w:rsidRPr="0052104F">
        <w:rPr>
          <w:i/>
          <w:iCs/>
        </w:rPr>
        <w:t>Trails</w:t>
      </w:r>
      <w:r>
        <w:t>. It also separates two modelling questions that are often conflated in landfill inventories: how much material belongs to the long-term emission category, which is inherited from ecoinvent, and when that long-term amount is released or reaches the receiving compartment, which is represented here by the empirical offset-weight profile.</w:t>
      </w:r>
    </w:p>
    <w:p w14:paraId="7C4771C7" w14:textId="477C5229" w:rsidR="00E263E0" w:rsidRDefault="00240788">
      <w:r>
        <w:t xml:space="preserve">The profile families follow the dominant mechanisms reported in landfill source-term and leachate-plume literature. The </w:t>
      </w:r>
      <w:r w:rsidRPr="00912789">
        <w:rPr>
          <w:rFonts w:ascii="Courier New" w:hAnsi="Courier New" w:cs="Courier New"/>
        </w:rPr>
        <w:t>conservative_washout</w:t>
      </w:r>
      <w:r>
        <w:t xml:space="preserve"> profile is used for chloride because chloride is commonly treated as a mobile conservative tracer whose source term is controlled mainly by leachate generation and flushing, consistent with </w:t>
      </w:r>
      <w:r w:rsidRPr="000A67E4">
        <w:rPr>
          <w:i/>
          <w:iCs/>
        </w:rPr>
        <w:t>LandSim</w:t>
      </w:r>
      <w:r>
        <w:t xml:space="preserve">-style source-term modelling and landfill plume reviews (Environment Agency, 2003; Christensen et al., 2001; Kjeldsen et al., 2002). The </w:t>
      </w:r>
      <w:r w:rsidRPr="00AC05A4">
        <w:rPr>
          <w:rFonts w:ascii="Courier New" w:hAnsi="Courier New" w:cs="Courier New"/>
        </w:rPr>
        <w:t>ammonium_plateau</w:t>
      </w:r>
      <w:r>
        <w:t xml:space="preserve"> profile represents the observation that ammonium can remain elevated for decades in methanogenic landfill leachate and then decline slowly, with attenuation depending on aerobic nitrification potential (Kjeldsen et al., 2002; Zhao et al., 2017). The metal profiles distinguish relatively mobile divalent or oxidised species</w:t>
      </w:r>
      <w:r w:rsidR="00D425F5">
        <w:t>,</w:t>
      </w:r>
      <w:r>
        <w:t xml:space="preserve"> such as Cd, Ni, Zn, and </w:t>
      </w:r>
      <w:proofErr w:type="gramStart"/>
      <w:r>
        <w:t>Cr(</w:t>
      </w:r>
      <w:proofErr w:type="gramEnd"/>
      <w:r>
        <w:t>VI)</w:t>
      </w:r>
      <w:r w:rsidR="00D425F5">
        <w:t>,</w:t>
      </w:r>
      <w:r>
        <w:t xml:space="preserve"> from more strongly sorbed, precipitated, or redox-sensitive species</w:t>
      </w:r>
      <w:r w:rsidR="00D425F5">
        <w:t>,</w:t>
      </w:r>
      <w:r>
        <w:t xml:space="preserve"> such as Pb, Cu, Hg, </w:t>
      </w:r>
      <w:proofErr w:type="gramStart"/>
      <w:r>
        <w:t>Cr(</w:t>
      </w:r>
      <w:proofErr w:type="gramEnd"/>
      <w:r>
        <w:t xml:space="preserve">III), and As. This </w:t>
      </w:r>
      <w:r>
        <w:lastRenderedPageBreak/>
        <w:t>distinction is supported by reviews showing strong pH, redox, dissolved organic carbon, precipitation, and sorption controls on metal mobility, and by long-term leaching studies indicating that metal release can extend over centuries or longer rather than behaving as a single short pulse (Baun and Christensen, 2004; Astrup et al., 2006; U.S. EPA, 1999, 2004).</w:t>
      </w:r>
    </w:p>
    <w:p w14:paraId="7DE2DB35" w14:textId="51F3BE90" w:rsidR="00E263E0" w:rsidRDefault="00240788">
      <w:r>
        <w:t xml:space="preserve">Applied </w:t>
      </w:r>
      <w:r w:rsidR="00D26340">
        <w:t>with ecoinvent 3.12 cut-off and</w:t>
      </w:r>
      <w:r>
        <w:t xml:space="preserve"> the REMIND SSP2-NPi 2025 </w:t>
      </w:r>
      <w:r w:rsidR="00D26340">
        <w:t>scenario</w:t>
      </w:r>
      <w:r>
        <w:t>, these selectors matched 37,068 exchange rows in 1,296 calling datasets and 47 unique biosphere flow/category/unit combinations</w:t>
      </w:r>
      <w:r w:rsidR="00D26340">
        <w:t xml:space="preserve">, described in </w:t>
      </w:r>
      <w:r w:rsidR="00191F50">
        <w:t>Table 10</w:t>
      </w:r>
      <w:r w:rsidR="00D26340">
        <w:t>.</w:t>
      </w:r>
    </w:p>
    <w:tbl>
      <w:tblPr>
        <w:tblStyle w:val="TableGrid"/>
        <w:tblW w:w="5000" w:type="pct"/>
        <w:tblLook w:val="04A0" w:firstRow="1" w:lastRow="0" w:firstColumn="1" w:lastColumn="0" w:noHBand="0" w:noVBand="1"/>
      </w:tblPr>
      <w:tblGrid>
        <w:gridCol w:w="1505"/>
        <w:gridCol w:w="916"/>
        <w:gridCol w:w="1136"/>
        <w:gridCol w:w="1533"/>
        <w:gridCol w:w="1533"/>
      </w:tblGrid>
      <w:tr w:rsidR="007B6206" w14:paraId="75EA7A6E" w14:textId="77777777" w:rsidTr="00F05F3B">
        <w:tc>
          <w:tcPr>
            <w:tcW w:w="1136" w:type="pct"/>
            <w:shd w:val="clear" w:color="auto" w:fill="D9EAF7"/>
          </w:tcPr>
          <w:p w14:paraId="03006FC0" w14:textId="77777777" w:rsidR="00E263E0" w:rsidRDefault="00240788">
            <w:r>
              <w:t>Profile</w:t>
            </w:r>
          </w:p>
        </w:tc>
        <w:tc>
          <w:tcPr>
            <w:tcW w:w="692" w:type="pct"/>
            <w:shd w:val="clear" w:color="auto" w:fill="D9EAF7"/>
          </w:tcPr>
          <w:p w14:paraId="42CBD704" w14:textId="77777777" w:rsidR="00E263E0" w:rsidRDefault="00240788">
            <w:r>
              <w:t>Matched rows</w:t>
            </w:r>
          </w:p>
        </w:tc>
        <w:tc>
          <w:tcPr>
            <w:tcW w:w="858" w:type="pct"/>
            <w:shd w:val="clear" w:color="auto" w:fill="D9EAF7"/>
          </w:tcPr>
          <w:p w14:paraId="21048C20" w14:textId="77777777" w:rsidR="00E263E0" w:rsidRDefault="00240788">
            <w:r>
              <w:t>Main matched flows</w:t>
            </w:r>
          </w:p>
        </w:tc>
        <w:tc>
          <w:tcPr>
            <w:tcW w:w="1157" w:type="pct"/>
            <w:shd w:val="clear" w:color="auto" w:fill="D9EAF7"/>
          </w:tcPr>
          <w:p w14:paraId="46805FAC" w14:textId="77777777" w:rsidR="00E263E0" w:rsidRDefault="00240788">
            <w:r>
              <w:t>Timing summary</w:t>
            </w:r>
          </w:p>
        </w:tc>
        <w:tc>
          <w:tcPr>
            <w:tcW w:w="1157" w:type="pct"/>
            <w:shd w:val="clear" w:color="auto" w:fill="D9EAF7"/>
          </w:tcPr>
          <w:p w14:paraId="2E278C2F" w14:textId="77777777" w:rsidR="00E4776C" w:rsidRDefault="00240788">
            <w:r>
              <w:t>Sources and rationale</w:t>
            </w:r>
          </w:p>
        </w:tc>
      </w:tr>
      <w:tr w:rsidR="007B6206" w:rsidRPr="00B81DBA" w14:paraId="75FFA11B" w14:textId="77777777" w:rsidTr="00F05F3B">
        <w:tc>
          <w:tcPr>
            <w:tcW w:w="1136" w:type="pct"/>
          </w:tcPr>
          <w:p w14:paraId="45E31E3A" w14:textId="77777777" w:rsidR="00E263E0" w:rsidRDefault="00240788">
            <w:r>
              <w:t>uniform_100_1000</w:t>
            </w:r>
          </w:p>
        </w:tc>
        <w:tc>
          <w:tcPr>
            <w:tcW w:w="692" w:type="pct"/>
          </w:tcPr>
          <w:p w14:paraId="350B819F" w14:textId="77777777" w:rsidR="00E263E0" w:rsidRDefault="00240788">
            <w:r>
              <w:t>27,442</w:t>
            </w:r>
          </w:p>
        </w:tc>
        <w:tc>
          <w:tcPr>
            <w:tcW w:w="858" w:type="pct"/>
          </w:tcPr>
          <w:p w14:paraId="15786F7B" w14:textId="77777777" w:rsidR="00E263E0" w:rsidRDefault="00240788">
            <w:r>
              <w:t>Generic long-term groundwater fallback for 37 flow names.</w:t>
            </w:r>
          </w:p>
        </w:tc>
        <w:tc>
          <w:tcPr>
            <w:tcW w:w="1157" w:type="pct"/>
          </w:tcPr>
          <w:p w14:paraId="4859766F" w14:textId="77777777" w:rsidR="00E263E0" w:rsidRDefault="00240788">
            <w:r>
              <w:t xml:space="preserve">Uniform mass over the </w:t>
            </w:r>
            <w:proofErr w:type="gramStart"/>
            <w:r>
              <w:t>100-1000 year</w:t>
            </w:r>
            <w:proofErr w:type="gramEnd"/>
            <w:r>
              <w:t xml:space="preserve"> window; 44.4% of mass is assigned at offsets &lt;=500 years.</w:t>
            </w:r>
          </w:p>
        </w:tc>
        <w:tc>
          <w:tcPr>
            <w:tcW w:w="1157" w:type="pct"/>
          </w:tcPr>
          <w:p w14:paraId="3E39AE08" w14:textId="77777777" w:rsidR="00E4776C" w:rsidRPr="001E30A8" w:rsidRDefault="00240788">
            <w:pPr>
              <w:rPr>
                <w:lang w:val="fr-CH"/>
              </w:rPr>
            </w:pPr>
            <w:proofErr w:type="spellStart"/>
            <w:r w:rsidRPr="001E30A8">
              <w:rPr>
                <w:lang w:val="fr-CH"/>
              </w:rPr>
              <w:t>Hischier</w:t>
            </w:r>
            <w:proofErr w:type="spellEnd"/>
            <w:r w:rsidRPr="001E30A8">
              <w:rPr>
                <w:lang w:val="fr-CH"/>
              </w:rPr>
              <w:t xml:space="preserve"> et al. (2010</w:t>
            </w:r>
            <w:proofErr w:type="gramStart"/>
            <w:r w:rsidRPr="001E30A8">
              <w:rPr>
                <w:lang w:val="fr-CH"/>
              </w:rPr>
              <w:t>);</w:t>
            </w:r>
            <w:proofErr w:type="gramEnd"/>
            <w:r w:rsidRPr="001E30A8">
              <w:rPr>
                <w:lang w:val="fr-CH"/>
              </w:rPr>
              <w:t xml:space="preserve"> Doka (2003</w:t>
            </w:r>
            <w:proofErr w:type="gramStart"/>
            <w:r w:rsidRPr="001E30A8">
              <w:rPr>
                <w:lang w:val="fr-CH"/>
              </w:rPr>
              <w:t>);</w:t>
            </w:r>
            <w:proofErr w:type="gramEnd"/>
            <w:r w:rsidRPr="001E30A8">
              <w:rPr>
                <w:lang w:val="fr-CH"/>
              </w:rPr>
              <w:t xml:space="preserve"> </w:t>
            </w:r>
            <w:proofErr w:type="spellStart"/>
            <w:r w:rsidRPr="001E30A8">
              <w:rPr>
                <w:lang w:val="fr-CH"/>
              </w:rPr>
              <w:t>Environment</w:t>
            </w:r>
            <w:proofErr w:type="spellEnd"/>
            <w:r w:rsidRPr="001E30A8">
              <w:rPr>
                <w:lang w:val="fr-CH"/>
              </w:rPr>
              <w:t xml:space="preserve"> Agency (2003)</w:t>
            </w:r>
          </w:p>
        </w:tc>
      </w:tr>
      <w:tr w:rsidR="007B6206" w14:paraId="63DFF95F" w14:textId="77777777" w:rsidTr="00F05F3B">
        <w:tc>
          <w:tcPr>
            <w:tcW w:w="1136" w:type="pct"/>
          </w:tcPr>
          <w:p w14:paraId="2B21555F" w14:textId="77777777" w:rsidR="00E263E0" w:rsidRDefault="00240788">
            <w:proofErr w:type="spellStart"/>
            <w:r>
              <w:t>mobile_metal</w:t>
            </w:r>
            <w:proofErr w:type="spellEnd"/>
          </w:p>
        </w:tc>
        <w:tc>
          <w:tcPr>
            <w:tcW w:w="692" w:type="pct"/>
          </w:tcPr>
          <w:p w14:paraId="38D4D735" w14:textId="77777777" w:rsidR="00E263E0" w:rsidRDefault="00240788">
            <w:r>
              <w:t>4,261</w:t>
            </w:r>
          </w:p>
        </w:tc>
        <w:tc>
          <w:tcPr>
            <w:tcW w:w="858" w:type="pct"/>
          </w:tcPr>
          <w:p w14:paraId="5850E0D9" w14:textId="77777777" w:rsidR="00E263E0" w:rsidRDefault="00240788">
            <w:r>
              <w:t>Cadmium II, Nickel II, Zinc II, and Chromium VI.</w:t>
            </w:r>
          </w:p>
        </w:tc>
        <w:tc>
          <w:tcPr>
            <w:tcW w:w="1157" w:type="pct"/>
          </w:tcPr>
          <w:p w14:paraId="31CEC172" w14:textId="77777777" w:rsidR="00E263E0" w:rsidRDefault="00240788">
            <w:r>
              <w:t>Front-loaded metal leaching surrogate; 67.1% of mass is assigned at offsets &lt;=500 years.</w:t>
            </w:r>
          </w:p>
        </w:tc>
        <w:tc>
          <w:tcPr>
            <w:tcW w:w="1157" w:type="pct"/>
          </w:tcPr>
          <w:p w14:paraId="45D64345" w14:textId="77777777" w:rsidR="00E4776C" w:rsidRDefault="00240788">
            <w:r w:rsidRPr="001E30A8">
              <w:rPr>
                <w:lang w:val="fr-CH"/>
              </w:rPr>
              <w:t>Kjeldsen et al. (2002</w:t>
            </w:r>
            <w:proofErr w:type="gramStart"/>
            <w:r w:rsidRPr="001E30A8">
              <w:rPr>
                <w:lang w:val="fr-CH"/>
              </w:rPr>
              <w:t>);</w:t>
            </w:r>
            <w:proofErr w:type="gramEnd"/>
            <w:r w:rsidRPr="001E30A8">
              <w:rPr>
                <w:lang w:val="fr-CH"/>
              </w:rPr>
              <w:t xml:space="preserve"> Baun and Christensen (2004</w:t>
            </w:r>
            <w:proofErr w:type="gramStart"/>
            <w:r w:rsidRPr="001E30A8">
              <w:rPr>
                <w:lang w:val="fr-CH"/>
              </w:rPr>
              <w:t>);</w:t>
            </w:r>
            <w:proofErr w:type="gramEnd"/>
            <w:r w:rsidRPr="001E30A8">
              <w:rPr>
                <w:lang w:val="fr-CH"/>
              </w:rPr>
              <w:t xml:space="preserve"> Christensen et al. </w:t>
            </w:r>
            <w:r>
              <w:t>(2001); Astrup et al. (2006); U.S. EPA (1999)</w:t>
            </w:r>
          </w:p>
        </w:tc>
      </w:tr>
      <w:tr w:rsidR="007B6206" w14:paraId="6D4B2CC1" w14:textId="77777777" w:rsidTr="00F05F3B">
        <w:tc>
          <w:tcPr>
            <w:tcW w:w="1136" w:type="pct"/>
          </w:tcPr>
          <w:p w14:paraId="226E8BE1" w14:textId="77777777" w:rsidR="00E263E0" w:rsidRDefault="00240788">
            <w:r>
              <w:t>sorbed_metal</w:t>
            </w:r>
          </w:p>
        </w:tc>
        <w:tc>
          <w:tcPr>
            <w:tcW w:w="692" w:type="pct"/>
          </w:tcPr>
          <w:p w14:paraId="05F8EC77" w14:textId="77777777" w:rsidR="00E263E0" w:rsidRDefault="00240788">
            <w:r>
              <w:t>4,117</w:t>
            </w:r>
          </w:p>
        </w:tc>
        <w:tc>
          <w:tcPr>
            <w:tcW w:w="858" w:type="pct"/>
          </w:tcPr>
          <w:p w14:paraId="39944DC6" w14:textId="77777777" w:rsidR="00E263E0" w:rsidRDefault="00240788">
            <w:r>
              <w:t>Arsenic ion, Copper ion, Lead II, and Mercury II.</w:t>
            </w:r>
          </w:p>
        </w:tc>
        <w:tc>
          <w:tcPr>
            <w:tcW w:w="1157" w:type="pct"/>
          </w:tcPr>
          <w:p w14:paraId="097875C8" w14:textId="77777777" w:rsidR="00E263E0" w:rsidRDefault="00240788">
            <w:r>
              <w:t>Delayed and persistent metal surrogate; 58.7% of mass remains beyond 500 years.</w:t>
            </w:r>
          </w:p>
        </w:tc>
        <w:tc>
          <w:tcPr>
            <w:tcW w:w="1157" w:type="pct"/>
          </w:tcPr>
          <w:p w14:paraId="47DF8A27" w14:textId="77777777" w:rsidR="00E4776C" w:rsidRDefault="00240788">
            <w:r w:rsidRPr="001E30A8">
              <w:rPr>
                <w:lang w:val="fr-CH"/>
              </w:rPr>
              <w:t>Baun and Christensen (2004</w:t>
            </w:r>
            <w:proofErr w:type="gramStart"/>
            <w:r w:rsidRPr="001E30A8">
              <w:rPr>
                <w:lang w:val="fr-CH"/>
              </w:rPr>
              <w:t>);</w:t>
            </w:r>
            <w:proofErr w:type="gramEnd"/>
            <w:r w:rsidRPr="001E30A8">
              <w:rPr>
                <w:lang w:val="fr-CH"/>
              </w:rPr>
              <w:t xml:space="preserve"> Christensen et al. (2001</w:t>
            </w:r>
            <w:proofErr w:type="gramStart"/>
            <w:r w:rsidRPr="001E30A8">
              <w:rPr>
                <w:lang w:val="fr-CH"/>
              </w:rPr>
              <w:t>);</w:t>
            </w:r>
            <w:proofErr w:type="gramEnd"/>
            <w:r w:rsidRPr="001E30A8">
              <w:rPr>
                <w:lang w:val="fr-CH"/>
              </w:rPr>
              <w:t xml:space="preserve"> Astrup et al. </w:t>
            </w:r>
            <w:r>
              <w:t>(2006); U.S. EPA (1999, 2004)</w:t>
            </w:r>
          </w:p>
        </w:tc>
      </w:tr>
      <w:tr w:rsidR="007B6206" w14:paraId="17C9210C" w14:textId="77777777" w:rsidTr="00F05F3B">
        <w:tc>
          <w:tcPr>
            <w:tcW w:w="1136" w:type="pct"/>
          </w:tcPr>
          <w:p w14:paraId="7800E3AB" w14:textId="77777777" w:rsidR="00E263E0" w:rsidRDefault="00240788">
            <w:r>
              <w:t>conservative_washout</w:t>
            </w:r>
          </w:p>
        </w:tc>
        <w:tc>
          <w:tcPr>
            <w:tcW w:w="692" w:type="pct"/>
          </w:tcPr>
          <w:p w14:paraId="552B0531" w14:textId="77777777" w:rsidR="00E263E0" w:rsidRDefault="00240788">
            <w:r>
              <w:t>786</w:t>
            </w:r>
          </w:p>
        </w:tc>
        <w:tc>
          <w:tcPr>
            <w:tcW w:w="858" w:type="pct"/>
          </w:tcPr>
          <w:p w14:paraId="6E72FC32" w14:textId="77777777" w:rsidR="00E263E0" w:rsidRDefault="00240788">
            <w:r>
              <w:t>Chloride.</w:t>
            </w:r>
          </w:p>
        </w:tc>
        <w:tc>
          <w:tcPr>
            <w:tcW w:w="1157" w:type="pct"/>
          </w:tcPr>
          <w:p w14:paraId="4C41EA5F" w14:textId="77777777" w:rsidR="00E263E0" w:rsidRDefault="00240788">
            <w:r>
              <w:t xml:space="preserve">Conservative washout profile </w:t>
            </w:r>
            <w:r>
              <w:lastRenderedPageBreak/>
              <w:t>with 67.9% of mass assigned at offsets &lt;=500 years.</w:t>
            </w:r>
          </w:p>
        </w:tc>
        <w:tc>
          <w:tcPr>
            <w:tcW w:w="1157" w:type="pct"/>
          </w:tcPr>
          <w:p w14:paraId="65C3DD12" w14:textId="77777777" w:rsidR="00E4776C" w:rsidRDefault="00240788">
            <w:proofErr w:type="spellStart"/>
            <w:r w:rsidRPr="001E30A8">
              <w:rPr>
                <w:lang w:val="fr-CH"/>
              </w:rPr>
              <w:lastRenderedPageBreak/>
              <w:t>Environment</w:t>
            </w:r>
            <w:proofErr w:type="spellEnd"/>
            <w:r w:rsidRPr="001E30A8">
              <w:rPr>
                <w:lang w:val="fr-CH"/>
              </w:rPr>
              <w:t xml:space="preserve"> Agency (2003</w:t>
            </w:r>
            <w:proofErr w:type="gramStart"/>
            <w:r w:rsidRPr="001E30A8">
              <w:rPr>
                <w:lang w:val="fr-CH"/>
              </w:rPr>
              <w:t>);</w:t>
            </w:r>
            <w:proofErr w:type="gramEnd"/>
            <w:r w:rsidRPr="001E30A8">
              <w:rPr>
                <w:lang w:val="fr-CH"/>
              </w:rPr>
              <w:t xml:space="preserve"> </w:t>
            </w:r>
            <w:r w:rsidRPr="001E30A8">
              <w:rPr>
                <w:lang w:val="fr-CH"/>
              </w:rPr>
              <w:lastRenderedPageBreak/>
              <w:t xml:space="preserve">Christensen et al. </w:t>
            </w:r>
            <w:r>
              <w:t>(2001); Kjeldsen et al. (2002)</w:t>
            </w:r>
          </w:p>
        </w:tc>
      </w:tr>
      <w:tr w:rsidR="007B6206" w14:paraId="45EBE979" w14:textId="77777777" w:rsidTr="00F05F3B">
        <w:tc>
          <w:tcPr>
            <w:tcW w:w="1136" w:type="pct"/>
          </w:tcPr>
          <w:p w14:paraId="1A05775E" w14:textId="77777777" w:rsidR="00E263E0" w:rsidRDefault="00240788">
            <w:r>
              <w:lastRenderedPageBreak/>
              <w:t>ammonium_plateau</w:t>
            </w:r>
          </w:p>
        </w:tc>
        <w:tc>
          <w:tcPr>
            <w:tcW w:w="692" w:type="pct"/>
          </w:tcPr>
          <w:p w14:paraId="5EC118DA" w14:textId="77777777" w:rsidR="00E263E0" w:rsidRDefault="00240788">
            <w:r>
              <w:t>462</w:t>
            </w:r>
          </w:p>
        </w:tc>
        <w:tc>
          <w:tcPr>
            <w:tcW w:w="858" w:type="pct"/>
          </w:tcPr>
          <w:p w14:paraId="30E35CE1" w14:textId="77777777" w:rsidR="00E263E0" w:rsidRDefault="00240788">
            <w:r>
              <w:t>Ammonium.</w:t>
            </w:r>
          </w:p>
        </w:tc>
        <w:tc>
          <w:tcPr>
            <w:tcW w:w="1157" w:type="pct"/>
          </w:tcPr>
          <w:p w14:paraId="1D6EFCFB" w14:textId="77777777" w:rsidR="00E263E0" w:rsidRDefault="00240788">
            <w:r>
              <w:t>Plateau followed by slow decline; 55.6% of mass is assigned at offsets &lt;=500 years.</w:t>
            </w:r>
          </w:p>
        </w:tc>
        <w:tc>
          <w:tcPr>
            <w:tcW w:w="1157" w:type="pct"/>
          </w:tcPr>
          <w:p w14:paraId="2604F2C0" w14:textId="77777777" w:rsidR="00E4776C" w:rsidRDefault="00240788">
            <w:r w:rsidRPr="001E30A8">
              <w:rPr>
                <w:lang w:val="fr-CH"/>
              </w:rPr>
              <w:t>Kjeldsen et al. (2002</w:t>
            </w:r>
            <w:proofErr w:type="gramStart"/>
            <w:r w:rsidRPr="001E30A8">
              <w:rPr>
                <w:lang w:val="fr-CH"/>
              </w:rPr>
              <w:t>);</w:t>
            </w:r>
            <w:proofErr w:type="gramEnd"/>
            <w:r w:rsidRPr="001E30A8">
              <w:rPr>
                <w:lang w:val="fr-CH"/>
              </w:rPr>
              <w:t xml:space="preserve"> Zhao et al. </w:t>
            </w:r>
            <w:r>
              <w:t>(2017); Christensen et al. (2001)</w:t>
            </w:r>
          </w:p>
        </w:tc>
      </w:tr>
    </w:tbl>
    <w:p w14:paraId="42299835" w14:textId="51E886E1" w:rsidR="0026344F" w:rsidRPr="00F05F3B" w:rsidRDefault="00F05F3B" w:rsidP="004C74A9">
      <w:pPr>
        <w:rPr>
          <w:sz w:val="17"/>
          <w:szCs w:val="17"/>
        </w:rPr>
      </w:pPr>
      <w:r w:rsidRPr="00321DE6">
        <w:rPr>
          <w:b/>
          <w:bCs/>
          <w:sz w:val="17"/>
          <w:szCs w:val="17"/>
        </w:rPr>
        <w:t xml:space="preserve">Table </w:t>
      </w:r>
      <w:r>
        <w:rPr>
          <w:b/>
          <w:bCs/>
          <w:sz w:val="17"/>
          <w:szCs w:val="17"/>
        </w:rPr>
        <w:t>10</w:t>
      </w:r>
      <w:r w:rsidRPr="00321DE6">
        <w:rPr>
          <w:sz w:val="17"/>
          <w:szCs w:val="17"/>
        </w:rPr>
        <w:t xml:space="preserve"> – </w:t>
      </w:r>
      <w:r w:rsidR="004C74A9" w:rsidRPr="004C74A9">
        <w:rPr>
          <w:sz w:val="17"/>
          <w:szCs w:val="17"/>
        </w:rPr>
        <w:t>Screening-level temporal profiles assigned to long-term biosphere emissions. The table reports matched</w:t>
      </w:r>
      <w:r w:rsidR="004C74A9">
        <w:rPr>
          <w:sz w:val="17"/>
          <w:szCs w:val="17"/>
        </w:rPr>
        <w:t xml:space="preserve"> </w:t>
      </w:r>
      <w:r w:rsidR="004C74A9" w:rsidRPr="004C74A9">
        <w:rPr>
          <w:sz w:val="17"/>
          <w:szCs w:val="17"/>
        </w:rPr>
        <w:t xml:space="preserve">rows and flows, release-timing summaries over the </w:t>
      </w:r>
      <w:proofErr w:type="gramStart"/>
      <w:r w:rsidR="004C74A9" w:rsidRPr="004C74A9">
        <w:rPr>
          <w:sz w:val="17"/>
          <w:szCs w:val="17"/>
        </w:rPr>
        <w:t>100-1000 year</w:t>
      </w:r>
      <w:proofErr w:type="gramEnd"/>
      <w:r w:rsidR="004C74A9" w:rsidRPr="004C74A9">
        <w:rPr>
          <w:sz w:val="17"/>
          <w:szCs w:val="17"/>
        </w:rPr>
        <w:t xml:space="preserve"> window, and literature rationale; the exchange</w:t>
      </w:r>
      <w:r w:rsidR="004C74A9">
        <w:rPr>
          <w:sz w:val="17"/>
          <w:szCs w:val="17"/>
        </w:rPr>
        <w:t xml:space="preserve"> </w:t>
      </w:r>
      <w:r w:rsidR="004C74A9" w:rsidRPr="004C74A9">
        <w:rPr>
          <w:sz w:val="17"/>
          <w:szCs w:val="17"/>
        </w:rPr>
        <w:t>amounts are inherited from the original inventory</w:t>
      </w:r>
      <w:r w:rsidR="004C74A9">
        <w:rPr>
          <w:sz w:val="17"/>
          <w:szCs w:val="17"/>
        </w:rPr>
        <w:t>.</w:t>
      </w:r>
    </w:p>
    <w:p w14:paraId="06689AF5" w14:textId="753353FA" w:rsidR="00E263E0" w:rsidRDefault="00240788">
      <w:r>
        <w:t xml:space="preserve">The profile rows should therefore be interpreted as transparent screening-level timing priors for the long-term inventory category. They are not fitted to individual landfill sites, waste compositions, cap histories, water fluxes, pH-redox trajectories, or aquifer travel times. The 32-bin profiles also do not </w:t>
      </w:r>
      <w:r w:rsidR="00D425F5">
        <w:t xml:space="preserve">explicitly </w:t>
      </w:r>
      <w:r>
        <w:t>model the liquid-to-solid-ratio axis, chemical speciation, retardation, or degradation; those processes are only represented through the coarse profile choice. Generic fallback rows</w:t>
      </w:r>
      <w:r w:rsidR="00D425F5">
        <w:t>,</w:t>
      </w:r>
      <w:r>
        <w:t xml:space="preserve"> such as </w:t>
      </w:r>
      <w:r w:rsidRPr="004D7020">
        <w:rPr>
          <w:rFonts w:ascii="Courier New" w:hAnsi="Courier New" w:cs="Courier New"/>
        </w:rPr>
        <w:t>uniform_100_1000</w:t>
      </w:r>
      <w:r w:rsidR="00D425F5">
        <w:rPr>
          <w:rFonts w:ascii="Courier New" w:hAnsi="Courier New" w:cs="Courier New"/>
        </w:rPr>
        <w:t>,</w:t>
      </w:r>
      <w:r>
        <w:t xml:space="preserve"> are deliberately conservative in th</w:t>
      </w:r>
      <w:r w:rsidR="00D425F5">
        <w:t>at</w:t>
      </w:r>
      <w:r>
        <w:t xml:space="preserve"> </w:t>
      </w:r>
      <w:r w:rsidR="00D425F5">
        <w:t>they</w:t>
      </w:r>
      <w:r>
        <w:t xml:space="preserve"> avoid unsupported contaminant-specific kinetics, but they are less informative than contaminant-specific profiles. The matched row counts in </w:t>
      </w:r>
      <w:r w:rsidR="00BE544D">
        <w:t>T</w:t>
      </w:r>
      <w:r>
        <w:t xml:space="preserve">able </w:t>
      </w:r>
      <w:r w:rsidR="00BE544D">
        <w:t xml:space="preserve">10 </w:t>
      </w:r>
      <w:r>
        <w:t xml:space="preserve">are scenario-specific diagnostics for the ecoinvent 3.12 cut-off and REMIND SSP2-NPi 2025 export, not universal coverage statistics for all possible </w:t>
      </w:r>
      <w:r w:rsidRPr="004D7020">
        <w:rPr>
          <w:i/>
          <w:iCs/>
        </w:rPr>
        <w:t>Premise</w:t>
      </w:r>
      <w:r>
        <w:t xml:space="preserve"> databases.</w:t>
      </w:r>
    </w:p>
    <w:p w14:paraId="726B1318" w14:textId="7F074320" w:rsidR="00E4260D" w:rsidRDefault="00240788" w:rsidP="00A0674D">
      <w:pPr>
        <w:pStyle w:val="Heading20"/>
        <w:numPr>
          <w:ilvl w:val="1"/>
          <w:numId w:val="46"/>
        </w:numPr>
      </w:pPr>
      <w:bookmarkStart w:id="13" w:name="_Toc233129511"/>
      <w:r>
        <w:t>Lifetime and CPC-code patterns</w:t>
      </w:r>
      <w:bookmarkEnd w:id="13"/>
    </w:p>
    <w:p w14:paraId="10C886AC" w14:textId="7BFB3F06" w:rsidR="00E4260D" w:rsidRDefault="00240788">
      <w:r>
        <w:t xml:space="preserve">The temporal parameter table is not evenly distributed across the product classification space. Active temporal rows are concentrated in a small number of CPC two-digit prefixes. The most frequent active prefixes are CPC 49 </w:t>
      </w:r>
      <w:r w:rsidR="003F373C">
        <w:t>(transport equipment), CPC 53 (construction), and CPC 01 (agricultural products).</w:t>
      </w:r>
      <w:r>
        <w:t xml:space="preserve"> They correspond to different lifetime regimes: vehicle and fleet profiles are mostly in the 8 to 40</w:t>
      </w:r>
      <w:r w:rsidR="003F373C">
        <w:t>-</w:t>
      </w:r>
      <w:r>
        <w:t>year range, construction and power-plant rows are longer</w:t>
      </w:r>
      <w:r w:rsidR="003F373C">
        <w:t>-</w:t>
      </w:r>
      <w:r>
        <w:t>lived, and agricultural biomass rows are usually annual or short-cycle.</w:t>
      </w:r>
    </w:p>
    <w:p w14:paraId="77E31DC4" w14:textId="33FAA692" w:rsidR="00E4260D" w:rsidRDefault="00240788">
      <w:r>
        <w:t>The lifetime column is central to how</w:t>
      </w:r>
      <w:r w:rsidR="00B02D2C">
        <w:t xml:space="preserve"> </w:t>
      </w:r>
      <w:r w:rsidR="00B02D2C" w:rsidRPr="00B02D2C">
        <w:rPr>
          <w:i/>
          <w:iCs/>
        </w:rPr>
        <w:t>Premise</w:t>
      </w:r>
      <w:r w:rsidR="00B02D2C">
        <w:t xml:space="preserve"> </w:t>
      </w:r>
      <w:r>
        <w:t xml:space="preserve">turns a qualitative temporal tag into numerical </w:t>
      </w:r>
      <w:r w:rsidR="00B02D2C" w:rsidRPr="00B02D2C">
        <w:rPr>
          <w:i/>
          <w:iCs/>
        </w:rPr>
        <w:t>Trails</w:t>
      </w:r>
      <w:r>
        <w:t xml:space="preserve"> columns. For </w:t>
      </w:r>
      <w:proofErr w:type="spellStart"/>
      <w:r>
        <w:rPr>
          <w:rFonts w:ascii="Courier New" w:hAnsi="Courier New"/>
          <w:sz w:val="18"/>
        </w:rPr>
        <w:t>biomass_growth</w:t>
      </w:r>
      <w:proofErr w:type="spellEnd"/>
      <w:r>
        <w:t xml:space="preserve">, the lifetime defines the length of the negative uptake window: a 1-year crop places uptake between </w:t>
      </w:r>
      <w:r>
        <w:rPr>
          <w:rFonts w:ascii="Courier New" w:hAnsi="Courier New"/>
          <w:sz w:val="18"/>
        </w:rPr>
        <w:t>-1</w:t>
      </w:r>
      <w:r>
        <w:t xml:space="preserve"> and </w:t>
      </w:r>
      <w:r>
        <w:rPr>
          <w:rFonts w:ascii="Courier New" w:hAnsi="Courier New"/>
          <w:sz w:val="18"/>
        </w:rPr>
        <w:t>0</w:t>
      </w:r>
      <w:r>
        <w:t xml:space="preserve">, while a 120-year beech row places uptake between </w:t>
      </w:r>
      <w:r>
        <w:rPr>
          <w:rFonts w:ascii="Courier New" w:hAnsi="Courier New"/>
          <w:sz w:val="18"/>
        </w:rPr>
        <w:t>-120</w:t>
      </w:r>
      <w:r>
        <w:t xml:space="preserve"> and </w:t>
      </w:r>
      <w:r>
        <w:rPr>
          <w:rFonts w:ascii="Courier New" w:hAnsi="Courier New"/>
          <w:sz w:val="18"/>
        </w:rPr>
        <w:t>0</w:t>
      </w:r>
      <w:r>
        <w:t xml:space="preserve">. For triangular </w:t>
      </w:r>
      <w:proofErr w:type="spellStart"/>
      <w:r>
        <w:rPr>
          <w:rFonts w:ascii="Courier New" w:hAnsi="Courier New"/>
          <w:sz w:val="18"/>
        </w:rPr>
        <w:t>stock_asset</w:t>
      </w:r>
      <w:proofErr w:type="spellEnd"/>
      <w:r>
        <w:t xml:space="preserve"> rows, the lifetime usually defines the finite negative support of the asset-vin</w:t>
      </w:r>
      <w:r>
        <w:lastRenderedPageBreak/>
        <w:t>tage profile, for example</w:t>
      </w:r>
      <w:r w:rsidR="003F373C">
        <w:t>,</w:t>
      </w:r>
      <w:r>
        <w:t xml:space="preserve"> </w:t>
      </w:r>
      <w:r>
        <w:rPr>
          <w:rFonts w:ascii="Courier New" w:hAnsi="Courier New"/>
          <w:sz w:val="18"/>
        </w:rPr>
        <w:t>-30</w:t>
      </w:r>
      <w:r>
        <w:t xml:space="preserve"> to </w:t>
      </w:r>
      <w:r>
        <w:rPr>
          <w:rFonts w:ascii="Courier New" w:hAnsi="Courier New"/>
          <w:sz w:val="18"/>
        </w:rPr>
        <w:t>-1</w:t>
      </w:r>
      <w:r>
        <w:t xml:space="preserve"> for a 30-year photovoltaic plant. For lognormal stock rows, the lifetime and recorded fleet-age assumptions define the location and scale of a negative fleet-vintage profile. For </w:t>
      </w:r>
      <w:r>
        <w:rPr>
          <w:rFonts w:ascii="Courier New" w:hAnsi="Courier New"/>
          <w:sz w:val="18"/>
        </w:rPr>
        <w:t>maintenance</w:t>
      </w:r>
      <w:r>
        <w:t xml:space="preserve"> and </w:t>
      </w:r>
      <w:r>
        <w:rPr>
          <w:rFonts w:ascii="Courier New" w:hAnsi="Courier New"/>
          <w:sz w:val="18"/>
        </w:rPr>
        <w:t>end</w:t>
      </w:r>
      <w:r w:rsidR="003F373C">
        <w:rPr>
          <w:rFonts w:ascii="Courier New" w:hAnsi="Courier New"/>
          <w:sz w:val="18"/>
        </w:rPr>
        <w:t>-of-</w:t>
      </w:r>
      <w:r>
        <w:rPr>
          <w:rFonts w:ascii="Courier New" w:hAnsi="Courier New"/>
          <w:sz w:val="18"/>
        </w:rPr>
        <w:t>life</w:t>
      </w:r>
      <w:r>
        <w:t xml:space="preserve">, the supplier row usually does not provide its own timing. Instead, </w:t>
      </w:r>
      <w:r w:rsidR="00D22538" w:rsidRPr="00D22538">
        <w:rPr>
          <w:i/>
          <w:iCs/>
        </w:rPr>
        <w:t>Premise</w:t>
      </w:r>
      <w:r w:rsidR="00D22538">
        <w:t xml:space="preserve"> r</w:t>
      </w:r>
      <w:r>
        <w:t xml:space="preserve">eads the lifetime of the calling stock-like dataset and uses it either as the upper bound of a uniform maintenance distribution or as the pulse time of an end-of-life exchange. </w:t>
      </w:r>
    </w:p>
    <w:p w14:paraId="5EF9EBA0" w14:textId="77777777" w:rsidR="00E4260D" w:rsidRDefault="00240788">
      <w:pPr>
        <w:pStyle w:val="figure"/>
        <w:jc w:val="center"/>
      </w:pPr>
      <w:r>
        <w:rPr>
          <w:noProof/>
        </w:rPr>
        <w:drawing>
          <wp:inline distT="0" distB="0" distL="0" distR="0" wp14:anchorId="697A26C3" wp14:editId="0E2E0206">
            <wp:extent cx="4037990" cy="2282342"/>
            <wp:effectExtent l="0" t="0" r="0" b="0"/>
            <wp:docPr id="7" name="Picture 7" descr="Temporal tag composition by CPC pref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mporal_csv_cpc_tag_composition.svg"/>
                    <pic:cNvPicPr/>
                  </pic:nvPicPr>
                  <pic:blipFill>
                    <a:blip r:embed="rId22">
                      <a:extLst>
                        <a:ext uri="{96DAC541-7B7A-43D3-8B79-37D633B846F1}">
                          <asvg:svgBlip xmlns:asvg="http://schemas.microsoft.com/office/drawing/2016/SVG/main" r:embed="rId23"/>
                        </a:ext>
                      </a:extLst>
                    </a:blip>
                    <a:stretch>
                      <a:fillRect/>
                    </a:stretch>
                  </pic:blipFill>
                  <pic:spPr>
                    <a:xfrm>
                      <a:off x="0" y="0"/>
                      <a:ext cx="4037990" cy="2282342"/>
                    </a:xfrm>
                    <a:prstGeom prst="rect">
                      <a:avLst/>
                    </a:prstGeom>
                  </pic:spPr>
                </pic:pic>
              </a:graphicData>
            </a:graphic>
          </wp:inline>
        </w:drawing>
      </w:r>
    </w:p>
    <w:p w14:paraId="5D0961D8" w14:textId="45A7F4AA" w:rsidR="00A06084" w:rsidRPr="00F867DD" w:rsidRDefault="00A06084" w:rsidP="00D30C61">
      <w:pPr>
        <w:pStyle w:val="fignotes"/>
      </w:pPr>
      <w:r w:rsidRPr="00F867DD">
        <w:rPr>
          <w:b/>
          <w:bCs/>
          <w:szCs w:val="17"/>
        </w:rPr>
        <w:t xml:space="preserve">Figure </w:t>
      </w:r>
      <w:r>
        <w:rPr>
          <w:b/>
          <w:bCs/>
          <w:szCs w:val="17"/>
        </w:rPr>
        <w:t>7</w:t>
      </w:r>
      <w:r w:rsidRPr="00F867DD">
        <w:rPr>
          <w:szCs w:val="17"/>
        </w:rPr>
        <w:t xml:space="preserve"> –</w:t>
      </w:r>
      <w:r w:rsidR="00D30C61">
        <w:t xml:space="preserve"> </w:t>
      </w:r>
      <w:r w:rsidR="00D30C61">
        <w:t>Composition of active temporal tags by CPC two-digit prefix. Bars count active temporal-distribution rows</w:t>
      </w:r>
      <w:r w:rsidR="00D30C61">
        <w:t xml:space="preserve"> </w:t>
      </w:r>
      <w:r w:rsidR="00D30C61">
        <w:t xml:space="preserve">by Central Product Classification prefix, with </w:t>
      </w:r>
      <w:proofErr w:type="spellStart"/>
      <w:r w:rsidR="00D30C61">
        <w:t>colours</w:t>
      </w:r>
      <w:proofErr w:type="spellEnd"/>
      <w:r w:rsidR="00D30C61">
        <w:t xml:space="preserve"> indicating whether the rows describe stock assets, biomass</w:t>
      </w:r>
      <w:r w:rsidR="00D30C61">
        <w:t xml:space="preserve"> </w:t>
      </w:r>
      <w:r w:rsidR="00D30C61">
        <w:t>growth, maintenance, or end-of-life timing</w:t>
      </w:r>
      <w:r w:rsidRPr="00F867DD">
        <w:t>.</w:t>
      </w:r>
    </w:p>
    <w:p w14:paraId="34D149E5" w14:textId="5E8D2788" w:rsidR="00E4260D" w:rsidRDefault="00E4260D">
      <w:pPr>
        <w:pStyle w:val="fignotes"/>
      </w:pPr>
    </w:p>
    <w:p w14:paraId="5C0C97D4" w14:textId="77777777" w:rsidR="00E4260D" w:rsidRDefault="00240788">
      <w:pPr>
        <w:pStyle w:val="figure"/>
        <w:jc w:val="center"/>
      </w:pPr>
      <w:r>
        <w:rPr>
          <w:noProof/>
        </w:rPr>
        <w:drawing>
          <wp:inline distT="0" distB="0" distL="0" distR="0" wp14:anchorId="16106B56" wp14:editId="0EF27CD7">
            <wp:extent cx="3774643" cy="1931212"/>
            <wp:effectExtent l="0" t="0" r="0" b="0"/>
            <wp:docPr id="8" name="Picture 8" descr="Lifetime ranges by temporal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mporal_csv_lifetimes_by_tag.svg"/>
                    <pic:cNvPicPr/>
                  </pic:nvPicPr>
                  <pic:blipFill>
                    <a:blip r:embed="rId24">
                      <a:extLst>
                        <a:ext uri="{96DAC541-7B7A-43D3-8B79-37D633B846F1}">
                          <asvg:svgBlip xmlns:asvg="http://schemas.microsoft.com/office/drawing/2016/SVG/main" r:embed="rId25"/>
                        </a:ext>
                      </a:extLst>
                    </a:blip>
                    <a:stretch>
                      <a:fillRect/>
                    </a:stretch>
                  </pic:blipFill>
                  <pic:spPr>
                    <a:xfrm>
                      <a:off x="0" y="0"/>
                      <a:ext cx="3774643" cy="1931212"/>
                    </a:xfrm>
                    <a:prstGeom prst="rect">
                      <a:avLst/>
                    </a:prstGeom>
                  </pic:spPr>
                </pic:pic>
              </a:graphicData>
            </a:graphic>
          </wp:inline>
        </w:drawing>
      </w:r>
    </w:p>
    <w:p w14:paraId="6A297E59" w14:textId="21D275C0" w:rsidR="00E4260D" w:rsidRDefault="00493D0B" w:rsidP="00D30C61">
      <w:pPr>
        <w:pStyle w:val="fignotes"/>
      </w:pPr>
      <w:r w:rsidRPr="00F867DD">
        <w:rPr>
          <w:b/>
          <w:bCs/>
          <w:szCs w:val="17"/>
        </w:rPr>
        <w:t xml:space="preserve">Figure </w:t>
      </w:r>
      <w:r>
        <w:rPr>
          <w:b/>
          <w:bCs/>
          <w:szCs w:val="17"/>
        </w:rPr>
        <w:t>8</w:t>
      </w:r>
      <w:r w:rsidRPr="00F867DD">
        <w:rPr>
          <w:szCs w:val="17"/>
        </w:rPr>
        <w:t xml:space="preserve"> – </w:t>
      </w:r>
      <w:r w:rsidR="00D30C61">
        <w:t>Lifetime ranges by temporal-distribution tag. Boxplots summarize rows with available lifetime values in</w:t>
      </w:r>
      <w:r w:rsidR="00D30C61">
        <w:t xml:space="preserve"> </w:t>
      </w:r>
      <w:r w:rsidR="00D30C61">
        <w:t>the temporal-distribution CSV, including active tags and reviewed throughput-process rows that document processes</w:t>
      </w:r>
      <w:r w:rsidR="00D30C61">
        <w:t xml:space="preserve"> </w:t>
      </w:r>
      <w:r w:rsidR="00D30C61">
        <w:t xml:space="preserve">left </w:t>
      </w:r>
      <w:proofErr w:type="spellStart"/>
      <w:r w:rsidR="00D30C61">
        <w:t>untemporalized</w:t>
      </w:r>
      <w:proofErr w:type="spellEnd"/>
      <w:r w:rsidRPr="00F867DD">
        <w:t>.</w:t>
      </w:r>
    </w:p>
    <w:p w14:paraId="54E11078" w14:textId="77777777" w:rsidR="00E4260D" w:rsidRDefault="00240788">
      <w:pPr>
        <w:pStyle w:val="figure"/>
        <w:jc w:val="center"/>
      </w:pPr>
      <w:r>
        <w:rPr>
          <w:noProof/>
        </w:rPr>
        <w:lastRenderedPageBreak/>
        <w:drawing>
          <wp:inline distT="0" distB="0" distL="0" distR="0" wp14:anchorId="07ABF93C" wp14:editId="6B851DF4">
            <wp:extent cx="3774643" cy="2545689"/>
            <wp:effectExtent l="0" t="0" r="0" b="0"/>
            <wp:docPr id="9" name="Picture 9" descr="Lifetime patterns by CPC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mporal_csv_cpc_lifetime_patterns.svg"/>
                    <pic:cNvPicPr/>
                  </pic:nvPicPr>
                  <pic:blipFill>
                    <a:blip r:embed="rId26">
                      <a:extLst>
                        <a:ext uri="{96DAC541-7B7A-43D3-8B79-37D633B846F1}">
                          <asvg:svgBlip xmlns:asvg="http://schemas.microsoft.com/office/drawing/2016/SVG/main" r:embed="rId27"/>
                        </a:ext>
                      </a:extLst>
                    </a:blip>
                    <a:stretch>
                      <a:fillRect/>
                    </a:stretch>
                  </pic:blipFill>
                  <pic:spPr>
                    <a:xfrm>
                      <a:off x="0" y="0"/>
                      <a:ext cx="3774643" cy="2545689"/>
                    </a:xfrm>
                    <a:prstGeom prst="rect">
                      <a:avLst/>
                    </a:prstGeom>
                  </pic:spPr>
                </pic:pic>
              </a:graphicData>
            </a:graphic>
          </wp:inline>
        </w:drawing>
      </w:r>
    </w:p>
    <w:p w14:paraId="660A941E" w14:textId="17F549AE" w:rsidR="00274C0D" w:rsidRPr="00F867DD" w:rsidRDefault="00274C0D" w:rsidP="005177E5">
      <w:pPr>
        <w:pStyle w:val="fignotes"/>
      </w:pPr>
      <w:r w:rsidRPr="00F867DD">
        <w:rPr>
          <w:b/>
          <w:bCs/>
          <w:szCs w:val="17"/>
        </w:rPr>
        <w:t xml:space="preserve">Figure </w:t>
      </w:r>
      <w:r w:rsidR="00317A37">
        <w:rPr>
          <w:b/>
          <w:bCs/>
          <w:szCs w:val="17"/>
        </w:rPr>
        <w:t>9</w:t>
      </w:r>
      <w:r w:rsidRPr="00F867DD">
        <w:rPr>
          <w:szCs w:val="17"/>
        </w:rPr>
        <w:t xml:space="preserve"> – </w:t>
      </w:r>
      <w:r w:rsidR="005177E5">
        <w:t>Lifetime patterns by CPC two-digit prefix for active temporal tags. Bars show median lifetime and</w:t>
      </w:r>
      <w:r w:rsidR="005177E5">
        <w:t xml:space="preserve"> </w:t>
      </w:r>
      <w:r w:rsidR="005177E5">
        <w:t>horizontal ranges show minimum and maximum values; labels report the number of rows per prefix</w:t>
      </w:r>
    </w:p>
    <w:p w14:paraId="4993810B" w14:textId="7EB9CAB3" w:rsidR="00E4260D" w:rsidRDefault="00BC5DBD">
      <w:r>
        <w:t>Figure 7, 8 and 9</w:t>
      </w:r>
      <w:r w:rsidR="00240788">
        <w:t xml:space="preserve"> should be read together. </w:t>
      </w:r>
      <w:r w:rsidR="000F296A">
        <w:t>Figure 7</w:t>
      </w:r>
      <w:r w:rsidR="00240788">
        <w:t xml:space="preserve"> shows which temporal tags are present in each CPC prefix. It therefore indicates where the table mainly contains stock assets, biomass-growth rows, maintenance rows, </w:t>
      </w:r>
      <w:r>
        <w:t xml:space="preserve">and </w:t>
      </w:r>
      <w:r w:rsidR="00240788">
        <w:t xml:space="preserve">end-of-life </w:t>
      </w:r>
      <w:r>
        <w:t>tags</w:t>
      </w:r>
      <w:r w:rsidR="00240788">
        <w:t xml:space="preserve">. </w:t>
      </w:r>
      <w:r w:rsidR="00A15AA0">
        <w:t>Figure 8</w:t>
      </w:r>
      <w:r w:rsidR="00240788">
        <w:t xml:space="preserve"> shows how the assumed lifetimes differ by temporal role. </w:t>
      </w:r>
      <w:r w:rsidR="0031087D">
        <w:t>Figure 9</w:t>
      </w:r>
      <w:r w:rsidR="00240788">
        <w:t xml:space="preserve"> shows the lifetime ranges for active temporal rows within the most frequent CPC prefixes. A CPC prefix with many reviewed rows does not necessarily have many active temporal exchanges</w:t>
      </w:r>
      <w:r w:rsidR="0031087D">
        <w:t>.</w:t>
      </w:r>
    </w:p>
    <w:p w14:paraId="3ACA61A2" w14:textId="1C9FD324" w:rsidR="00E4260D" w:rsidRDefault="00240788">
      <w:r>
        <w:t xml:space="preserve">The CPC labels in the two CPC figures are two-digit prefixes from the Central Product Classification. </w:t>
      </w:r>
      <w:r w:rsidR="00EB2715">
        <w:t>T</w:t>
      </w:r>
      <w:r>
        <w:t>hey correspond to the product or service groups</w:t>
      </w:r>
      <w:r w:rsidR="00EB2715">
        <w:t xml:space="preserve"> listed in Table 11.</w:t>
      </w:r>
    </w:p>
    <w:tbl>
      <w:tblPr>
        <w:tblStyle w:val="TableGrid"/>
        <w:tblW w:w="0" w:type="auto"/>
        <w:tblLook w:val="04A0" w:firstRow="1" w:lastRow="0" w:firstColumn="1" w:lastColumn="0" w:noHBand="0" w:noVBand="1"/>
      </w:tblPr>
      <w:tblGrid>
        <w:gridCol w:w="1696"/>
        <w:gridCol w:w="4927"/>
      </w:tblGrid>
      <w:tr w:rsidR="00E4260D" w14:paraId="741E48C1" w14:textId="77777777" w:rsidTr="003972A5">
        <w:tc>
          <w:tcPr>
            <w:tcW w:w="1696" w:type="dxa"/>
            <w:shd w:val="clear" w:color="auto" w:fill="D9EAF7"/>
          </w:tcPr>
          <w:p w14:paraId="01104724" w14:textId="77777777" w:rsidR="00E4260D" w:rsidRDefault="00240788">
            <w:r>
              <w:rPr>
                <w:b/>
              </w:rPr>
              <w:t>CPC prefix</w:t>
            </w:r>
          </w:p>
        </w:tc>
        <w:tc>
          <w:tcPr>
            <w:tcW w:w="4927" w:type="dxa"/>
            <w:shd w:val="clear" w:color="auto" w:fill="D9EAF7"/>
          </w:tcPr>
          <w:p w14:paraId="6885E7E6" w14:textId="77777777" w:rsidR="00E4260D" w:rsidRDefault="00240788">
            <w:r>
              <w:rPr>
                <w:b/>
              </w:rPr>
              <w:t>Main group represented in the figures</w:t>
            </w:r>
          </w:p>
        </w:tc>
      </w:tr>
      <w:tr w:rsidR="00E4260D" w14:paraId="45774C4D" w14:textId="77777777" w:rsidTr="003972A5">
        <w:tc>
          <w:tcPr>
            <w:tcW w:w="1696" w:type="dxa"/>
          </w:tcPr>
          <w:p w14:paraId="48DA167D" w14:textId="77777777" w:rsidR="00E4260D" w:rsidRDefault="00240788">
            <w:r>
              <w:rPr>
                <w:rFonts w:ascii="Courier New" w:hAnsi="Courier New"/>
                <w:sz w:val="18"/>
              </w:rPr>
              <w:t>01</w:t>
            </w:r>
          </w:p>
        </w:tc>
        <w:tc>
          <w:tcPr>
            <w:tcW w:w="4927" w:type="dxa"/>
          </w:tcPr>
          <w:p w14:paraId="719D9558" w14:textId="77777777" w:rsidR="00E4260D" w:rsidRDefault="00240788">
            <w:r>
              <w:t>Agricultural products, crops, straw, forage, and live plants.</w:t>
            </w:r>
          </w:p>
        </w:tc>
      </w:tr>
      <w:tr w:rsidR="00E4260D" w14:paraId="09CFD449" w14:textId="77777777" w:rsidTr="003972A5">
        <w:tc>
          <w:tcPr>
            <w:tcW w:w="1696" w:type="dxa"/>
          </w:tcPr>
          <w:p w14:paraId="0CB6FF11" w14:textId="77777777" w:rsidR="00E4260D" w:rsidRDefault="00240788">
            <w:r>
              <w:rPr>
                <w:rFonts w:ascii="Courier New" w:hAnsi="Courier New"/>
                <w:sz w:val="18"/>
              </w:rPr>
              <w:t>03</w:t>
            </w:r>
          </w:p>
        </w:tc>
        <w:tc>
          <w:tcPr>
            <w:tcW w:w="4927" w:type="dxa"/>
          </w:tcPr>
          <w:p w14:paraId="6363E187" w14:textId="77777777" w:rsidR="00E4260D" w:rsidRDefault="00240788">
            <w:r>
              <w:t>Forestry products, logs, cork, and natural gums.</w:t>
            </w:r>
          </w:p>
        </w:tc>
      </w:tr>
      <w:tr w:rsidR="00E4260D" w14:paraId="6204EB80" w14:textId="77777777" w:rsidTr="003972A5">
        <w:tc>
          <w:tcPr>
            <w:tcW w:w="1696" w:type="dxa"/>
          </w:tcPr>
          <w:p w14:paraId="050F98A4" w14:textId="77777777" w:rsidR="00E4260D" w:rsidRDefault="00240788">
            <w:r>
              <w:rPr>
                <w:rFonts w:ascii="Courier New" w:hAnsi="Courier New"/>
                <w:sz w:val="18"/>
              </w:rPr>
              <w:t>23</w:t>
            </w:r>
          </w:p>
        </w:tc>
        <w:tc>
          <w:tcPr>
            <w:tcW w:w="4927" w:type="dxa"/>
          </w:tcPr>
          <w:p w14:paraId="425F6DD2" w14:textId="77777777" w:rsidR="00E4260D" w:rsidRDefault="00240788">
            <w:r>
              <w:t>Grain-mill products, starches, animal feed preparations, sugar, and related food-processing outputs.</w:t>
            </w:r>
          </w:p>
        </w:tc>
      </w:tr>
      <w:tr w:rsidR="00E4260D" w14:paraId="00A82C43" w14:textId="77777777" w:rsidTr="003972A5">
        <w:tc>
          <w:tcPr>
            <w:tcW w:w="1696" w:type="dxa"/>
          </w:tcPr>
          <w:p w14:paraId="71CB8203" w14:textId="77777777" w:rsidR="00E4260D" w:rsidRDefault="00240788">
            <w:r>
              <w:rPr>
                <w:rFonts w:ascii="Courier New" w:hAnsi="Courier New"/>
                <w:sz w:val="18"/>
              </w:rPr>
              <w:t>31</w:t>
            </w:r>
          </w:p>
        </w:tc>
        <w:tc>
          <w:tcPr>
            <w:tcW w:w="4927" w:type="dxa"/>
          </w:tcPr>
          <w:p w14:paraId="2747983D" w14:textId="77777777" w:rsidR="00E4260D" w:rsidRDefault="00240788">
            <w:r>
              <w:t>Wood, sawn wood, wood chips, plywood, and related wood products.</w:t>
            </w:r>
          </w:p>
        </w:tc>
      </w:tr>
      <w:tr w:rsidR="00E4260D" w14:paraId="18E59AB5" w14:textId="77777777" w:rsidTr="003972A5">
        <w:tc>
          <w:tcPr>
            <w:tcW w:w="1696" w:type="dxa"/>
          </w:tcPr>
          <w:p w14:paraId="4EB6C07C" w14:textId="77777777" w:rsidR="00E4260D" w:rsidRDefault="00240788">
            <w:r>
              <w:rPr>
                <w:rFonts w:ascii="Courier New" w:hAnsi="Courier New"/>
                <w:sz w:val="18"/>
              </w:rPr>
              <w:lastRenderedPageBreak/>
              <w:t>39</w:t>
            </w:r>
          </w:p>
        </w:tc>
        <w:tc>
          <w:tcPr>
            <w:tcW w:w="4927" w:type="dxa"/>
          </w:tcPr>
          <w:p w14:paraId="54032D16" w14:textId="77777777" w:rsidR="00E4260D" w:rsidRDefault="00240788">
            <w:r>
              <w:t>Wastes, residues, scrap materials, sewage sludge, and ash.</w:t>
            </w:r>
          </w:p>
        </w:tc>
      </w:tr>
      <w:tr w:rsidR="00E4260D" w14:paraId="6E32A930" w14:textId="77777777" w:rsidTr="003972A5">
        <w:tc>
          <w:tcPr>
            <w:tcW w:w="1696" w:type="dxa"/>
          </w:tcPr>
          <w:p w14:paraId="3B6CD2F1" w14:textId="77777777" w:rsidR="00E4260D" w:rsidRDefault="00240788">
            <w:r>
              <w:rPr>
                <w:rFonts w:ascii="Courier New" w:hAnsi="Courier New"/>
                <w:sz w:val="18"/>
              </w:rPr>
              <w:t>42</w:t>
            </w:r>
          </w:p>
        </w:tc>
        <w:tc>
          <w:tcPr>
            <w:tcW w:w="4927" w:type="dxa"/>
          </w:tcPr>
          <w:p w14:paraId="58E54270" w14:textId="77777777" w:rsidR="00E4260D" w:rsidRDefault="00240788">
            <w:r>
              <w:t>Fabricated metal products such as tanks, containers, frames, and coated metal products.</w:t>
            </w:r>
          </w:p>
        </w:tc>
      </w:tr>
      <w:tr w:rsidR="00E4260D" w14:paraId="0C1C9461" w14:textId="77777777" w:rsidTr="003972A5">
        <w:tc>
          <w:tcPr>
            <w:tcW w:w="1696" w:type="dxa"/>
          </w:tcPr>
          <w:p w14:paraId="289182DC" w14:textId="77777777" w:rsidR="00E4260D" w:rsidRDefault="00240788">
            <w:r>
              <w:rPr>
                <w:rFonts w:ascii="Courier New" w:hAnsi="Courier New"/>
                <w:sz w:val="18"/>
              </w:rPr>
              <w:t>43</w:t>
            </w:r>
          </w:p>
        </w:tc>
        <w:tc>
          <w:tcPr>
            <w:tcW w:w="4927" w:type="dxa"/>
          </w:tcPr>
          <w:p w14:paraId="71560577" w14:textId="77777777" w:rsidR="00E4260D" w:rsidRDefault="00240788">
            <w:r>
              <w:t>Machinery and equipment, including furnaces, filters, generators, refrigeration equipment, and heat pumps.</w:t>
            </w:r>
          </w:p>
        </w:tc>
      </w:tr>
      <w:tr w:rsidR="00E4260D" w14:paraId="3B68B2E7" w14:textId="77777777" w:rsidTr="003972A5">
        <w:tc>
          <w:tcPr>
            <w:tcW w:w="1696" w:type="dxa"/>
          </w:tcPr>
          <w:p w14:paraId="3F75012A" w14:textId="77777777" w:rsidR="00E4260D" w:rsidRDefault="00240788">
            <w:r>
              <w:rPr>
                <w:rFonts w:ascii="Courier New" w:hAnsi="Courier New"/>
                <w:sz w:val="18"/>
              </w:rPr>
              <w:t>44</w:t>
            </w:r>
          </w:p>
        </w:tc>
        <w:tc>
          <w:tcPr>
            <w:tcW w:w="4927" w:type="dxa"/>
          </w:tcPr>
          <w:p w14:paraId="06BA7D61" w14:textId="77777777" w:rsidR="00E4260D" w:rsidRDefault="00240788">
            <w:r>
              <w:t>Agricultural, forestry, domestic, and other special-purpose machinery.</w:t>
            </w:r>
          </w:p>
        </w:tc>
      </w:tr>
      <w:tr w:rsidR="00E4260D" w14:paraId="2EFB93DD" w14:textId="77777777" w:rsidTr="003972A5">
        <w:tc>
          <w:tcPr>
            <w:tcW w:w="1696" w:type="dxa"/>
          </w:tcPr>
          <w:p w14:paraId="3AA41864" w14:textId="77777777" w:rsidR="00E4260D" w:rsidRDefault="00240788">
            <w:r>
              <w:rPr>
                <w:rFonts w:ascii="Courier New" w:hAnsi="Courier New"/>
                <w:sz w:val="18"/>
              </w:rPr>
              <w:t>46</w:t>
            </w:r>
          </w:p>
        </w:tc>
        <w:tc>
          <w:tcPr>
            <w:tcW w:w="4927" w:type="dxa"/>
          </w:tcPr>
          <w:p w14:paraId="44489150" w14:textId="77777777" w:rsidR="00E4260D" w:rsidRDefault="00240788">
            <w:r>
              <w:t>Electrical machinery, batteries, accumulators, and related parts.</w:t>
            </w:r>
          </w:p>
        </w:tc>
      </w:tr>
      <w:tr w:rsidR="00E4260D" w14:paraId="0A07024E" w14:textId="77777777" w:rsidTr="003972A5">
        <w:tc>
          <w:tcPr>
            <w:tcW w:w="1696" w:type="dxa"/>
          </w:tcPr>
          <w:p w14:paraId="04644B0C" w14:textId="77777777" w:rsidR="00E4260D" w:rsidRDefault="00240788">
            <w:r>
              <w:rPr>
                <w:rFonts w:ascii="Courier New" w:hAnsi="Courier New"/>
                <w:sz w:val="18"/>
              </w:rPr>
              <w:t>49</w:t>
            </w:r>
          </w:p>
        </w:tc>
        <w:tc>
          <w:tcPr>
            <w:tcW w:w="4927" w:type="dxa"/>
          </w:tcPr>
          <w:p w14:paraId="169FC2F6" w14:textId="77777777" w:rsidR="00E4260D" w:rsidRDefault="00240788">
            <w:r>
              <w:t>Transport equipment, including passenger vehicles, buses, lorries, motorcycles, aircraft, and parts.</w:t>
            </w:r>
          </w:p>
        </w:tc>
      </w:tr>
      <w:tr w:rsidR="00E4260D" w14:paraId="20D57AB5" w14:textId="77777777" w:rsidTr="003972A5">
        <w:tc>
          <w:tcPr>
            <w:tcW w:w="1696" w:type="dxa"/>
          </w:tcPr>
          <w:p w14:paraId="49F020E2" w14:textId="77777777" w:rsidR="00E4260D" w:rsidRDefault="00240788">
            <w:r>
              <w:rPr>
                <w:rFonts w:ascii="Courier New" w:hAnsi="Courier New"/>
                <w:sz w:val="18"/>
              </w:rPr>
              <w:t>53</w:t>
            </w:r>
          </w:p>
        </w:tc>
        <w:tc>
          <w:tcPr>
            <w:tcW w:w="4927" w:type="dxa"/>
          </w:tcPr>
          <w:p w14:paraId="1C2A60EF" w14:textId="77777777" w:rsidR="00E4260D" w:rsidRDefault="00240788">
            <w:r>
              <w:t>Constructions, including power plants, manufacturing facilities, treatment plants, mining constructions, and civil engineering works.</w:t>
            </w:r>
          </w:p>
        </w:tc>
      </w:tr>
      <w:tr w:rsidR="00E4260D" w14:paraId="524D05BB" w14:textId="77777777" w:rsidTr="003972A5">
        <w:tc>
          <w:tcPr>
            <w:tcW w:w="1696" w:type="dxa"/>
          </w:tcPr>
          <w:p w14:paraId="38D128FA" w14:textId="77777777" w:rsidR="00E4260D" w:rsidRDefault="00240788">
            <w:r>
              <w:rPr>
                <w:rFonts w:ascii="Courier New" w:hAnsi="Courier New"/>
                <w:sz w:val="18"/>
              </w:rPr>
              <w:t>54</w:t>
            </w:r>
          </w:p>
        </w:tc>
        <w:tc>
          <w:tcPr>
            <w:tcW w:w="4927" w:type="dxa"/>
          </w:tcPr>
          <w:p w14:paraId="4B1DD3A4" w14:textId="77777777" w:rsidR="00E4260D" w:rsidRDefault="00240788">
            <w:r>
              <w:t>Construction services, painting, heating-equipment installation, and civil-engineering services.</w:t>
            </w:r>
          </w:p>
        </w:tc>
      </w:tr>
      <w:tr w:rsidR="00E4260D" w14:paraId="7B65D205" w14:textId="77777777" w:rsidTr="003972A5">
        <w:tc>
          <w:tcPr>
            <w:tcW w:w="1696" w:type="dxa"/>
          </w:tcPr>
          <w:p w14:paraId="6FE1B7E3" w14:textId="77777777" w:rsidR="00E4260D" w:rsidRDefault="00240788">
            <w:r>
              <w:rPr>
                <w:rFonts w:ascii="Courier New" w:hAnsi="Courier New"/>
                <w:sz w:val="18"/>
              </w:rPr>
              <w:t>86</w:t>
            </w:r>
          </w:p>
        </w:tc>
        <w:tc>
          <w:tcPr>
            <w:tcW w:w="4927" w:type="dxa"/>
          </w:tcPr>
          <w:p w14:paraId="41588151" w14:textId="77777777" w:rsidR="00E4260D" w:rsidRDefault="00240788">
            <w:r>
              <w:t>Agricultural, forestry, logging, crop-support, and extraction-support services.</w:t>
            </w:r>
          </w:p>
        </w:tc>
      </w:tr>
      <w:tr w:rsidR="00E4260D" w14:paraId="7CF1289F" w14:textId="77777777" w:rsidTr="003972A5">
        <w:tc>
          <w:tcPr>
            <w:tcW w:w="1696" w:type="dxa"/>
          </w:tcPr>
          <w:p w14:paraId="0C37029B" w14:textId="77777777" w:rsidR="00E4260D" w:rsidRDefault="00240788">
            <w:r>
              <w:rPr>
                <w:rFonts w:ascii="Courier New" w:hAnsi="Courier New"/>
                <w:sz w:val="18"/>
              </w:rPr>
              <w:t>87</w:t>
            </w:r>
          </w:p>
        </w:tc>
        <w:tc>
          <w:tcPr>
            <w:tcW w:w="4927" w:type="dxa"/>
          </w:tcPr>
          <w:p w14:paraId="356BA04B" w14:textId="77777777" w:rsidR="00E4260D" w:rsidRDefault="00240788">
            <w:r>
              <w:t>Maintenance, repair, and installation services.</w:t>
            </w:r>
          </w:p>
        </w:tc>
      </w:tr>
    </w:tbl>
    <w:p w14:paraId="4AB051A0" w14:textId="340FAC00" w:rsidR="00E4260D" w:rsidRPr="001440EF" w:rsidRDefault="001440EF" w:rsidP="005A7900">
      <w:pPr>
        <w:rPr>
          <w:sz w:val="17"/>
          <w:szCs w:val="17"/>
        </w:rPr>
      </w:pPr>
      <w:r w:rsidRPr="00321DE6">
        <w:rPr>
          <w:b/>
          <w:bCs/>
          <w:sz w:val="17"/>
          <w:szCs w:val="17"/>
        </w:rPr>
        <w:t xml:space="preserve">Table </w:t>
      </w:r>
      <w:r>
        <w:rPr>
          <w:b/>
          <w:bCs/>
          <w:sz w:val="17"/>
          <w:szCs w:val="17"/>
        </w:rPr>
        <w:t>11</w:t>
      </w:r>
      <w:r w:rsidRPr="00321DE6">
        <w:rPr>
          <w:sz w:val="17"/>
          <w:szCs w:val="17"/>
        </w:rPr>
        <w:t xml:space="preserve"> – </w:t>
      </w:r>
      <w:r w:rsidR="005A7900" w:rsidRPr="005A7900">
        <w:rPr>
          <w:sz w:val="17"/>
          <w:szCs w:val="17"/>
        </w:rPr>
        <w:t>CPC two-digit prefixes used to interpret Figures 7 and 9. The labels translate numerical Central Product</w:t>
      </w:r>
      <w:r w:rsidR="005A7900">
        <w:rPr>
          <w:sz w:val="17"/>
          <w:szCs w:val="17"/>
        </w:rPr>
        <w:t xml:space="preserve"> </w:t>
      </w:r>
      <w:r w:rsidR="005A7900" w:rsidRPr="005A7900">
        <w:rPr>
          <w:sz w:val="17"/>
          <w:szCs w:val="17"/>
        </w:rPr>
        <w:t>Classification prefixes into the product and service groups represented among active temporal-distribution rows</w:t>
      </w:r>
      <w:r>
        <w:rPr>
          <w:sz w:val="17"/>
          <w:szCs w:val="17"/>
        </w:rPr>
        <w:t>.</w:t>
      </w:r>
    </w:p>
    <w:p w14:paraId="69383652" w14:textId="045F63E4" w:rsidR="00E4260D" w:rsidRDefault="00240788">
      <w:r>
        <w:t xml:space="preserve">Among rows with active temporal tags and available lifetimes, the dominant CPC prefixes </w:t>
      </w:r>
      <w:r w:rsidR="009400AC">
        <w:t>and associated lifetime values are described in Table 12.</w:t>
      </w:r>
    </w:p>
    <w:tbl>
      <w:tblPr>
        <w:tblStyle w:val="TableGrid"/>
        <w:tblW w:w="5000" w:type="pct"/>
        <w:tblLook w:val="04A0" w:firstRow="1" w:lastRow="0" w:firstColumn="1" w:lastColumn="0" w:noHBand="0" w:noVBand="1"/>
      </w:tblPr>
      <w:tblGrid>
        <w:gridCol w:w="1205"/>
        <w:gridCol w:w="1236"/>
        <w:gridCol w:w="1441"/>
        <w:gridCol w:w="2741"/>
      </w:tblGrid>
      <w:tr w:rsidR="007B6206" w14:paraId="760D4DDE" w14:textId="77777777" w:rsidTr="007B6206">
        <w:tc>
          <w:tcPr>
            <w:tcW w:w="910" w:type="pct"/>
            <w:shd w:val="clear" w:color="auto" w:fill="D9EAF7"/>
          </w:tcPr>
          <w:p w14:paraId="2C88E7C5" w14:textId="77777777" w:rsidR="007B6206" w:rsidRDefault="007B6206">
            <w:r>
              <w:rPr>
                <w:b/>
              </w:rPr>
              <w:t>CPC prefix</w:t>
            </w:r>
          </w:p>
        </w:tc>
        <w:tc>
          <w:tcPr>
            <w:tcW w:w="933" w:type="pct"/>
            <w:shd w:val="clear" w:color="auto" w:fill="D9EAF7"/>
          </w:tcPr>
          <w:p w14:paraId="2247FBA2" w14:textId="77777777" w:rsidR="007B6206" w:rsidRDefault="007B6206">
            <w:r>
              <w:rPr>
                <w:b/>
              </w:rPr>
              <w:t>Median lifetime</w:t>
            </w:r>
          </w:p>
        </w:tc>
        <w:tc>
          <w:tcPr>
            <w:tcW w:w="1088" w:type="pct"/>
            <w:shd w:val="clear" w:color="auto" w:fill="D9EAF7"/>
          </w:tcPr>
          <w:p w14:paraId="3E8D42F4" w14:textId="25635ABE" w:rsidR="007B6206" w:rsidRDefault="00410C02">
            <w:r>
              <w:rPr>
                <w:b/>
              </w:rPr>
              <w:t>Associated datasets in ecoinvent</w:t>
            </w:r>
          </w:p>
        </w:tc>
        <w:tc>
          <w:tcPr>
            <w:tcW w:w="2069" w:type="pct"/>
            <w:shd w:val="clear" w:color="auto" w:fill="D9EAF7"/>
          </w:tcPr>
          <w:p w14:paraId="4C4E60F5" w14:textId="77777777" w:rsidR="007B6206" w:rsidRDefault="007B6206">
            <w:r>
              <w:rPr>
                <w:b/>
              </w:rPr>
              <w:t>Sources and assumptions</w:t>
            </w:r>
          </w:p>
        </w:tc>
      </w:tr>
      <w:tr w:rsidR="007B6206" w14:paraId="77712592" w14:textId="77777777" w:rsidTr="007B6206">
        <w:tc>
          <w:tcPr>
            <w:tcW w:w="910" w:type="pct"/>
          </w:tcPr>
          <w:p w14:paraId="3F67CF96" w14:textId="77777777" w:rsidR="007B6206" w:rsidRDefault="007B6206">
            <w:r>
              <w:rPr>
                <w:rFonts w:ascii="Courier New" w:hAnsi="Courier New"/>
                <w:sz w:val="18"/>
              </w:rPr>
              <w:t>49</w:t>
            </w:r>
          </w:p>
        </w:tc>
        <w:tc>
          <w:tcPr>
            <w:tcW w:w="933" w:type="pct"/>
          </w:tcPr>
          <w:p w14:paraId="141A49C7" w14:textId="78943846" w:rsidR="007B6206" w:rsidRDefault="007B6206">
            <w:r>
              <w:t>14.8 years</w:t>
            </w:r>
          </w:p>
        </w:tc>
        <w:tc>
          <w:tcPr>
            <w:tcW w:w="1088" w:type="pct"/>
          </w:tcPr>
          <w:p w14:paraId="4F8D0646" w14:textId="77777777" w:rsidR="007B6206" w:rsidRDefault="007B6206">
            <w:r>
              <w:t>Passenger cars, buses, lorries, and other transport equipment; mostly fleet-</w:t>
            </w:r>
            <w:r>
              <w:lastRenderedPageBreak/>
              <w:t>age or vehicle-stock timing.</w:t>
            </w:r>
          </w:p>
        </w:tc>
        <w:tc>
          <w:tcPr>
            <w:tcW w:w="2069" w:type="pct"/>
          </w:tcPr>
          <w:p w14:paraId="703680FF" w14:textId="77777777" w:rsidR="007B6206" w:rsidRDefault="007B6206">
            <w:r>
              <w:lastRenderedPageBreak/>
              <w:t>Fleet-age lognormal notes, typical passenger-car lifetime, bus lifetime, and heavy-truck lifetime assumptions.</w:t>
            </w:r>
          </w:p>
        </w:tc>
      </w:tr>
      <w:tr w:rsidR="007B6206" w14:paraId="1B25BAD2" w14:textId="77777777" w:rsidTr="007B6206">
        <w:tc>
          <w:tcPr>
            <w:tcW w:w="910" w:type="pct"/>
          </w:tcPr>
          <w:p w14:paraId="6AD48D5B" w14:textId="77777777" w:rsidR="007B6206" w:rsidRDefault="007B6206">
            <w:r>
              <w:rPr>
                <w:rFonts w:ascii="Courier New" w:hAnsi="Courier New"/>
                <w:sz w:val="18"/>
              </w:rPr>
              <w:t>53</w:t>
            </w:r>
          </w:p>
        </w:tc>
        <w:tc>
          <w:tcPr>
            <w:tcW w:w="933" w:type="pct"/>
          </w:tcPr>
          <w:p w14:paraId="640F34D5" w14:textId="77777777" w:rsidR="007B6206" w:rsidRDefault="007B6206">
            <w:r>
              <w:t>40 years</w:t>
            </w:r>
          </w:p>
        </w:tc>
        <w:tc>
          <w:tcPr>
            <w:tcW w:w="1088" w:type="pct"/>
          </w:tcPr>
          <w:p w14:paraId="366AB642" w14:textId="77777777" w:rsidR="007B6206" w:rsidRDefault="007B6206">
            <w:r>
              <w:t>Buildings, power plants, and other constructions; mostly long-lived stock assets.</w:t>
            </w:r>
          </w:p>
        </w:tc>
        <w:tc>
          <w:tcPr>
            <w:tcW w:w="2069" w:type="pct"/>
          </w:tcPr>
          <w:p w14:paraId="36DEC484" w14:textId="77777777" w:rsidR="007B6206" w:rsidRDefault="007B6206">
            <w:r>
              <w:t>Typical PV system lifetime, wind-turbine lifetime, power-plant construction, industrial building, and pipeline lifetime notes.</w:t>
            </w:r>
          </w:p>
        </w:tc>
      </w:tr>
      <w:tr w:rsidR="007B6206" w14:paraId="5182A177" w14:textId="77777777" w:rsidTr="007B6206">
        <w:tc>
          <w:tcPr>
            <w:tcW w:w="910" w:type="pct"/>
          </w:tcPr>
          <w:p w14:paraId="117CCCFA" w14:textId="77777777" w:rsidR="007B6206" w:rsidRDefault="007B6206">
            <w:r>
              <w:rPr>
                <w:rFonts w:ascii="Courier New" w:hAnsi="Courier New"/>
                <w:sz w:val="18"/>
              </w:rPr>
              <w:t>01</w:t>
            </w:r>
          </w:p>
        </w:tc>
        <w:tc>
          <w:tcPr>
            <w:tcW w:w="933" w:type="pct"/>
          </w:tcPr>
          <w:p w14:paraId="03F13793" w14:textId="77777777" w:rsidR="007B6206" w:rsidRDefault="007B6206">
            <w:r>
              <w:t>1 year</w:t>
            </w:r>
          </w:p>
        </w:tc>
        <w:tc>
          <w:tcPr>
            <w:tcW w:w="1088" w:type="pct"/>
          </w:tcPr>
          <w:p w14:paraId="57EDA997" w14:textId="77777777" w:rsidR="007B6206" w:rsidRDefault="007B6206">
            <w:r>
              <w:t>Crops, straw, forage, and other agricultural biomass rows; mostly biomass-growth timing.</w:t>
            </w:r>
          </w:p>
        </w:tc>
        <w:tc>
          <w:tcPr>
            <w:tcW w:w="2069" w:type="pct"/>
          </w:tcPr>
          <w:p w14:paraId="538FDF9E" w14:textId="77777777" w:rsidR="007B6206" w:rsidRDefault="007B6206">
            <w:proofErr w:type="spellStart"/>
            <w:r>
              <w:rPr>
                <w:rFonts w:ascii="Courier New" w:hAnsi="Courier New"/>
                <w:sz w:val="18"/>
              </w:rPr>
              <w:t>biomass_growth_default_annual</w:t>
            </w:r>
            <w:proofErr w:type="spellEnd"/>
            <w:r>
              <w:rPr>
                <w:rFonts w:ascii="Courier New" w:hAnsi="Courier New"/>
                <w:sz w:val="18"/>
              </w:rPr>
              <w:t xml:space="preserve"> crops_from_co2_list</w:t>
            </w:r>
            <w:r>
              <w:t xml:space="preserve">, </w:t>
            </w:r>
            <w:proofErr w:type="spellStart"/>
            <w:r>
              <w:rPr>
                <w:rFonts w:ascii="Courier New" w:hAnsi="Courier New"/>
                <w:sz w:val="18"/>
              </w:rPr>
              <w:t>biomass_growth_default_grassland</w:t>
            </w:r>
            <w:proofErr w:type="spellEnd"/>
            <w:r>
              <w:rPr>
                <w:rFonts w:ascii="Courier New" w:hAnsi="Courier New"/>
                <w:sz w:val="18"/>
              </w:rPr>
              <w:t>/forage_from_co2_list</w:t>
            </w:r>
            <w:r>
              <w:t>, and perennial crop defaults.</w:t>
            </w:r>
          </w:p>
        </w:tc>
      </w:tr>
      <w:tr w:rsidR="007B6206" w14:paraId="2AB5C816" w14:textId="77777777" w:rsidTr="007B6206">
        <w:tc>
          <w:tcPr>
            <w:tcW w:w="910" w:type="pct"/>
          </w:tcPr>
          <w:p w14:paraId="1B792FBE" w14:textId="77777777" w:rsidR="007B6206" w:rsidRDefault="007B6206">
            <w:r>
              <w:rPr>
                <w:rFonts w:ascii="Courier New" w:hAnsi="Courier New"/>
                <w:sz w:val="18"/>
              </w:rPr>
              <w:t>43</w:t>
            </w:r>
          </w:p>
        </w:tc>
        <w:tc>
          <w:tcPr>
            <w:tcW w:w="933" w:type="pct"/>
          </w:tcPr>
          <w:p w14:paraId="3469B5A6" w14:textId="77777777" w:rsidR="007B6206" w:rsidRDefault="007B6206">
            <w:r>
              <w:t>20 years</w:t>
            </w:r>
          </w:p>
        </w:tc>
        <w:tc>
          <w:tcPr>
            <w:tcW w:w="1088" w:type="pct"/>
          </w:tcPr>
          <w:p w14:paraId="566A81E3" w14:textId="77777777" w:rsidR="007B6206" w:rsidRDefault="007B6206">
            <w:r>
              <w:t>Machinery, furnaces, and equipment; mostly stock assets.</w:t>
            </w:r>
          </w:p>
        </w:tc>
        <w:tc>
          <w:tcPr>
            <w:tcW w:w="2069" w:type="pct"/>
          </w:tcPr>
          <w:p w14:paraId="4F05C079" w14:textId="77777777" w:rsidR="007B6206" w:rsidRDefault="007B6206">
            <w:r>
              <w:t>Equipment lifetime notes such as filters, modules, heat exchangers, furnaces, pumps, and common component lifetimes.</w:t>
            </w:r>
          </w:p>
        </w:tc>
      </w:tr>
      <w:tr w:rsidR="007B6206" w14:paraId="7A6F387F" w14:textId="77777777" w:rsidTr="007B6206">
        <w:tc>
          <w:tcPr>
            <w:tcW w:w="910" w:type="pct"/>
          </w:tcPr>
          <w:p w14:paraId="1AC9BD93" w14:textId="77777777" w:rsidR="007B6206" w:rsidRDefault="007B6206">
            <w:r>
              <w:rPr>
                <w:rFonts w:ascii="Courier New" w:hAnsi="Courier New"/>
                <w:sz w:val="18"/>
              </w:rPr>
              <w:t>03</w:t>
            </w:r>
          </w:p>
        </w:tc>
        <w:tc>
          <w:tcPr>
            <w:tcW w:w="933" w:type="pct"/>
          </w:tcPr>
          <w:p w14:paraId="1C78A7D7" w14:textId="77777777" w:rsidR="007B6206" w:rsidRDefault="007B6206">
            <w:r>
              <w:t>60 years</w:t>
            </w:r>
          </w:p>
        </w:tc>
        <w:tc>
          <w:tcPr>
            <w:tcW w:w="1088" w:type="pct"/>
          </w:tcPr>
          <w:p w14:paraId="5BCBACC2" w14:textId="77777777" w:rsidR="007B6206" w:rsidRDefault="007B6206">
            <w:r>
              <w:t>Logs and forestry products; mostly biomass-growth timing over forestry rotation periods.</w:t>
            </w:r>
          </w:p>
        </w:tc>
        <w:tc>
          <w:tcPr>
            <w:tcW w:w="2069" w:type="pct"/>
          </w:tcPr>
          <w:p w14:paraId="2FAF7D86" w14:textId="77777777" w:rsidR="007B6206" w:rsidRDefault="007B6206">
            <w:r>
              <w:t>Forestry and roundwood defaults, with species-specific sources such as Wald-Prinz, FAO, ABARES, IPB, and EUFORGEN where recorded.</w:t>
            </w:r>
          </w:p>
        </w:tc>
      </w:tr>
      <w:tr w:rsidR="007B6206" w14:paraId="0058E44B" w14:textId="77777777" w:rsidTr="007B6206">
        <w:tc>
          <w:tcPr>
            <w:tcW w:w="910" w:type="pct"/>
          </w:tcPr>
          <w:p w14:paraId="17D75088" w14:textId="77777777" w:rsidR="007B6206" w:rsidRDefault="007B6206">
            <w:r>
              <w:rPr>
                <w:rFonts w:ascii="Courier New" w:hAnsi="Courier New"/>
                <w:sz w:val="18"/>
              </w:rPr>
              <w:t>87</w:t>
            </w:r>
          </w:p>
        </w:tc>
        <w:tc>
          <w:tcPr>
            <w:tcW w:w="933" w:type="pct"/>
          </w:tcPr>
          <w:p w14:paraId="3FEF2541" w14:textId="77777777" w:rsidR="007B6206" w:rsidRDefault="007B6206">
            <w:r>
              <w:t>30 years</w:t>
            </w:r>
          </w:p>
        </w:tc>
        <w:tc>
          <w:tcPr>
            <w:tcW w:w="1088" w:type="pct"/>
          </w:tcPr>
          <w:p w14:paraId="5474FA84" w14:textId="77777777" w:rsidR="007B6206" w:rsidRDefault="007B6206">
            <w:r>
              <w:t>Installation services, especially electrical machinery and apparatus.</w:t>
            </w:r>
          </w:p>
        </w:tc>
        <w:tc>
          <w:tcPr>
            <w:tcW w:w="2069" w:type="pct"/>
          </w:tcPr>
          <w:p w14:paraId="26BB73DE" w14:textId="77777777" w:rsidR="007B6206" w:rsidRDefault="007B6206">
            <w:r>
              <w:t>Installation-service rows, often associated with PV, electrical machinery, or infrastructure lifetime assumptions.</w:t>
            </w:r>
          </w:p>
        </w:tc>
      </w:tr>
      <w:tr w:rsidR="007B6206" w14:paraId="0CFE4E03" w14:textId="77777777" w:rsidTr="007B6206">
        <w:tc>
          <w:tcPr>
            <w:tcW w:w="910" w:type="pct"/>
          </w:tcPr>
          <w:p w14:paraId="6D3AC026" w14:textId="77777777" w:rsidR="007B6206" w:rsidRDefault="007B6206">
            <w:r>
              <w:rPr>
                <w:rFonts w:ascii="Courier New" w:hAnsi="Courier New"/>
                <w:sz w:val="18"/>
              </w:rPr>
              <w:t>31</w:t>
            </w:r>
          </w:p>
        </w:tc>
        <w:tc>
          <w:tcPr>
            <w:tcW w:w="933" w:type="pct"/>
          </w:tcPr>
          <w:p w14:paraId="18756A1C" w14:textId="77777777" w:rsidR="007B6206" w:rsidRDefault="007B6206">
            <w:r>
              <w:t>60 years</w:t>
            </w:r>
          </w:p>
        </w:tc>
        <w:tc>
          <w:tcPr>
            <w:tcW w:w="1088" w:type="pct"/>
          </w:tcPr>
          <w:p w14:paraId="6B748625" w14:textId="77777777" w:rsidR="007B6206" w:rsidRDefault="007B6206">
            <w:r>
              <w:t xml:space="preserve">Wood products; mostly forestry and wood-related </w:t>
            </w:r>
            <w:r>
              <w:lastRenderedPageBreak/>
              <w:t>biomass timing.</w:t>
            </w:r>
          </w:p>
        </w:tc>
        <w:tc>
          <w:tcPr>
            <w:tcW w:w="2069" w:type="pct"/>
          </w:tcPr>
          <w:p w14:paraId="704B1F57" w14:textId="77777777" w:rsidR="007B6206" w:rsidRDefault="007B6206">
            <w:r>
              <w:lastRenderedPageBreak/>
              <w:t xml:space="preserve">Wood, </w:t>
            </w:r>
            <w:proofErr w:type="spellStart"/>
            <w:r>
              <w:t>sawnwood</w:t>
            </w:r>
            <w:proofErr w:type="spellEnd"/>
            <w:r>
              <w:t>, pulpwood, and roundwood defaults, with rotation-age sources where recorded.</w:t>
            </w:r>
          </w:p>
        </w:tc>
      </w:tr>
    </w:tbl>
    <w:p w14:paraId="130370E1" w14:textId="7445F14D" w:rsidR="00E4260D" w:rsidRPr="000455E4" w:rsidRDefault="000455E4" w:rsidP="00601690">
      <w:pPr>
        <w:rPr>
          <w:sz w:val="17"/>
          <w:szCs w:val="17"/>
        </w:rPr>
      </w:pPr>
      <w:r w:rsidRPr="00321DE6">
        <w:rPr>
          <w:b/>
          <w:bCs/>
          <w:sz w:val="17"/>
          <w:szCs w:val="17"/>
        </w:rPr>
        <w:lastRenderedPageBreak/>
        <w:t xml:space="preserve">Table </w:t>
      </w:r>
      <w:r>
        <w:rPr>
          <w:b/>
          <w:bCs/>
          <w:sz w:val="17"/>
          <w:szCs w:val="17"/>
        </w:rPr>
        <w:t>12</w:t>
      </w:r>
      <w:r w:rsidRPr="00321DE6">
        <w:rPr>
          <w:sz w:val="17"/>
          <w:szCs w:val="17"/>
        </w:rPr>
        <w:t xml:space="preserve"> – </w:t>
      </w:r>
      <w:r w:rsidR="00601690" w:rsidRPr="00601690">
        <w:rPr>
          <w:sz w:val="17"/>
          <w:szCs w:val="17"/>
        </w:rPr>
        <w:t>Dominant CPC prefixes among active temporal rows and their associated lifetime assumptions. Median</w:t>
      </w:r>
      <w:r w:rsidR="00601690">
        <w:rPr>
          <w:sz w:val="17"/>
          <w:szCs w:val="17"/>
        </w:rPr>
        <w:t xml:space="preserve"> </w:t>
      </w:r>
      <w:r w:rsidR="00601690" w:rsidRPr="00601690">
        <w:rPr>
          <w:sz w:val="17"/>
          <w:szCs w:val="17"/>
        </w:rPr>
        <w:t>lifetimes summarize rows with available lifetime values, while dataset and source notes explain the timing</w:t>
      </w:r>
      <w:r w:rsidR="00601690">
        <w:rPr>
          <w:sz w:val="17"/>
          <w:szCs w:val="17"/>
        </w:rPr>
        <w:t xml:space="preserve"> </w:t>
      </w:r>
      <w:r w:rsidR="00601690" w:rsidRPr="00601690">
        <w:rPr>
          <w:sz w:val="17"/>
          <w:szCs w:val="17"/>
        </w:rPr>
        <w:t>assumptions for each product group</w:t>
      </w:r>
      <w:r>
        <w:rPr>
          <w:sz w:val="17"/>
          <w:szCs w:val="17"/>
        </w:rPr>
        <w:t>.</w:t>
      </w:r>
    </w:p>
    <w:p w14:paraId="060E2C87" w14:textId="38C07E7F" w:rsidR="00E4260D" w:rsidRDefault="00240788">
      <w:r>
        <w:t xml:space="preserve">The patterns are consistent with the intended scope of temporalization. Transport equipment </w:t>
      </w:r>
      <w:r w:rsidR="00101723">
        <w:t>datasets</w:t>
      </w:r>
      <w:r>
        <w:t xml:space="preserve"> are mostly stock assets with fleet-age profiles. Construction </w:t>
      </w:r>
      <w:r w:rsidR="00517206">
        <w:t>project</w:t>
      </w:r>
      <w:r>
        <w:t>s are mostly long-lived assets such as power plants, industrial facilities, pipelines, and civil</w:t>
      </w:r>
      <w:r w:rsidR="00517206">
        <w:t xml:space="preserve"> </w:t>
      </w:r>
      <w:r>
        <w:t xml:space="preserve">engineering works. Agricultural and forestry prefixes mostly contain biomass-growth rows, </w:t>
      </w:r>
      <w:r w:rsidR="00517206">
        <w:t>in which</w:t>
      </w:r>
      <w:r>
        <w:t xml:space="preserve"> the temporal profile is </w:t>
      </w:r>
      <w:r w:rsidR="00517206">
        <w:t>ti</w:t>
      </w:r>
      <w:r>
        <w:t>ed to biogenic carbon uptake rather than to technosphere exchange. Maintenance and repair services appear mostly as suppliers</w:t>
      </w:r>
      <w:r w:rsidR="00517206">
        <w:t>,</w:t>
      </w:r>
      <w:r>
        <w:t xml:space="preserve"> w</w:t>
      </w:r>
      <w:r w:rsidR="00517206">
        <w:t>ith</w:t>
      </w:r>
      <w:r>
        <w:t xml:space="preserve"> timing inherited from the maintained stock. Waste and treatment </w:t>
      </w:r>
      <w:r w:rsidR="00EA1BEF">
        <w:t>datasets</w:t>
      </w:r>
      <w:r>
        <w:t xml:space="preserve"> appear mainly as end-of-life suppliers or as reviewed throughput processes, depending on whether they represent a delayed terminal event or an immediate treatment process.</w:t>
      </w:r>
    </w:p>
    <w:p w14:paraId="68CEE0C7" w14:textId="27BFBA00" w:rsidR="00E4260D" w:rsidRDefault="00240788">
      <w:r>
        <w:t xml:space="preserve">At full CPC-code resolution, the largest active groups are motor vehicles designed for passenger transport, power plants, waste-treatment outputs, manufacturing constructions, public-transport vehicles, non-coniferous logs, cereal straw, electrical installation services, sawn or chipped wood, furnaces, forage products, batteries, wheat, transport-equipment maintenance, and civil engineering works. </w:t>
      </w:r>
    </w:p>
    <w:p w14:paraId="639212CC" w14:textId="40E4536E" w:rsidR="00E4260D" w:rsidRDefault="00240788" w:rsidP="008705E3">
      <w:pPr>
        <w:pStyle w:val="Heading20"/>
        <w:numPr>
          <w:ilvl w:val="1"/>
          <w:numId w:val="46"/>
        </w:numPr>
      </w:pPr>
      <w:bookmarkStart w:id="14" w:name="_Toc233129512"/>
      <w:r>
        <w:t>Throughput processes</w:t>
      </w:r>
      <w:bookmarkEnd w:id="14"/>
    </w:p>
    <w:p w14:paraId="75E81A83" w14:textId="0DEBDD1D" w:rsidR="00E4260D" w:rsidRDefault="00240788">
      <w:r>
        <w:t xml:space="preserve">The </w:t>
      </w:r>
      <w:proofErr w:type="spellStart"/>
      <w:r>
        <w:rPr>
          <w:rFonts w:ascii="Courier New" w:hAnsi="Courier New"/>
          <w:sz w:val="18"/>
        </w:rPr>
        <w:t>throughput_process</w:t>
      </w:r>
      <w:proofErr w:type="spellEnd"/>
      <w:r>
        <w:t xml:space="preserve"> tag is important because it prevents over-</w:t>
      </w:r>
      <w:proofErr w:type="spellStart"/>
      <w:r>
        <w:t>temporali</w:t>
      </w:r>
      <w:r w:rsidR="00517206">
        <w:t>s</w:t>
      </w:r>
      <w:r>
        <w:t>ing</w:t>
      </w:r>
      <w:proofErr w:type="spellEnd"/>
      <w:r>
        <w:t xml:space="preserve"> standard production. Most of these </w:t>
      </w:r>
      <w:r w:rsidR="00255B3E">
        <w:t>cases</w:t>
      </w:r>
      <w:r>
        <w:t xml:space="preserve"> have no active distribution parameters. They document datasets that were reviewed and treated as immediate production or processing rather than as stock construction, maintenance, end-of-life, or direct biomass uptake.</w:t>
      </w:r>
    </w:p>
    <w:p w14:paraId="1F0FEA50" w14:textId="57BB5DC1" w:rsidR="00E4260D" w:rsidRDefault="00240788">
      <w:r>
        <w:t xml:space="preserve">This category includes many activities that </w:t>
      </w:r>
      <w:r w:rsidR="00671B0C">
        <w:t>are</w:t>
      </w:r>
      <w:r>
        <w:t xml:space="preserve"> durable or treatment</w:t>
      </w:r>
      <w:r w:rsidR="00517206">
        <w:t>-</w:t>
      </w:r>
      <w:r>
        <w:t>related, but whose exchange timing should remain immediate in the exported inventory. Examples include use-phase transport services, standard chemical production, concrete and clinker production, waste treatment processes that are already the foreground activity, market-like operations, and process-throughput datasets where the exchanged product is consumed or produced in the activity year.</w:t>
      </w:r>
    </w:p>
    <w:p w14:paraId="409CC44C" w14:textId="5CF5A0E6" w:rsidR="00E4260D" w:rsidRDefault="00240788">
      <w:r>
        <w:t xml:space="preserve">For </w:t>
      </w:r>
      <w:r w:rsidR="00FF04AE" w:rsidRPr="00FF04AE">
        <w:rPr>
          <w:i/>
          <w:iCs/>
        </w:rPr>
        <w:t>Trails</w:t>
      </w:r>
      <w:r>
        <w:t xml:space="preserve">, this means that a throughput row can still appear in the inventory as a normal technosphere or biosphere exchange, but it will not carry </w:t>
      </w:r>
      <w:proofErr w:type="spellStart"/>
      <w:r>
        <w:rPr>
          <w:rFonts w:ascii="Courier New" w:hAnsi="Courier New"/>
          <w:sz w:val="18"/>
        </w:rPr>
        <w:t>temporal_distribution</w:t>
      </w:r>
      <w:proofErr w:type="spellEnd"/>
      <w:r>
        <w:t xml:space="preserve">, </w:t>
      </w:r>
      <w:proofErr w:type="spellStart"/>
      <w:r>
        <w:rPr>
          <w:rFonts w:ascii="Courier New" w:hAnsi="Courier New"/>
          <w:sz w:val="18"/>
        </w:rPr>
        <w:t>temporal_min</w:t>
      </w:r>
      <w:proofErr w:type="spellEnd"/>
      <w:r>
        <w:t xml:space="preserve">, </w:t>
      </w:r>
      <w:proofErr w:type="spellStart"/>
      <w:r>
        <w:rPr>
          <w:rFonts w:ascii="Courier New" w:hAnsi="Courier New"/>
          <w:sz w:val="18"/>
        </w:rPr>
        <w:t>temporal_max</w:t>
      </w:r>
      <w:proofErr w:type="spellEnd"/>
      <w:r>
        <w:t xml:space="preserve">, </w:t>
      </w:r>
      <w:proofErr w:type="spellStart"/>
      <w:r>
        <w:rPr>
          <w:rFonts w:ascii="Courier New" w:hAnsi="Courier New"/>
          <w:sz w:val="18"/>
        </w:rPr>
        <w:t>temporal_offsets</w:t>
      </w:r>
      <w:proofErr w:type="spellEnd"/>
      <w:r>
        <w:t xml:space="preserve">, or </w:t>
      </w:r>
      <w:proofErr w:type="spellStart"/>
      <w:r>
        <w:rPr>
          <w:rFonts w:ascii="Courier New" w:hAnsi="Courier New"/>
          <w:sz w:val="18"/>
        </w:rPr>
        <w:t>temporal_weights</w:t>
      </w:r>
      <w:proofErr w:type="spellEnd"/>
      <w:r>
        <w:t xml:space="preserve"> because of the </w:t>
      </w:r>
      <w:proofErr w:type="spellStart"/>
      <w:r>
        <w:rPr>
          <w:rFonts w:ascii="Courier New" w:hAnsi="Courier New"/>
          <w:sz w:val="18"/>
        </w:rPr>
        <w:t>throughput_process</w:t>
      </w:r>
      <w:proofErr w:type="spellEnd"/>
      <w:r>
        <w:t xml:space="preserve"> tag. If the same dataset appears elsewhere as a supplier, it is treated as a standard immediate supplier unless </w:t>
      </w:r>
      <w:r>
        <w:lastRenderedPageBreak/>
        <w:t>it is also matched by one of the active tags described above. This conservative rule avoids spreading routine production, operation, or treatment flows over time without a specific temporal interpretation.</w:t>
      </w:r>
    </w:p>
    <w:p w14:paraId="50A22428" w14:textId="3828A16E" w:rsidR="000034D0" w:rsidRDefault="00240788" w:rsidP="002C079F">
      <w:pPr>
        <w:pStyle w:val="Heading1"/>
        <w:numPr>
          <w:ilvl w:val="0"/>
          <w:numId w:val="46"/>
        </w:numPr>
      </w:pPr>
      <w:bookmarkStart w:id="15" w:name="_Toc233129513"/>
      <w:r>
        <w:t>Validation against limiting cases</w:t>
      </w:r>
      <w:bookmarkEnd w:id="15"/>
    </w:p>
    <w:p w14:paraId="7751E1BA" w14:textId="669C439B" w:rsidR="000034D0" w:rsidRDefault="00240788">
      <w:pPr>
        <w:pStyle w:val="para"/>
      </w:pPr>
      <w:r>
        <w:t xml:space="preserve">We validated the graph-matrix hybrid calculation against four limiting cases using the simple car example data package. The purpose was to test whether </w:t>
      </w:r>
      <w:r w:rsidRPr="00574426">
        <w:rPr>
          <w:i/>
          <w:iCs/>
        </w:rPr>
        <w:t>Trails</w:t>
      </w:r>
      <w:r>
        <w:t xml:space="preserve"> reproduces known or hand-calculated results when temporal complexity is removed, restricted, or made analytically transparent. The validation script is </w:t>
      </w:r>
      <w:r w:rsidR="002A7ECE">
        <w:t xml:space="preserve">found under </w:t>
      </w:r>
      <w:r w:rsidR="006446DE" w:rsidRPr="006446DE">
        <w:t>https://github.com/Laboratory-for-Energy-Systems-Analysis/trails/tree/main/</w:t>
      </w:r>
      <w:r>
        <w:t>dev/publication/validate_limiting_cases.py and uses independent dense matrix calculations as references; it writes both JSON and CSV result files. All comparisons used an absolute tolerance of 1e-9.</w:t>
      </w:r>
    </w:p>
    <w:p w14:paraId="1B4D9C8D" w14:textId="1F7E0C65" w:rsidR="000034D0" w:rsidRDefault="00240788">
      <w:pPr>
        <w:pStyle w:val="para"/>
      </w:pPr>
      <w:r>
        <w:t xml:space="preserve">The first case removes temporal behaviour entirely. All temporal distributions are replaced by a single pulse at offset zero, annual interpolation is disabled, and the 2050 matrix slice is solved. Under these conditions, the graph-matrix calculation should </w:t>
      </w:r>
      <w:r w:rsidR="003C2F73">
        <w:t>reduc</w:t>
      </w:r>
      <w:r>
        <w:t>e to conventional static</w:t>
      </w:r>
      <w:r w:rsidR="003C2F73">
        <w:t>-</w:t>
      </w:r>
      <w:r>
        <w:t>matrix LCA. The independent reference is the dense static solve for the same functional unit and matrix year.</w:t>
      </w:r>
    </w:p>
    <w:p w14:paraId="0B7B89FE" w14:textId="77777777" w:rsidR="000034D0" w:rsidRDefault="00240788">
      <w:pPr>
        <w:pStyle w:val="para"/>
      </w:pPr>
      <w:r>
        <w:t>The second case keeps temporal behaviour only for exchanges attached to the functional-unit activity. This isolates foreground temporalisation from deeper background temporalisation. The reference calculation accumulates the root activity biosphere exchanges in their temporal years, expands only the first-tier child demands according to the foreground temporal distributions, and solves those child frontier demands statically in their target years.</w:t>
      </w:r>
    </w:p>
    <w:p w14:paraId="1D6994AA" w14:textId="21E25185" w:rsidR="000034D0" w:rsidRDefault="00240788">
      <w:pPr>
        <w:pStyle w:val="para"/>
      </w:pPr>
      <w:r>
        <w:t xml:space="preserve">The third case tests whether Trails separates timing effects from changing prospective background coefficients. All scenario-year technosphere and biosphere slices are replaced in memory by the same 2050 matrices. The calculation is then run once with anchor-year coefficients and once with target-year coefficients. Because all matrix slices are identical, both modes should </w:t>
      </w:r>
      <w:r w:rsidR="003C2F73">
        <w:t>yield</w:t>
      </w:r>
      <w:r>
        <w:t xml:space="preserve"> the same time-resolved inventory; any difference would indicate that the coefficient-year logic, rather than the timing profile</w:t>
      </w:r>
      <w:r w:rsidR="003C2F73">
        <w:t xml:space="preserve"> alone</w:t>
      </w:r>
      <w:r>
        <w:t>, affected the result.</w:t>
      </w:r>
    </w:p>
    <w:p w14:paraId="76790ADB" w14:textId="4758F08A" w:rsidR="000034D0" w:rsidRDefault="00240788">
      <w:pPr>
        <w:pStyle w:val="para"/>
      </w:pPr>
      <w:r>
        <w:t xml:space="preserve">The fourth case turns the illustrative anchor-versus-target example from the main text into a formal hand-calculation test. The example package is patched in memory to contain one foreground exchange with coefficient values 10, 8, and 6 in years 2030, 2031, and 2033, respectively, and temporal weights 0.5, 0.3, and 0.2. In anchor-year mode, the 10-unit coefficient from 2030 is distributed as 5.0, 3.0, and 2.0. In target-year mode, each pulse uses the target-year coefficient, giving 5.0, 2.4, and </w:t>
      </w:r>
      <w:r>
        <w:lastRenderedPageBreak/>
        <w:t xml:space="preserve">1.2. The patched child activity has a unit biosphere coefficient, so the inventory time series </w:t>
      </w:r>
      <w:r w:rsidR="003C2F73">
        <w:t>equals</w:t>
      </w:r>
      <w:r>
        <w:t xml:space="preserve"> the hand-calculated child demands.</w:t>
      </w:r>
    </w:p>
    <w:p w14:paraId="1CA2703E" w14:textId="4E94DDFA" w:rsidR="000034D0" w:rsidRDefault="00240788">
      <w:pPr>
        <w:pStyle w:val="para"/>
      </w:pPr>
      <w:r>
        <w:t xml:space="preserve">The results are </w:t>
      </w:r>
      <w:proofErr w:type="spellStart"/>
      <w:r>
        <w:t>summarised</w:t>
      </w:r>
      <w:proofErr w:type="spellEnd"/>
      <w:r>
        <w:t xml:space="preserve"> </w:t>
      </w:r>
      <w:r w:rsidR="00C70EE2">
        <w:t>in Table 1</w:t>
      </w:r>
      <w:r w:rsidR="0004728D">
        <w:t>3</w:t>
      </w:r>
      <w:r>
        <w:t>.</w:t>
      </w:r>
    </w:p>
    <w:tbl>
      <w:tblPr>
        <w:tblStyle w:val="TableGrid"/>
        <w:tblW w:w="0" w:type="auto"/>
        <w:tblLook w:val="04A0" w:firstRow="1" w:lastRow="0" w:firstColumn="1" w:lastColumn="0" w:noHBand="0" w:noVBand="1"/>
      </w:tblPr>
      <w:tblGrid>
        <w:gridCol w:w="894"/>
        <w:gridCol w:w="1178"/>
        <w:gridCol w:w="1772"/>
        <w:gridCol w:w="1772"/>
        <w:gridCol w:w="1007"/>
      </w:tblGrid>
      <w:tr w:rsidR="000034D0" w14:paraId="653E7F07" w14:textId="77777777">
        <w:tc>
          <w:tcPr>
            <w:tcW w:w="0" w:type="auto"/>
            <w:shd w:val="clear" w:color="auto" w:fill="D9EAF7"/>
          </w:tcPr>
          <w:p w14:paraId="1EB8B798" w14:textId="77777777" w:rsidR="000034D0" w:rsidRDefault="00240788">
            <w:pPr>
              <w:pStyle w:val="para"/>
            </w:pPr>
            <w:r>
              <w:rPr>
                <w:b/>
              </w:rPr>
              <w:t>Validation case</w:t>
            </w:r>
          </w:p>
        </w:tc>
        <w:tc>
          <w:tcPr>
            <w:tcW w:w="0" w:type="auto"/>
            <w:shd w:val="clear" w:color="auto" w:fill="D9EAF7"/>
          </w:tcPr>
          <w:p w14:paraId="2F67F71F" w14:textId="77777777" w:rsidR="000034D0" w:rsidRDefault="00240788">
            <w:pPr>
              <w:pStyle w:val="para"/>
            </w:pPr>
            <w:r>
              <w:rPr>
                <w:b/>
              </w:rPr>
              <w:t>Limiting condition and reference</w:t>
            </w:r>
          </w:p>
        </w:tc>
        <w:tc>
          <w:tcPr>
            <w:tcW w:w="0" w:type="auto"/>
            <w:shd w:val="clear" w:color="auto" w:fill="D9EAF7"/>
          </w:tcPr>
          <w:p w14:paraId="42801CE1" w14:textId="77777777" w:rsidR="000034D0" w:rsidRDefault="00240788">
            <w:pPr>
              <w:pStyle w:val="para"/>
            </w:pPr>
            <w:r>
              <w:rPr>
                <w:b/>
              </w:rPr>
              <w:t>Reference result</w:t>
            </w:r>
          </w:p>
        </w:tc>
        <w:tc>
          <w:tcPr>
            <w:tcW w:w="0" w:type="auto"/>
            <w:shd w:val="clear" w:color="auto" w:fill="D9EAF7"/>
          </w:tcPr>
          <w:p w14:paraId="47E0BB8E" w14:textId="77777777" w:rsidR="000034D0" w:rsidRDefault="00240788">
            <w:pPr>
              <w:pStyle w:val="para"/>
            </w:pPr>
            <w:r>
              <w:rPr>
                <w:b/>
              </w:rPr>
              <w:t>Trails result</w:t>
            </w:r>
          </w:p>
        </w:tc>
        <w:tc>
          <w:tcPr>
            <w:tcW w:w="0" w:type="auto"/>
            <w:shd w:val="clear" w:color="auto" w:fill="D9EAF7"/>
          </w:tcPr>
          <w:p w14:paraId="13880BEF" w14:textId="77777777" w:rsidR="000034D0" w:rsidRDefault="00240788">
            <w:pPr>
              <w:pStyle w:val="para"/>
            </w:pPr>
            <w:r>
              <w:rPr>
                <w:b/>
              </w:rPr>
              <w:t>Maximum absolute difference</w:t>
            </w:r>
          </w:p>
        </w:tc>
      </w:tr>
      <w:tr w:rsidR="000034D0" w14:paraId="04FEA1F7" w14:textId="77777777">
        <w:tc>
          <w:tcPr>
            <w:tcW w:w="0" w:type="auto"/>
          </w:tcPr>
          <w:p w14:paraId="299C1A05" w14:textId="77777777" w:rsidR="000034D0" w:rsidRDefault="00240788">
            <w:pPr>
              <w:pStyle w:val="para"/>
            </w:pPr>
            <w:r>
              <w:t>Zero-offset static equivalence</w:t>
            </w:r>
          </w:p>
        </w:tc>
        <w:tc>
          <w:tcPr>
            <w:tcW w:w="0" w:type="auto"/>
          </w:tcPr>
          <w:p w14:paraId="649EE990" w14:textId="77777777" w:rsidR="000034D0" w:rsidRDefault="00240788">
            <w:pPr>
              <w:pStyle w:val="para"/>
            </w:pPr>
            <w:r>
              <w:t>All temporal distributions replaced by offset-zero pulses; non-interpolated 2050 matrix compared with independent dense static solve.</w:t>
            </w:r>
          </w:p>
        </w:tc>
        <w:tc>
          <w:tcPr>
            <w:tcW w:w="0" w:type="auto"/>
          </w:tcPr>
          <w:p w14:paraId="3F73188C" w14:textId="580754F2" w:rsidR="000034D0" w:rsidRDefault="00240788">
            <w:pPr>
              <w:pStyle w:val="para"/>
            </w:pPr>
            <w:r>
              <w:t>Fossil CO</w:t>
            </w:r>
            <w:r w:rsidRPr="006446DE">
              <w:rPr>
                <w:vertAlign w:val="subscript"/>
              </w:rPr>
              <w:t>2</w:t>
            </w:r>
            <w:r>
              <w:t xml:space="preserve"> = 0.139366962 kg; non-fossil </w:t>
            </w:r>
            <w:r w:rsidR="006446DE">
              <w:t>CO</w:t>
            </w:r>
            <w:r w:rsidR="006446DE" w:rsidRPr="006446DE">
              <w:rPr>
                <w:vertAlign w:val="subscript"/>
              </w:rPr>
              <w:t>2</w:t>
            </w:r>
            <w:r w:rsidR="006446DE">
              <w:rPr>
                <w:vertAlign w:val="subscript"/>
              </w:rPr>
              <w:t xml:space="preserve"> </w:t>
            </w:r>
            <w:r>
              <w:t>= 0 kg; non-zero inventory year = 2050.</w:t>
            </w:r>
          </w:p>
        </w:tc>
        <w:tc>
          <w:tcPr>
            <w:tcW w:w="0" w:type="auto"/>
          </w:tcPr>
          <w:p w14:paraId="3D818787" w14:textId="26663021" w:rsidR="000034D0" w:rsidRDefault="00240788">
            <w:pPr>
              <w:pStyle w:val="para"/>
            </w:pPr>
            <w:r>
              <w:t xml:space="preserve">Fossil </w:t>
            </w:r>
            <w:r w:rsidR="006446DE">
              <w:t>CO</w:t>
            </w:r>
            <w:r w:rsidR="006446DE" w:rsidRPr="006446DE">
              <w:rPr>
                <w:vertAlign w:val="subscript"/>
              </w:rPr>
              <w:t>2</w:t>
            </w:r>
            <w:r w:rsidR="006446DE">
              <w:rPr>
                <w:vertAlign w:val="subscript"/>
              </w:rPr>
              <w:t xml:space="preserve"> </w:t>
            </w:r>
            <w:r>
              <w:t xml:space="preserve">= 0.139366962 kg; non-fossil </w:t>
            </w:r>
            <w:r w:rsidR="006446DE">
              <w:t>CO</w:t>
            </w:r>
            <w:r w:rsidR="006446DE" w:rsidRPr="006446DE">
              <w:rPr>
                <w:vertAlign w:val="subscript"/>
              </w:rPr>
              <w:t>2</w:t>
            </w:r>
            <w:r w:rsidR="006446DE">
              <w:rPr>
                <w:vertAlign w:val="subscript"/>
              </w:rPr>
              <w:t xml:space="preserve"> </w:t>
            </w:r>
            <w:r>
              <w:t>= 0 kg; non-zero inventory year = 2050.</w:t>
            </w:r>
          </w:p>
        </w:tc>
        <w:tc>
          <w:tcPr>
            <w:tcW w:w="0" w:type="auto"/>
          </w:tcPr>
          <w:p w14:paraId="2D3929A0" w14:textId="77777777" w:rsidR="000034D0" w:rsidRDefault="00240788">
            <w:pPr>
              <w:pStyle w:val="para"/>
            </w:pPr>
            <w:r>
              <w:t>5.55e-17</w:t>
            </w:r>
          </w:p>
        </w:tc>
      </w:tr>
      <w:tr w:rsidR="000034D0" w14:paraId="716C6FF1" w14:textId="77777777">
        <w:tc>
          <w:tcPr>
            <w:tcW w:w="0" w:type="auto"/>
          </w:tcPr>
          <w:p w14:paraId="3798351B" w14:textId="77777777" w:rsidR="000034D0" w:rsidRDefault="00240788">
            <w:pPr>
              <w:pStyle w:val="para"/>
            </w:pPr>
            <w:r>
              <w:t>Foreground-only temporalisation</w:t>
            </w:r>
          </w:p>
        </w:tc>
        <w:tc>
          <w:tcPr>
            <w:tcW w:w="0" w:type="auto"/>
          </w:tcPr>
          <w:p w14:paraId="653A255F" w14:textId="77777777" w:rsidR="000034D0" w:rsidRDefault="00240788">
            <w:pPr>
              <w:pStyle w:val="para"/>
            </w:pPr>
            <w:r>
              <w:t xml:space="preserve">Only exchanges attached to the functional-unit activity retain temporal distributions; manual reference accumulates root biosphere exchanges and solves first-tier </w:t>
            </w:r>
            <w:r>
              <w:lastRenderedPageBreak/>
              <w:t>child frontiers by target year.</w:t>
            </w:r>
          </w:p>
        </w:tc>
        <w:tc>
          <w:tcPr>
            <w:tcW w:w="0" w:type="auto"/>
          </w:tcPr>
          <w:p w14:paraId="02B8A22E" w14:textId="42AD0FC6" w:rsidR="000034D0" w:rsidRDefault="00240788">
            <w:pPr>
              <w:pStyle w:val="para"/>
            </w:pPr>
            <w:r>
              <w:lastRenderedPageBreak/>
              <w:t xml:space="preserve">Fossil </w:t>
            </w:r>
            <w:r w:rsidR="006446DE">
              <w:t>CO</w:t>
            </w:r>
            <w:r w:rsidR="006446DE" w:rsidRPr="006446DE">
              <w:rPr>
                <w:vertAlign w:val="subscript"/>
              </w:rPr>
              <w:t>2</w:t>
            </w:r>
            <w:r w:rsidR="006446DE">
              <w:rPr>
                <w:vertAlign w:val="subscript"/>
              </w:rPr>
              <w:t xml:space="preserve"> </w:t>
            </w:r>
            <w:r>
              <w:t xml:space="preserve">total = 0.140989101493 kg; non-fossil </w:t>
            </w:r>
            <w:r w:rsidR="006446DE">
              <w:t>CO</w:t>
            </w:r>
            <w:r w:rsidR="006446DE" w:rsidRPr="006446DE">
              <w:rPr>
                <w:vertAlign w:val="subscript"/>
              </w:rPr>
              <w:t>2</w:t>
            </w:r>
            <w:r w:rsidR="006446DE">
              <w:rPr>
                <w:vertAlign w:val="subscript"/>
              </w:rPr>
              <w:t xml:space="preserve"> </w:t>
            </w:r>
            <w:r>
              <w:t>total = 0.001260000000 kg; non-zero years = 2034-2066.</w:t>
            </w:r>
          </w:p>
        </w:tc>
        <w:tc>
          <w:tcPr>
            <w:tcW w:w="0" w:type="auto"/>
          </w:tcPr>
          <w:p w14:paraId="00326B13" w14:textId="0F8A5D43" w:rsidR="000034D0" w:rsidRDefault="00240788">
            <w:pPr>
              <w:pStyle w:val="para"/>
            </w:pPr>
            <w:r>
              <w:t xml:space="preserve">Fossil </w:t>
            </w:r>
            <w:r w:rsidR="006446DE">
              <w:t>CO</w:t>
            </w:r>
            <w:r w:rsidR="006446DE" w:rsidRPr="006446DE">
              <w:rPr>
                <w:vertAlign w:val="subscript"/>
              </w:rPr>
              <w:t>2</w:t>
            </w:r>
            <w:r w:rsidR="006446DE">
              <w:rPr>
                <w:vertAlign w:val="subscript"/>
              </w:rPr>
              <w:t xml:space="preserve"> </w:t>
            </w:r>
            <w:r>
              <w:t xml:space="preserve">total = 0.140989101493 kg; non-fossil </w:t>
            </w:r>
            <w:r w:rsidR="006446DE">
              <w:t>CO</w:t>
            </w:r>
            <w:r w:rsidR="006446DE" w:rsidRPr="006446DE">
              <w:rPr>
                <w:vertAlign w:val="subscript"/>
              </w:rPr>
              <w:t>2</w:t>
            </w:r>
            <w:r w:rsidR="006446DE">
              <w:rPr>
                <w:vertAlign w:val="subscript"/>
              </w:rPr>
              <w:t xml:space="preserve"> </w:t>
            </w:r>
            <w:r>
              <w:t>total = 0.001260000000 kg; non-zero years = 2034-2066.</w:t>
            </w:r>
          </w:p>
        </w:tc>
        <w:tc>
          <w:tcPr>
            <w:tcW w:w="0" w:type="auto"/>
          </w:tcPr>
          <w:p w14:paraId="29425966" w14:textId="77777777" w:rsidR="000034D0" w:rsidRDefault="00240788">
            <w:pPr>
              <w:pStyle w:val="para"/>
            </w:pPr>
            <w:r>
              <w:t>1.73e-18</w:t>
            </w:r>
          </w:p>
        </w:tc>
      </w:tr>
      <w:tr w:rsidR="000034D0" w14:paraId="0BA56DAF" w14:textId="77777777">
        <w:tc>
          <w:tcPr>
            <w:tcW w:w="0" w:type="auto"/>
          </w:tcPr>
          <w:p w14:paraId="680F74F2" w14:textId="77777777" w:rsidR="000034D0" w:rsidRDefault="00240788">
            <w:pPr>
              <w:pStyle w:val="para"/>
            </w:pPr>
            <w:r>
              <w:t>Identical-matrix timing-only case</w:t>
            </w:r>
          </w:p>
        </w:tc>
        <w:tc>
          <w:tcPr>
            <w:tcW w:w="0" w:type="auto"/>
          </w:tcPr>
          <w:p w14:paraId="3406669E" w14:textId="77777777" w:rsidR="000034D0" w:rsidRDefault="00240788">
            <w:pPr>
              <w:pStyle w:val="para"/>
            </w:pPr>
            <w:r>
              <w:t>All scenario-year A and B slices replaced by the 2050 slice; anchor-year and target-year coefficient modes compared.</w:t>
            </w:r>
          </w:p>
        </w:tc>
        <w:tc>
          <w:tcPr>
            <w:tcW w:w="0" w:type="auto"/>
          </w:tcPr>
          <w:p w14:paraId="749B9B27" w14:textId="51A99164" w:rsidR="000034D0" w:rsidRDefault="00240788">
            <w:pPr>
              <w:pStyle w:val="para"/>
            </w:pPr>
            <w:r>
              <w:t xml:space="preserve">Anchor and target modes identical; fossil </w:t>
            </w:r>
            <w:r w:rsidR="006446DE">
              <w:t>CO</w:t>
            </w:r>
            <w:r w:rsidR="006446DE" w:rsidRPr="006446DE">
              <w:rPr>
                <w:vertAlign w:val="subscript"/>
              </w:rPr>
              <w:t>2</w:t>
            </w:r>
            <w:r w:rsidR="006446DE">
              <w:rPr>
                <w:vertAlign w:val="subscript"/>
              </w:rPr>
              <w:t xml:space="preserve"> </w:t>
            </w:r>
            <w:r>
              <w:t xml:space="preserve">total = 0.139366962 kg; non-fossil </w:t>
            </w:r>
            <w:r w:rsidR="006446DE">
              <w:t>CO</w:t>
            </w:r>
            <w:r w:rsidR="006446DE" w:rsidRPr="006446DE">
              <w:rPr>
                <w:vertAlign w:val="subscript"/>
              </w:rPr>
              <w:t>2</w:t>
            </w:r>
            <w:r w:rsidR="006446DE">
              <w:rPr>
                <w:vertAlign w:val="subscript"/>
              </w:rPr>
              <w:t xml:space="preserve"> </w:t>
            </w:r>
            <w:r>
              <w:t>total = 5.64e-18 kg; non-zero years = 2034-2074.</w:t>
            </w:r>
          </w:p>
        </w:tc>
        <w:tc>
          <w:tcPr>
            <w:tcW w:w="0" w:type="auto"/>
          </w:tcPr>
          <w:p w14:paraId="109C2C9E" w14:textId="247D8A60" w:rsidR="000034D0" w:rsidRDefault="00240788">
            <w:pPr>
              <w:pStyle w:val="para"/>
            </w:pPr>
            <w:r>
              <w:t xml:space="preserve">Anchor and target modes identical; fossil </w:t>
            </w:r>
            <w:r w:rsidR="006446DE">
              <w:t>CO</w:t>
            </w:r>
            <w:r w:rsidR="006446DE" w:rsidRPr="006446DE">
              <w:rPr>
                <w:vertAlign w:val="subscript"/>
              </w:rPr>
              <w:t>2</w:t>
            </w:r>
            <w:r w:rsidR="006446DE">
              <w:rPr>
                <w:vertAlign w:val="subscript"/>
              </w:rPr>
              <w:t xml:space="preserve"> </w:t>
            </w:r>
            <w:r>
              <w:t xml:space="preserve">total = 0.139366962 kg; non-fossil </w:t>
            </w:r>
            <w:r w:rsidR="006446DE">
              <w:t>CO</w:t>
            </w:r>
            <w:r w:rsidR="006446DE" w:rsidRPr="006446DE">
              <w:rPr>
                <w:vertAlign w:val="subscript"/>
              </w:rPr>
              <w:t>2</w:t>
            </w:r>
            <w:r w:rsidR="006446DE">
              <w:rPr>
                <w:vertAlign w:val="subscript"/>
              </w:rPr>
              <w:t xml:space="preserve"> </w:t>
            </w:r>
            <w:r>
              <w:t>total = 5.64e-18 kg; non-zero years = 2034-2074.</w:t>
            </w:r>
          </w:p>
        </w:tc>
        <w:tc>
          <w:tcPr>
            <w:tcW w:w="0" w:type="auto"/>
          </w:tcPr>
          <w:p w14:paraId="52687034" w14:textId="77777777" w:rsidR="000034D0" w:rsidRDefault="00240788">
            <w:pPr>
              <w:pStyle w:val="para"/>
            </w:pPr>
            <w:r>
              <w:t>0.00e+00</w:t>
            </w:r>
          </w:p>
        </w:tc>
      </w:tr>
      <w:tr w:rsidR="000034D0" w14:paraId="46F531F1" w14:textId="77777777">
        <w:tc>
          <w:tcPr>
            <w:tcW w:w="0" w:type="auto"/>
          </w:tcPr>
          <w:p w14:paraId="646D908A" w14:textId="77777777" w:rsidR="000034D0" w:rsidRDefault="00240788">
            <w:pPr>
              <w:pStyle w:val="para"/>
            </w:pPr>
            <w:r>
              <w:t>Anchor-versus-target toy system</w:t>
            </w:r>
          </w:p>
        </w:tc>
        <w:tc>
          <w:tcPr>
            <w:tcW w:w="0" w:type="auto"/>
          </w:tcPr>
          <w:p w14:paraId="5A4EE04A" w14:textId="77777777" w:rsidR="000034D0" w:rsidRDefault="00240788">
            <w:pPr>
              <w:pStyle w:val="para"/>
            </w:pPr>
            <w:r>
              <w:t>One patched foreground exchange with values 10, 8, and 6 in 2030, 2031, and 2033 and weights 0.5, 0.3, and 0.2; compared with hand calculation.</w:t>
            </w:r>
          </w:p>
        </w:tc>
        <w:tc>
          <w:tcPr>
            <w:tcW w:w="0" w:type="auto"/>
          </w:tcPr>
          <w:p w14:paraId="1EFF4EC7" w14:textId="77777777" w:rsidR="000034D0" w:rsidRDefault="00240788">
            <w:pPr>
              <w:pStyle w:val="para"/>
            </w:pPr>
            <w:r>
              <w:t>Anchor-year mode: 5.0, 3.0, 2.0. Target-year mode: 5.0, 2.4, 1.2.</w:t>
            </w:r>
          </w:p>
        </w:tc>
        <w:tc>
          <w:tcPr>
            <w:tcW w:w="0" w:type="auto"/>
          </w:tcPr>
          <w:p w14:paraId="437DDE3E" w14:textId="77777777" w:rsidR="000034D0" w:rsidRDefault="00240788">
            <w:pPr>
              <w:pStyle w:val="para"/>
            </w:pPr>
            <w:r>
              <w:t>Anchor-year mode: 5.0, 3.0, 2.0. Target-year mode: 5.0, 2.4, 1.2.</w:t>
            </w:r>
          </w:p>
        </w:tc>
        <w:tc>
          <w:tcPr>
            <w:tcW w:w="0" w:type="auto"/>
          </w:tcPr>
          <w:p w14:paraId="4EC3C1F8" w14:textId="77777777" w:rsidR="000034D0" w:rsidRDefault="00240788">
            <w:pPr>
              <w:pStyle w:val="para"/>
            </w:pPr>
            <w:r>
              <w:t>2.22e-16</w:t>
            </w:r>
          </w:p>
        </w:tc>
      </w:tr>
    </w:tbl>
    <w:p w14:paraId="10213124" w14:textId="106D7CFE" w:rsidR="003B1890" w:rsidRPr="0004728D" w:rsidRDefault="007902BB" w:rsidP="0004728D">
      <w:pPr>
        <w:rPr>
          <w:sz w:val="17"/>
          <w:szCs w:val="17"/>
        </w:rPr>
      </w:pPr>
      <w:r w:rsidRPr="00321DE6">
        <w:rPr>
          <w:b/>
          <w:bCs/>
          <w:sz w:val="17"/>
          <w:szCs w:val="17"/>
        </w:rPr>
        <w:t xml:space="preserve">Table </w:t>
      </w:r>
      <w:r>
        <w:rPr>
          <w:b/>
          <w:bCs/>
          <w:sz w:val="17"/>
          <w:szCs w:val="17"/>
        </w:rPr>
        <w:t>1</w:t>
      </w:r>
      <w:r w:rsidR="0004728D">
        <w:rPr>
          <w:b/>
          <w:bCs/>
          <w:sz w:val="17"/>
          <w:szCs w:val="17"/>
        </w:rPr>
        <w:t>3</w:t>
      </w:r>
      <w:r w:rsidRPr="00321DE6">
        <w:rPr>
          <w:sz w:val="17"/>
          <w:szCs w:val="17"/>
        </w:rPr>
        <w:t xml:space="preserve"> – </w:t>
      </w:r>
      <w:r w:rsidR="0004728D" w:rsidRPr="0004728D">
        <w:rPr>
          <w:sz w:val="17"/>
          <w:szCs w:val="17"/>
        </w:rPr>
        <w:t xml:space="preserve">Validation edge cases for Trails limiting </w:t>
      </w:r>
      <w:proofErr w:type="spellStart"/>
      <w:r w:rsidR="0004728D" w:rsidRPr="0004728D">
        <w:rPr>
          <w:sz w:val="17"/>
          <w:szCs w:val="17"/>
        </w:rPr>
        <w:t>behaviour</w:t>
      </w:r>
      <w:proofErr w:type="spellEnd"/>
      <w:r w:rsidR="0004728D" w:rsidRPr="0004728D">
        <w:rPr>
          <w:sz w:val="17"/>
          <w:szCs w:val="17"/>
        </w:rPr>
        <w:t>. Independent or hand-calculated reference results are</w:t>
      </w:r>
      <w:r w:rsidR="0004728D">
        <w:rPr>
          <w:sz w:val="17"/>
          <w:szCs w:val="17"/>
        </w:rPr>
        <w:t xml:space="preserve"> </w:t>
      </w:r>
      <w:r w:rsidR="0004728D" w:rsidRPr="0004728D">
        <w:rPr>
          <w:sz w:val="17"/>
          <w:szCs w:val="17"/>
        </w:rPr>
        <w:t>compared with Trails outputs for static equivalence, foreground-only temporalization, timing-only matrices, and</w:t>
      </w:r>
      <w:r w:rsidR="0004728D">
        <w:rPr>
          <w:sz w:val="17"/>
          <w:szCs w:val="17"/>
        </w:rPr>
        <w:t xml:space="preserve"> </w:t>
      </w:r>
      <w:r w:rsidR="0004728D" w:rsidRPr="0004728D">
        <w:rPr>
          <w:sz w:val="17"/>
          <w:szCs w:val="17"/>
          <w:lang w:val="en-GB"/>
        </w:rPr>
        <w:t>anchor-versus-target coefficient modes</w:t>
      </w:r>
      <w:r w:rsidR="0004728D" w:rsidRPr="0004728D">
        <w:rPr>
          <w:sz w:val="17"/>
          <w:szCs w:val="17"/>
          <w:lang w:val="en-GB"/>
        </w:rPr>
        <w:t>.</w:t>
      </w:r>
    </w:p>
    <w:p w14:paraId="4789C524" w14:textId="35BC33EF" w:rsidR="000034D0" w:rsidRDefault="00240788">
      <w:pPr>
        <w:pStyle w:val="para"/>
      </w:pPr>
      <w:r>
        <w:t xml:space="preserve">All four limiting cases passed. The first case confirms that Trails reduces to standard static matrix LCA when temporal distributions and year variation are removed. The second case verifies the explicitly routed foreground boundary. The third case confirms that, when matrices are identical, temporal distributions affect only the timing of inventory contributions and not their coefficient values. The fourth case verifies </w:t>
      </w:r>
      <w:r>
        <w:lastRenderedPageBreak/>
        <w:t>the anchor-year and target-year coefficient conventions against transparent hand calculations.</w:t>
      </w:r>
    </w:p>
    <w:p w14:paraId="10FD512E" w14:textId="42A9F1F3" w:rsidR="007E1609" w:rsidRDefault="00C45BC0" w:rsidP="002C079F">
      <w:pPr>
        <w:pStyle w:val="Heading1"/>
        <w:numPr>
          <w:ilvl w:val="0"/>
          <w:numId w:val="46"/>
        </w:numPr>
      </w:pPr>
      <w:bookmarkStart w:id="16" w:name="_Toc233129514"/>
      <w:r>
        <w:t>Depth sensitivity and computational cost for a direct-air-capture case</w:t>
      </w:r>
      <w:bookmarkEnd w:id="16"/>
    </w:p>
    <w:p w14:paraId="612006C2" w14:textId="63981023" w:rsidR="007E1609" w:rsidRDefault="00C45BC0">
      <w:pPr>
        <w:pStyle w:val="para"/>
      </w:pPr>
      <w:r>
        <w:t>We additionally tested the effect of temporalisation depth on both runtime and score for the direct-air-capture case study</w:t>
      </w:r>
      <w:r w:rsidR="00025E14">
        <w:t xml:space="preserve"> and described the results in Table 1</w:t>
      </w:r>
      <w:r w:rsidR="00836985">
        <w:t>4</w:t>
      </w:r>
      <w:r>
        <w:t>. The functional unit was 20 billion kg of captured CO</w:t>
      </w:r>
      <w:r w:rsidRPr="00A83ADE">
        <w:rPr>
          <w:vertAlign w:val="subscript"/>
        </w:rPr>
        <w:t>2</w:t>
      </w:r>
      <w:r>
        <w:t xml:space="preserve"> in 2025 for the activity "carbon dioxide, captured, with a solvent-based direct air capture system, 1MtCO2". The calculation used the SSP2-PkBudg1000 </w:t>
      </w:r>
      <w:r w:rsidRPr="00A83ADE">
        <w:rPr>
          <w:i/>
          <w:iCs/>
        </w:rPr>
        <w:t>Trails</w:t>
      </w:r>
      <w:r>
        <w:t xml:space="preserve"> data package</w:t>
      </w:r>
      <w:r w:rsidR="00A83ADE">
        <w:t xml:space="preserve"> produced by </w:t>
      </w:r>
      <w:r w:rsidR="00A83ADE" w:rsidRPr="00A83ADE">
        <w:rPr>
          <w:i/>
          <w:iCs/>
        </w:rPr>
        <w:t>Premise</w:t>
      </w:r>
      <w:r w:rsidR="00A83ADE">
        <w:t xml:space="preserve"> 2.4.5 using </w:t>
      </w:r>
      <w:r w:rsidR="00A83ADE" w:rsidRPr="007D20BA">
        <w:rPr>
          <w:i/>
          <w:iCs/>
        </w:rPr>
        <w:t>ecoinvent</w:t>
      </w:r>
      <w:r w:rsidR="00A83ADE">
        <w:t xml:space="preserve"> 3.12 cut-off as source database</w:t>
      </w:r>
      <w:r>
        <w:t xml:space="preserve">, the same foreground inventories as the depth-sweep notebook, a routing cutoff of </w:t>
      </w:r>
      <w:r w:rsidR="007D20BA">
        <w:t>0.1%</w:t>
      </w:r>
      <w:r>
        <w:t>, and the EF v3.1 particulate matter formation indicator. The static matrix LCA score was 97.98 disease</w:t>
      </w:r>
      <w:r w:rsidR="00A83ADE">
        <w:t xml:space="preserve"> </w:t>
      </w:r>
      <w:r>
        <w:t>incidence</w:t>
      </w:r>
      <w:r w:rsidR="00A83ADE">
        <w:t>s</w:t>
      </w:r>
      <w:r>
        <w:t>.</w:t>
      </w:r>
    </w:p>
    <w:p w14:paraId="24B03165" w14:textId="77777777" w:rsidR="007E1609" w:rsidRDefault="00C45BC0">
      <w:pPr>
        <w:pStyle w:val="para"/>
      </w:pPr>
      <w:r>
        <w:t>The experiment was designed as a computational sensitivity test rather than as a recommended production setting. Depth 1 routes only the first temporalised layer below the functional unit, whereas larger depths allow temporal distributions to be followed further into the background supply chain before remaining frontier demands are solved with year-specific matrices.</w:t>
      </w:r>
    </w:p>
    <w:tbl>
      <w:tblPr>
        <w:tblStyle w:val="TableGrid"/>
        <w:tblW w:w="0" w:type="auto"/>
        <w:tblLook w:val="04A0" w:firstRow="1" w:lastRow="0" w:firstColumn="1" w:lastColumn="0" w:noHBand="0" w:noVBand="1"/>
      </w:tblPr>
      <w:tblGrid>
        <w:gridCol w:w="1054"/>
        <w:gridCol w:w="877"/>
        <w:gridCol w:w="986"/>
        <w:gridCol w:w="673"/>
        <w:gridCol w:w="824"/>
        <w:gridCol w:w="657"/>
        <w:gridCol w:w="833"/>
        <w:gridCol w:w="719"/>
      </w:tblGrid>
      <w:tr w:rsidR="007E1609" w:rsidRPr="00A83ADE" w14:paraId="336848A7" w14:textId="77777777">
        <w:tc>
          <w:tcPr>
            <w:tcW w:w="0" w:type="auto"/>
          </w:tcPr>
          <w:p w14:paraId="1663BF45" w14:textId="77777777" w:rsidR="007E1609" w:rsidRPr="00A83ADE" w:rsidRDefault="00C45BC0">
            <w:pPr>
              <w:rPr>
                <w:sz w:val="18"/>
                <w:szCs w:val="18"/>
              </w:rPr>
            </w:pPr>
            <w:r w:rsidRPr="00A83ADE">
              <w:rPr>
                <w:b/>
                <w:sz w:val="18"/>
                <w:szCs w:val="18"/>
              </w:rPr>
              <w:t>Depth</w:t>
            </w:r>
          </w:p>
        </w:tc>
        <w:tc>
          <w:tcPr>
            <w:tcW w:w="0" w:type="auto"/>
          </w:tcPr>
          <w:p w14:paraId="0BAD69CD" w14:textId="77777777" w:rsidR="007E1609" w:rsidRPr="00A83ADE" w:rsidRDefault="00C45BC0">
            <w:pPr>
              <w:rPr>
                <w:sz w:val="18"/>
                <w:szCs w:val="18"/>
              </w:rPr>
            </w:pPr>
            <w:r w:rsidRPr="00A83ADE">
              <w:rPr>
                <w:b/>
                <w:sz w:val="18"/>
                <w:szCs w:val="18"/>
              </w:rPr>
              <w:t>Routed nodes</w:t>
            </w:r>
          </w:p>
        </w:tc>
        <w:tc>
          <w:tcPr>
            <w:tcW w:w="0" w:type="auto"/>
          </w:tcPr>
          <w:p w14:paraId="16C085A3" w14:textId="77777777" w:rsidR="007E1609" w:rsidRPr="00A83ADE" w:rsidRDefault="00C45BC0">
            <w:pPr>
              <w:rPr>
                <w:sz w:val="18"/>
                <w:szCs w:val="18"/>
              </w:rPr>
            </w:pPr>
            <w:r w:rsidRPr="00A83ADE">
              <w:rPr>
                <w:b/>
                <w:sz w:val="18"/>
                <w:szCs w:val="18"/>
              </w:rPr>
              <w:t>Routed edges</w:t>
            </w:r>
          </w:p>
        </w:tc>
        <w:tc>
          <w:tcPr>
            <w:tcW w:w="0" w:type="auto"/>
          </w:tcPr>
          <w:p w14:paraId="72D37F7A" w14:textId="77777777" w:rsidR="007E1609" w:rsidRPr="00A83ADE" w:rsidRDefault="00C45BC0">
            <w:pPr>
              <w:rPr>
                <w:sz w:val="18"/>
                <w:szCs w:val="18"/>
              </w:rPr>
            </w:pPr>
            <w:r w:rsidRPr="00A83ADE">
              <w:rPr>
                <w:b/>
                <w:sz w:val="18"/>
                <w:szCs w:val="18"/>
              </w:rPr>
              <w:t>PM score</w:t>
            </w:r>
          </w:p>
        </w:tc>
        <w:tc>
          <w:tcPr>
            <w:tcW w:w="0" w:type="auto"/>
          </w:tcPr>
          <w:p w14:paraId="36CE4D2D" w14:textId="77777777" w:rsidR="007E1609" w:rsidRPr="00A83ADE" w:rsidRDefault="00C45BC0">
            <w:pPr>
              <w:rPr>
                <w:sz w:val="18"/>
                <w:szCs w:val="18"/>
              </w:rPr>
            </w:pPr>
            <w:r w:rsidRPr="00A83ADE">
              <w:rPr>
                <w:b/>
                <w:sz w:val="18"/>
                <w:szCs w:val="18"/>
              </w:rPr>
              <w:t>Deviation from static</w:t>
            </w:r>
          </w:p>
        </w:tc>
        <w:tc>
          <w:tcPr>
            <w:tcW w:w="0" w:type="auto"/>
          </w:tcPr>
          <w:p w14:paraId="237399BB" w14:textId="77777777" w:rsidR="007E1609" w:rsidRPr="00A83ADE" w:rsidRDefault="00C45BC0">
            <w:pPr>
              <w:rPr>
                <w:sz w:val="18"/>
                <w:szCs w:val="18"/>
              </w:rPr>
            </w:pPr>
            <w:r w:rsidRPr="00A83ADE">
              <w:rPr>
                <w:b/>
                <w:sz w:val="18"/>
                <w:szCs w:val="18"/>
              </w:rPr>
              <w:t>Deviation (%)</w:t>
            </w:r>
          </w:p>
        </w:tc>
        <w:tc>
          <w:tcPr>
            <w:tcW w:w="0" w:type="auto"/>
          </w:tcPr>
          <w:p w14:paraId="24DD615E" w14:textId="77777777" w:rsidR="007E1609" w:rsidRPr="00A83ADE" w:rsidRDefault="00C45BC0">
            <w:pPr>
              <w:rPr>
                <w:sz w:val="18"/>
                <w:szCs w:val="18"/>
              </w:rPr>
            </w:pPr>
            <w:r w:rsidRPr="00A83ADE">
              <w:rPr>
                <w:b/>
                <w:sz w:val="18"/>
                <w:szCs w:val="18"/>
              </w:rPr>
              <w:t>Routing time (s)</w:t>
            </w:r>
          </w:p>
        </w:tc>
        <w:tc>
          <w:tcPr>
            <w:tcW w:w="0" w:type="auto"/>
          </w:tcPr>
          <w:p w14:paraId="5BED2318" w14:textId="77777777" w:rsidR="007E1609" w:rsidRPr="00A83ADE" w:rsidRDefault="00C45BC0">
            <w:pPr>
              <w:rPr>
                <w:sz w:val="18"/>
                <w:szCs w:val="18"/>
              </w:rPr>
            </w:pPr>
            <w:r w:rsidRPr="00A83ADE">
              <w:rPr>
                <w:b/>
                <w:sz w:val="18"/>
                <w:szCs w:val="18"/>
              </w:rPr>
              <w:t>LCA time (s)</w:t>
            </w:r>
          </w:p>
        </w:tc>
      </w:tr>
      <w:tr w:rsidR="007E1609" w:rsidRPr="00A83ADE" w14:paraId="0D5D00CC" w14:textId="77777777">
        <w:tc>
          <w:tcPr>
            <w:tcW w:w="0" w:type="auto"/>
          </w:tcPr>
          <w:p w14:paraId="42B80EF3" w14:textId="77777777" w:rsidR="007E1609" w:rsidRPr="00803BE6" w:rsidRDefault="00C45BC0">
            <w:pPr>
              <w:rPr>
                <w:b/>
                <w:bCs/>
                <w:sz w:val="18"/>
                <w:szCs w:val="18"/>
              </w:rPr>
            </w:pPr>
            <w:r w:rsidRPr="00803BE6">
              <w:rPr>
                <w:b/>
                <w:bCs/>
                <w:sz w:val="18"/>
                <w:szCs w:val="18"/>
              </w:rPr>
              <w:t>Static</w:t>
            </w:r>
          </w:p>
        </w:tc>
        <w:tc>
          <w:tcPr>
            <w:tcW w:w="0" w:type="auto"/>
          </w:tcPr>
          <w:p w14:paraId="2A2269C7" w14:textId="77777777" w:rsidR="007E1609" w:rsidRPr="00A83ADE" w:rsidRDefault="00C45BC0">
            <w:pPr>
              <w:rPr>
                <w:sz w:val="18"/>
                <w:szCs w:val="18"/>
              </w:rPr>
            </w:pPr>
            <w:r w:rsidRPr="00A83ADE">
              <w:rPr>
                <w:sz w:val="18"/>
                <w:szCs w:val="18"/>
              </w:rPr>
              <w:t>-</w:t>
            </w:r>
          </w:p>
        </w:tc>
        <w:tc>
          <w:tcPr>
            <w:tcW w:w="0" w:type="auto"/>
          </w:tcPr>
          <w:p w14:paraId="0540C78C" w14:textId="77777777" w:rsidR="007E1609" w:rsidRPr="00A83ADE" w:rsidRDefault="00C45BC0">
            <w:pPr>
              <w:rPr>
                <w:sz w:val="18"/>
                <w:szCs w:val="18"/>
              </w:rPr>
            </w:pPr>
            <w:r w:rsidRPr="00A83ADE">
              <w:rPr>
                <w:sz w:val="18"/>
                <w:szCs w:val="18"/>
              </w:rPr>
              <w:t>-</w:t>
            </w:r>
          </w:p>
        </w:tc>
        <w:tc>
          <w:tcPr>
            <w:tcW w:w="0" w:type="auto"/>
          </w:tcPr>
          <w:p w14:paraId="2133E794" w14:textId="58BF8C52" w:rsidR="007E1609" w:rsidRPr="00803BE6" w:rsidRDefault="00C45BC0">
            <w:pPr>
              <w:rPr>
                <w:b/>
                <w:bCs/>
                <w:sz w:val="18"/>
                <w:szCs w:val="18"/>
              </w:rPr>
            </w:pPr>
            <w:r w:rsidRPr="00803BE6">
              <w:rPr>
                <w:b/>
                <w:bCs/>
                <w:sz w:val="18"/>
                <w:szCs w:val="18"/>
              </w:rPr>
              <w:t>97.98</w:t>
            </w:r>
          </w:p>
        </w:tc>
        <w:tc>
          <w:tcPr>
            <w:tcW w:w="0" w:type="auto"/>
          </w:tcPr>
          <w:p w14:paraId="5F47E890" w14:textId="3B48227D" w:rsidR="007E1609" w:rsidRPr="00A83ADE" w:rsidRDefault="002C359F">
            <w:pPr>
              <w:rPr>
                <w:sz w:val="18"/>
                <w:szCs w:val="18"/>
              </w:rPr>
            </w:pPr>
            <w:r w:rsidRPr="00A83ADE">
              <w:rPr>
                <w:sz w:val="18"/>
                <w:szCs w:val="18"/>
              </w:rPr>
              <w:t>-</w:t>
            </w:r>
          </w:p>
        </w:tc>
        <w:tc>
          <w:tcPr>
            <w:tcW w:w="0" w:type="auto"/>
          </w:tcPr>
          <w:p w14:paraId="64B1C74F" w14:textId="07FE58A3" w:rsidR="007E1609" w:rsidRPr="00A83ADE" w:rsidRDefault="002C359F">
            <w:pPr>
              <w:rPr>
                <w:sz w:val="18"/>
                <w:szCs w:val="18"/>
              </w:rPr>
            </w:pPr>
            <w:r w:rsidRPr="00A83ADE">
              <w:rPr>
                <w:sz w:val="18"/>
                <w:szCs w:val="18"/>
              </w:rPr>
              <w:t>-</w:t>
            </w:r>
          </w:p>
        </w:tc>
        <w:tc>
          <w:tcPr>
            <w:tcW w:w="0" w:type="auto"/>
          </w:tcPr>
          <w:p w14:paraId="13380A3A" w14:textId="77777777" w:rsidR="007E1609" w:rsidRPr="00A83ADE" w:rsidRDefault="00C45BC0">
            <w:pPr>
              <w:rPr>
                <w:sz w:val="18"/>
                <w:szCs w:val="18"/>
              </w:rPr>
            </w:pPr>
            <w:r w:rsidRPr="00A83ADE">
              <w:rPr>
                <w:sz w:val="18"/>
                <w:szCs w:val="18"/>
              </w:rPr>
              <w:t>-</w:t>
            </w:r>
          </w:p>
        </w:tc>
        <w:tc>
          <w:tcPr>
            <w:tcW w:w="0" w:type="auto"/>
          </w:tcPr>
          <w:p w14:paraId="67ED1574" w14:textId="77777777" w:rsidR="007E1609" w:rsidRPr="00A83ADE" w:rsidRDefault="00C45BC0">
            <w:pPr>
              <w:rPr>
                <w:sz w:val="18"/>
                <w:szCs w:val="18"/>
              </w:rPr>
            </w:pPr>
            <w:r w:rsidRPr="00A83ADE">
              <w:rPr>
                <w:sz w:val="18"/>
                <w:szCs w:val="18"/>
              </w:rPr>
              <w:t>5.2</w:t>
            </w:r>
          </w:p>
        </w:tc>
      </w:tr>
      <w:tr w:rsidR="007E1609" w:rsidRPr="00A83ADE" w14:paraId="6A1C0E8E" w14:textId="77777777">
        <w:tc>
          <w:tcPr>
            <w:tcW w:w="0" w:type="auto"/>
          </w:tcPr>
          <w:p w14:paraId="43F45D0A" w14:textId="77777777" w:rsidR="007E1609" w:rsidRPr="00803BE6" w:rsidRDefault="00C45BC0">
            <w:pPr>
              <w:rPr>
                <w:b/>
                <w:bCs/>
                <w:sz w:val="18"/>
                <w:szCs w:val="18"/>
              </w:rPr>
            </w:pPr>
            <w:r w:rsidRPr="00803BE6">
              <w:rPr>
                <w:b/>
                <w:bCs/>
                <w:sz w:val="18"/>
                <w:szCs w:val="18"/>
              </w:rPr>
              <w:t>1</w:t>
            </w:r>
          </w:p>
        </w:tc>
        <w:tc>
          <w:tcPr>
            <w:tcW w:w="0" w:type="auto"/>
          </w:tcPr>
          <w:p w14:paraId="10A214B0" w14:textId="77777777" w:rsidR="007E1609" w:rsidRPr="00A83ADE" w:rsidRDefault="00C45BC0">
            <w:pPr>
              <w:rPr>
                <w:sz w:val="18"/>
                <w:szCs w:val="18"/>
              </w:rPr>
            </w:pPr>
            <w:r w:rsidRPr="00A83ADE">
              <w:rPr>
                <w:sz w:val="18"/>
                <w:szCs w:val="18"/>
              </w:rPr>
              <w:t>197</w:t>
            </w:r>
          </w:p>
        </w:tc>
        <w:tc>
          <w:tcPr>
            <w:tcW w:w="0" w:type="auto"/>
          </w:tcPr>
          <w:p w14:paraId="3500656D" w14:textId="77777777" w:rsidR="007E1609" w:rsidRPr="00A83ADE" w:rsidRDefault="00C45BC0">
            <w:pPr>
              <w:rPr>
                <w:sz w:val="18"/>
                <w:szCs w:val="18"/>
              </w:rPr>
            </w:pPr>
            <w:r w:rsidRPr="00A83ADE">
              <w:rPr>
                <w:sz w:val="18"/>
                <w:szCs w:val="18"/>
              </w:rPr>
              <w:t>196</w:t>
            </w:r>
          </w:p>
        </w:tc>
        <w:tc>
          <w:tcPr>
            <w:tcW w:w="0" w:type="auto"/>
          </w:tcPr>
          <w:p w14:paraId="6B3FD6FE" w14:textId="4F976E64" w:rsidR="007E1609" w:rsidRPr="00803BE6" w:rsidRDefault="00C45BC0">
            <w:pPr>
              <w:rPr>
                <w:b/>
                <w:bCs/>
                <w:sz w:val="18"/>
                <w:szCs w:val="18"/>
              </w:rPr>
            </w:pPr>
            <w:r w:rsidRPr="00803BE6">
              <w:rPr>
                <w:b/>
                <w:bCs/>
                <w:sz w:val="18"/>
                <w:szCs w:val="18"/>
              </w:rPr>
              <w:t>82.28</w:t>
            </w:r>
          </w:p>
        </w:tc>
        <w:tc>
          <w:tcPr>
            <w:tcW w:w="0" w:type="auto"/>
          </w:tcPr>
          <w:p w14:paraId="0B27CAA8" w14:textId="0CEE02DA" w:rsidR="007E1609" w:rsidRPr="00A83ADE" w:rsidRDefault="00C45BC0">
            <w:pPr>
              <w:rPr>
                <w:sz w:val="18"/>
                <w:szCs w:val="18"/>
              </w:rPr>
            </w:pPr>
            <w:r w:rsidRPr="00A83ADE">
              <w:rPr>
                <w:sz w:val="18"/>
                <w:szCs w:val="18"/>
              </w:rPr>
              <w:t>-15.</w:t>
            </w:r>
            <w:r w:rsidR="001D0A2C">
              <w:rPr>
                <w:sz w:val="18"/>
                <w:szCs w:val="18"/>
              </w:rPr>
              <w:t>7</w:t>
            </w:r>
          </w:p>
        </w:tc>
        <w:tc>
          <w:tcPr>
            <w:tcW w:w="0" w:type="auto"/>
          </w:tcPr>
          <w:p w14:paraId="10965697" w14:textId="36F8FC26" w:rsidR="007E1609" w:rsidRPr="00A83ADE" w:rsidRDefault="00C45BC0">
            <w:pPr>
              <w:rPr>
                <w:sz w:val="18"/>
                <w:szCs w:val="18"/>
              </w:rPr>
            </w:pPr>
            <w:r w:rsidRPr="00A83ADE">
              <w:rPr>
                <w:sz w:val="18"/>
                <w:szCs w:val="18"/>
              </w:rPr>
              <w:t>-16.0</w:t>
            </w:r>
          </w:p>
        </w:tc>
        <w:tc>
          <w:tcPr>
            <w:tcW w:w="0" w:type="auto"/>
          </w:tcPr>
          <w:p w14:paraId="7284A43C" w14:textId="77777777" w:rsidR="007E1609" w:rsidRPr="00A83ADE" w:rsidRDefault="00C45BC0">
            <w:pPr>
              <w:rPr>
                <w:sz w:val="18"/>
                <w:szCs w:val="18"/>
              </w:rPr>
            </w:pPr>
            <w:r w:rsidRPr="00A83ADE">
              <w:rPr>
                <w:sz w:val="18"/>
                <w:szCs w:val="18"/>
              </w:rPr>
              <w:t>0.2</w:t>
            </w:r>
          </w:p>
        </w:tc>
        <w:tc>
          <w:tcPr>
            <w:tcW w:w="0" w:type="auto"/>
          </w:tcPr>
          <w:p w14:paraId="659D99A4" w14:textId="77777777" w:rsidR="007E1609" w:rsidRPr="00A83ADE" w:rsidRDefault="00C45BC0">
            <w:pPr>
              <w:rPr>
                <w:sz w:val="18"/>
                <w:szCs w:val="18"/>
              </w:rPr>
            </w:pPr>
            <w:r w:rsidRPr="00A83ADE">
              <w:rPr>
                <w:sz w:val="18"/>
                <w:szCs w:val="18"/>
              </w:rPr>
              <w:t>16.9</w:t>
            </w:r>
          </w:p>
        </w:tc>
      </w:tr>
      <w:tr w:rsidR="007E1609" w:rsidRPr="00A83ADE" w14:paraId="044C2766" w14:textId="77777777">
        <w:tc>
          <w:tcPr>
            <w:tcW w:w="0" w:type="auto"/>
          </w:tcPr>
          <w:p w14:paraId="51673F97" w14:textId="77777777" w:rsidR="007E1609" w:rsidRPr="00803BE6" w:rsidRDefault="00C45BC0">
            <w:pPr>
              <w:rPr>
                <w:b/>
                <w:bCs/>
                <w:sz w:val="18"/>
                <w:szCs w:val="18"/>
              </w:rPr>
            </w:pPr>
            <w:r w:rsidRPr="00803BE6">
              <w:rPr>
                <w:b/>
                <w:bCs/>
                <w:sz w:val="18"/>
                <w:szCs w:val="18"/>
              </w:rPr>
              <w:t>2</w:t>
            </w:r>
          </w:p>
        </w:tc>
        <w:tc>
          <w:tcPr>
            <w:tcW w:w="0" w:type="auto"/>
          </w:tcPr>
          <w:p w14:paraId="00FF742D" w14:textId="77777777" w:rsidR="007E1609" w:rsidRPr="00A83ADE" w:rsidRDefault="00C45BC0">
            <w:pPr>
              <w:rPr>
                <w:sz w:val="18"/>
                <w:szCs w:val="18"/>
              </w:rPr>
            </w:pPr>
            <w:r w:rsidRPr="00A83ADE">
              <w:rPr>
                <w:sz w:val="18"/>
                <w:szCs w:val="18"/>
              </w:rPr>
              <w:t>1,918</w:t>
            </w:r>
          </w:p>
        </w:tc>
        <w:tc>
          <w:tcPr>
            <w:tcW w:w="0" w:type="auto"/>
          </w:tcPr>
          <w:p w14:paraId="6318A089" w14:textId="77777777" w:rsidR="007E1609" w:rsidRPr="00A83ADE" w:rsidRDefault="00C45BC0">
            <w:pPr>
              <w:rPr>
                <w:sz w:val="18"/>
                <w:szCs w:val="18"/>
              </w:rPr>
            </w:pPr>
            <w:r w:rsidRPr="00A83ADE">
              <w:rPr>
                <w:sz w:val="18"/>
                <w:szCs w:val="18"/>
              </w:rPr>
              <w:t>2,036</w:t>
            </w:r>
          </w:p>
        </w:tc>
        <w:tc>
          <w:tcPr>
            <w:tcW w:w="0" w:type="auto"/>
          </w:tcPr>
          <w:p w14:paraId="42D39ED5" w14:textId="0F35E714" w:rsidR="007E1609" w:rsidRPr="00803BE6" w:rsidRDefault="00C45BC0">
            <w:pPr>
              <w:rPr>
                <w:b/>
                <w:bCs/>
                <w:sz w:val="18"/>
                <w:szCs w:val="18"/>
              </w:rPr>
            </w:pPr>
            <w:r w:rsidRPr="00803BE6">
              <w:rPr>
                <w:b/>
                <w:bCs/>
                <w:sz w:val="18"/>
                <w:szCs w:val="18"/>
              </w:rPr>
              <w:t>82.6</w:t>
            </w:r>
            <w:r w:rsidR="006873FC">
              <w:rPr>
                <w:b/>
                <w:bCs/>
                <w:sz w:val="18"/>
                <w:szCs w:val="18"/>
              </w:rPr>
              <w:t>5</w:t>
            </w:r>
          </w:p>
        </w:tc>
        <w:tc>
          <w:tcPr>
            <w:tcW w:w="0" w:type="auto"/>
          </w:tcPr>
          <w:p w14:paraId="4B81285F" w14:textId="67E0C044" w:rsidR="007E1609" w:rsidRPr="00A83ADE" w:rsidRDefault="00C45BC0">
            <w:pPr>
              <w:rPr>
                <w:sz w:val="18"/>
                <w:szCs w:val="18"/>
              </w:rPr>
            </w:pPr>
            <w:r w:rsidRPr="00A83ADE">
              <w:rPr>
                <w:sz w:val="18"/>
                <w:szCs w:val="18"/>
              </w:rPr>
              <w:t>-15.3</w:t>
            </w:r>
          </w:p>
        </w:tc>
        <w:tc>
          <w:tcPr>
            <w:tcW w:w="0" w:type="auto"/>
          </w:tcPr>
          <w:p w14:paraId="34F699EE" w14:textId="6355408F" w:rsidR="007E1609" w:rsidRPr="00A83ADE" w:rsidRDefault="00C45BC0">
            <w:pPr>
              <w:rPr>
                <w:sz w:val="18"/>
                <w:szCs w:val="18"/>
              </w:rPr>
            </w:pPr>
            <w:r w:rsidRPr="00A83ADE">
              <w:rPr>
                <w:sz w:val="18"/>
                <w:szCs w:val="18"/>
              </w:rPr>
              <w:t>-15.</w:t>
            </w:r>
            <w:r w:rsidR="001D0A2C">
              <w:rPr>
                <w:sz w:val="18"/>
                <w:szCs w:val="18"/>
              </w:rPr>
              <w:t>7</w:t>
            </w:r>
          </w:p>
        </w:tc>
        <w:tc>
          <w:tcPr>
            <w:tcW w:w="0" w:type="auto"/>
          </w:tcPr>
          <w:p w14:paraId="737C1BFF" w14:textId="77777777" w:rsidR="007E1609" w:rsidRPr="00A83ADE" w:rsidRDefault="00C45BC0">
            <w:pPr>
              <w:rPr>
                <w:sz w:val="18"/>
                <w:szCs w:val="18"/>
              </w:rPr>
            </w:pPr>
            <w:r w:rsidRPr="00A83ADE">
              <w:rPr>
                <w:sz w:val="18"/>
                <w:szCs w:val="18"/>
              </w:rPr>
              <w:t>0.3</w:t>
            </w:r>
          </w:p>
        </w:tc>
        <w:tc>
          <w:tcPr>
            <w:tcW w:w="0" w:type="auto"/>
          </w:tcPr>
          <w:p w14:paraId="7B4AEBFC" w14:textId="77777777" w:rsidR="007E1609" w:rsidRPr="00A83ADE" w:rsidRDefault="00C45BC0">
            <w:pPr>
              <w:rPr>
                <w:sz w:val="18"/>
                <w:szCs w:val="18"/>
              </w:rPr>
            </w:pPr>
            <w:r w:rsidRPr="00A83ADE">
              <w:rPr>
                <w:sz w:val="18"/>
                <w:szCs w:val="18"/>
              </w:rPr>
              <w:t>29.7</w:t>
            </w:r>
          </w:p>
        </w:tc>
      </w:tr>
      <w:tr w:rsidR="007E1609" w:rsidRPr="00A83ADE" w14:paraId="11C5B7B4" w14:textId="77777777">
        <w:tc>
          <w:tcPr>
            <w:tcW w:w="0" w:type="auto"/>
          </w:tcPr>
          <w:p w14:paraId="7890297A" w14:textId="77777777" w:rsidR="007E1609" w:rsidRPr="00803BE6" w:rsidRDefault="00C45BC0">
            <w:pPr>
              <w:rPr>
                <w:b/>
                <w:bCs/>
                <w:sz w:val="18"/>
                <w:szCs w:val="18"/>
              </w:rPr>
            </w:pPr>
            <w:r w:rsidRPr="00803BE6">
              <w:rPr>
                <w:b/>
                <w:bCs/>
                <w:sz w:val="18"/>
                <w:szCs w:val="18"/>
              </w:rPr>
              <w:t>3</w:t>
            </w:r>
          </w:p>
        </w:tc>
        <w:tc>
          <w:tcPr>
            <w:tcW w:w="0" w:type="auto"/>
          </w:tcPr>
          <w:p w14:paraId="4D941AB7" w14:textId="77777777" w:rsidR="007E1609" w:rsidRPr="00A83ADE" w:rsidRDefault="00C45BC0">
            <w:pPr>
              <w:rPr>
                <w:sz w:val="18"/>
                <w:szCs w:val="18"/>
              </w:rPr>
            </w:pPr>
            <w:r w:rsidRPr="00A83ADE">
              <w:rPr>
                <w:sz w:val="18"/>
                <w:szCs w:val="18"/>
              </w:rPr>
              <w:t>12,215</w:t>
            </w:r>
          </w:p>
        </w:tc>
        <w:tc>
          <w:tcPr>
            <w:tcW w:w="0" w:type="auto"/>
          </w:tcPr>
          <w:p w14:paraId="45D1BFD0" w14:textId="77777777" w:rsidR="007E1609" w:rsidRPr="00A83ADE" w:rsidRDefault="00C45BC0">
            <w:pPr>
              <w:rPr>
                <w:sz w:val="18"/>
                <w:szCs w:val="18"/>
              </w:rPr>
            </w:pPr>
            <w:r w:rsidRPr="00A83ADE">
              <w:rPr>
                <w:sz w:val="18"/>
                <w:szCs w:val="18"/>
              </w:rPr>
              <w:t>46,138</w:t>
            </w:r>
          </w:p>
        </w:tc>
        <w:tc>
          <w:tcPr>
            <w:tcW w:w="0" w:type="auto"/>
          </w:tcPr>
          <w:p w14:paraId="1AB86688" w14:textId="2FCB95E0" w:rsidR="007E1609" w:rsidRPr="00803BE6" w:rsidRDefault="00C45BC0">
            <w:pPr>
              <w:rPr>
                <w:b/>
                <w:bCs/>
                <w:sz w:val="18"/>
                <w:szCs w:val="18"/>
              </w:rPr>
            </w:pPr>
            <w:r w:rsidRPr="00803BE6">
              <w:rPr>
                <w:b/>
                <w:bCs/>
                <w:sz w:val="18"/>
                <w:szCs w:val="18"/>
              </w:rPr>
              <w:t>90.</w:t>
            </w:r>
            <w:r w:rsidR="006873FC">
              <w:rPr>
                <w:b/>
                <w:bCs/>
                <w:sz w:val="18"/>
                <w:szCs w:val="18"/>
              </w:rPr>
              <w:t>8</w:t>
            </w:r>
          </w:p>
        </w:tc>
        <w:tc>
          <w:tcPr>
            <w:tcW w:w="0" w:type="auto"/>
          </w:tcPr>
          <w:p w14:paraId="2F422C53" w14:textId="4EAFBEDE" w:rsidR="007E1609" w:rsidRPr="00A83ADE" w:rsidRDefault="00C45BC0">
            <w:pPr>
              <w:rPr>
                <w:sz w:val="18"/>
                <w:szCs w:val="18"/>
              </w:rPr>
            </w:pPr>
            <w:r w:rsidRPr="00A83ADE">
              <w:rPr>
                <w:sz w:val="18"/>
                <w:szCs w:val="18"/>
              </w:rPr>
              <w:t>-7.</w:t>
            </w:r>
            <w:r w:rsidR="001D0A2C">
              <w:rPr>
                <w:sz w:val="18"/>
                <w:szCs w:val="18"/>
              </w:rPr>
              <w:t>2</w:t>
            </w:r>
          </w:p>
        </w:tc>
        <w:tc>
          <w:tcPr>
            <w:tcW w:w="0" w:type="auto"/>
          </w:tcPr>
          <w:p w14:paraId="18AB397B" w14:textId="2DFC09FC" w:rsidR="007E1609" w:rsidRPr="00A83ADE" w:rsidRDefault="00C45BC0">
            <w:pPr>
              <w:rPr>
                <w:sz w:val="18"/>
                <w:szCs w:val="18"/>
              </w:rPr>
            </w:pPr>
            <w:r w:rsidRPr="00A83ADE">
              <w:rPr>
                <w:sz w:val="18"/>
                <w:szCs w:val="18"/>
              </w:rPr>
              <w:t>-7.3</w:t>
            </w:r>
          </w:p>
        </w:tc>
        <w:tc>
          <w:tcPr>
            <w:tcW w:w="0" w:type="auto"/>
          </w:tcPr>
          <w:p w14:paraId="7BC8E88A" w14:textId="77777777" w:rsidR="007E1609" w:rsidRPr="00A83ADE" w:rsidRDefault="00C45BC0">
            <w:pPr>
              <w:rPr>
                <w:sz w:val="18"/>
                <w:szCs w:val="18"/>
              </w:rPr>
            </w:pPr>
            <w:r w:rsidRPr="00A83ADE">
              <w:rPr>
                <w:sz w:val="18"/>
                <w:szCs w:val="18"/>
              </w:rPr>
              <w:t>0.6</w:t>
            </w:r>
          </w:p>
        </w:tc>
        <w:tc>
          <w:tcPr>
            <w:tcW w:w="0" w:type="auto"/>
          </w:tcPr>
          <w:p w14:paraId="658DF390" w14:textId="77777777" w:rsidR="007E1609" w:rsidRPr="00A83ADE" w:rsidRDefault="00C45BC0">
            <w:pPr>
              <w:rPr>
                <w:sz w:val="18"/>
                <w:szCs w:val="18"/>
              </w:rPr>
            </w:pPr>
            <w:r w:rsidRPr="00A83ADE">
              <w:rPr>
                <w:sz w:val="18"/>
                <w:szCs w:val="18"/>
              </w:rPr>
              <w:t>56.5</w:t>
            </w:r>
          </w:p>
        </w:tc>
      </w:tr>
      <w:tr w:rsidR="007E1609" w:rsidRPr="00A83ADE" w14:paraId="575518E2" w14:textId="77777777">
        <w:tc>
          <w:tcPr>
            <w:tcW w:w="0" w:type="auto"/>
          </w:tcPr>
          <w:p w14:paraId="69252671" w14:textId="77777777" w:rsidR="007E1609" w:rsidRPr="00803BE6" w:rsidRDefault="00C45BC0">
            <w:pPr>
              <w:rPr>
                <w:b/>
                <w:bCs/>
                <w:sz w:val="18"/>
                <w:szCs w:val="18"/>
              </w:rPr>
            </w:pPr>
            <w:r w:rsidRPr="00803BE6">
              <w:rPr>
                <w:b/>
                <w:bCs/>
                <w:sz w:val="18"/>
                <w:szCs w:val="18"/>
              </w:rPr>
              <w:t>4</w:t>
            </w:r>
          </w:p>
        </w:tc>
        <w:tc>
          <w:tcPr>
            <w:tcW w:w="0" w:type="auto"/>
          </w:tcPr>
          <w:p w14:paraId="5140A3C7" w14:textId="77777777" w:rsidR="007E1609" w:rsidRPr="00A83ADE" w:rsidRDefault="00C45BC0">
            <w:pPr>
              <w:rPr>
                <w:sz w:val="18"/>
                <w:szCs w:val="18"/>
              </w:rPr>
            </w:pPr>
            <w:r w:rsidRPr="00A83ADE">
              <w:rPr>
                <w:sz w:val="18"/>
                <w:szCs w:val="18"/>
              </w:rPr>
              <w:t>57,324</w:t>
            </w:r>
          </w:p>
        </w:tc>
        <w:tc>
          <w:tcPr>
            <w:tcW w:w="0" w:type="auto"/>
          </w:tcPr>
          <w:p w14:paraId="37D7E442" w14:textId="77777777" w:rsidR="007E1609" w:rsidRPr="00A83ADE" w:rsidRDefault="00C45BC0">
            <w:pPr>
              <w:rPr>
                <w:sz w:val="18"/>
                <w:szCs w:val="18"/>
              </w:rPr>
            </w:pPr>
            <w:r w:rsidRPr="00A83ADE">
              <w:rPr>
                <w:sz w:val="18"/>
                <w:szCs w:val="18"/>
              </w:rPr>
              <w:t>239,994</w:t>
            </w:r>
          </w:p>
        </w:tc>
        <w:tc>
          <w:tcPr>
            <w:tcW w:w="0" w:type="auto"/>
          </w:tcPr>
          <w:p w14:paraId="705C7F15" w14:textId="3E774464" w:rsidR="007E1609" w:rsidRPr="00803BE6" w:rsidRDefault="00C45BC0">
            <w:pPr>
              <w:rPr>
                <w:b/>
                <w:bCs/>
                <w:sz w:val="18"/>
                <w:szCs w:val="18"/>
              </w:rPr>
            </w:pPr>
            <w:r w:rsidRPr="00803BE6">
              <w:rPr>
                <w:b/>
                <w:bCs/>
                <w:sz w:val="18"/>
                <w:szCs w:val="18"/>
              </w:rPr>
              <w:t>91.2</w:t>
            </w:r>
            <w:r w:rsidR="006873FC">
              <w:rPr>
                <w:b/>
                <w:bCs/>
                <w:sz w:val="18"/>
                <w:szCs w:val="18"/>
              </w:rPr>
              <w:t>1</w:t>
            </w:r>
          </w:p>
        </w:tc>
        <w:tc>
          <w:tcPr>
            <w:tcW w:w="0" w:type="auto"/>
          </w:tcPr>
          <w:p w14:paraId="278430EE" w14:textId="2CC104D5" w:rsidR="007E1609" w:rsidRPr="00A83ADE" w:rsidRDefault="00C45BC0">
            <w:pPr>
              <w:rPr>
                <w:sz w:val="18"/>
                <w:szCs w:val="18"/>
              </w:rPr>
            </w:pPr>
            <w:r w:rsidRPr="00A83ADE">
              <w:rPr>
                <w:sz w:val="18"/>
                <w:szCs w:val="18"/>
              </w:rPr>
              <w:t>-6.</w:t>
            </w:r>
            <w:r w:rsidR="001D0A2C">
              <w:rPr>
                <w:sz w:val="18"/>
                <w:szCs w:val="18"/>
              </w:rPr>
              <w:t>8</w:t>
            </w:r>
          </w:p>
        </w:tc>
        <w:tc>
          <w:tcPr>
            <w:tcW w:w="0" w:type="auto"/>
          </w:tcPr>
          <w:p w14:paraId="1555EE4F" w14:textId="265885EA" w:rsidR="007E1609" w:rsidRPr="00A83ADE" w:rsidRDefault="00C45BC0">
            <w:pPr>
              <w:rPr>
                <w:sz w:val="18"/>
                <w:szCs w:val="18"/>
              </w:rPr>
            </w:pPr>
            <w:r w:rsidRPr="00A83ADE">
              <w:rPr>
                <w:sz w:val="18"/>
                <w:szCs w:val="18"/>
              </w:rPr>
              <w:t>-6.9</w:t>
            </w:r>
          </w:p>
        </w:tc>
        <w:tc>
          <w:tcPr>
            <w:tcW w:w="0" w:type="auto"/>
          </w:tcPr>
          <w:p w14:paraId="1CA409FE" w14:textId="77777777" w:rsidR="007E1609" w:rsidRPr="00A83ADE" w:rsidRDefault="00C45BC0">
            <w:pPr>
              <w:rPr>
                <w:sz w:val="18"/>
                <w:szCs w:val="18"/>
              </w:rPr>
            </w:pPr>
            <w:r w:rsidRPr="00A83ADE">
              <w:rPr>
                <w:sz w:val="18"/>
                <w:szCs w:val="18"/>
              </w:rPr>
              <w:t>5.8</w:t>
            </w:r>
          </w:p>
        </w:tc>
        <w:tc>
          <w:tcPr>
            <w:tcW w:w="0" w:type="auto"/>
          </w:tcPr>
          <w:p w14:paraId="5C201F14" w14:textId="77777777" w:rsidR="007E1609" w:rsidRPr="00A83ADE" w:rsidRDefault="00C45BC0">
            <w:pPr>
              <w:rPr>
                <w:sz w:val="18"/>
                <w:szCs w:val="18"/>
              </w:rPr>
            </w:pPr>
            <w:r w:rsidRPr="00A83ADE">
              <w:rPr>
                <w:sz w:val="18"/>
                <w:szCs w:val="18"/>
              </w:rPr>
              <w:t>64.9</w:t>
            </w:r>
          </w:p>
        </w:tc>
      </w:tr>
      <w:tr w:rsidR="007E1609" w:rsidRPr="00A83ADE" w14:paraId="21DABD6B" w14:textId="77777777">
        <w:tc>
          <w:tcPr>
            <w:tcW w:w="0" w:type="auto"/>
          </w:tcPr>
          <w:p w14:paraId="76A86F0A" w14:textId="77777777" w:rsidR="007E1609" w:rsidRPr="00803BE6" w:rsidRDefault="00C45BC0">
            <w:pPr>
              <w:rPr>
                <w:b/>
                <w:bCs/>
                <w:sz w:val="18"/>
                <w:szCs w:val="18"/>
              </w:rPr>
            </w:pPr>
            <w:r w:rsidRPr="00803BE6">
              <w:rPr>
                <w:b/>
                <w:bCs/>
                <w:sz w:val="18"/>
                <w:szCs w:val="18"/>
              </w:rPr>
              <w:t>5</w:t>
            </w:r>
          </w:p>
        </w:tc>
        <w:tc>
          <w:tcPr>
            <w:tcW w:w="0" w:type="auto"/>
          </w:tcPr>
          <w:p w14:paraId="36B8C3C7" w14:textId="77777777" w:rsidR="007E1609" w:rsidRPr="00A83ADE" w:rsidRDefault="00C45BC0">
            <w:pPr>
              <w:rPr>
                <w:sz w:val="18"/>
                <w:szCs w:val="18"/>
              </w:rPr>
            </w:pPr>
            <w:r w:rsidRPr="00A83ADE">
              <w:rPr>
                <w:sz w:val="18"/>
                <w:szCs w:val="18"/>
              </w:rPr>
              <w:t>181,875</w:t>
            </w:r>
          </w:p>
        </w:tc>
        <w:tc>
          <w:tcPr>
            <w:tcW w:w="0" w:type="auto"/>
          </w:tcPr>
          <w:p w14:paraId="693B6768" w14:textId="77777777" w:rsidR="007E1609" w:rsidRPr="00A83ADE" w:rsidRDefault="00C45BC0">
            <w:pPr>
              <w:rPr>
                <w:sz w:val="18"/>
                <w:szCs w:val="18"/>
              </w:rPr>
            </w:pPr>
            <w:r w:rsidRPr="00A83ADE">
              <w:rPr>
                <w:sz w:val="18"/>
                <w:szCs w:val="18"/>
              </w:rPr>
              <w:t>1,140,604</w:t>
            </w:r>
          </w:p>
        </w:tc>
        <w:tc>
          <w:tcPr>
            <w:tcW w:w="0" w:type="auto"/>
          </w:tcPr>
          <w:p w14:paraId="26FAF0E0" w14:textId="71158D18" w:rsidR="007E1609" w:rsidRPr="00803BE6" w:rsidRDefault="00C45BC0">
            <w:pPr>
              <w:rPr>
                <w:b/>
                <w:bCs/>
                <w:sz w:val="18"/>
                <w:szCs w:val="18"/>
              </w:rPr>
            </w:pPr>
            <w:r w:rsidRPr="00803BE6">
              <w:rPr>
                <w:b/>
                <w:bCs/>
                <w:sz w:val="18"/>
                <w:szCs w:val="18"/>
              </w:rPr>
              <w:t>93.2</w:t>
            </w:r>
            <w:r w:rsidR="006873FC">
              <w:rPr>
                <w:b/>
                <w:bCs/>
                <w:sz w:val="18"/>
                <w:szCs w:val="18"/>
              </w:rPr>
              <w:t>6</w:t>
            </w:r>
          </w:p>
        </w:tc>
        <w:tc>
          <w:tcPr>
            <w:tcW w:w="0" w:type="auto"/>
          </w:tcPr>
          <w:p w14:paraId="03F79107" w14:textId="3292BC19" w:rsidR="007E1609" w:rsidRPr="00A83ADE" w:rsidRDefault="00C45BC0">
            <w:pPr>
              <w:rPr>
                <w:sz w:val="18"/>
                <w:szCs w:val="18"/>
              </w:rPr>
            </w:pPr>
            <w:r w:rsidRPr="00A83ADE">
              <w:rPr>
                <w:sz w:val="18"/>
                <w:szCs w:val="18"/>
              </w:rPr>
              <w:t>-4.7</w:t>
            </w:r>
          </w:p>
        </w:tc>
        <w:tc>
          <w:tcPr>
            <w:tcW w:w="0" w:type="auto"/>
          </w:tcPr>
          <w:p w14:paraId="4B83703E" w14:textId="5B31BC84" w:rsidR="007E1609" w:rsidRPr="00A83ADE" w:rsidRDefault="00C45BC0">
            <w:pPr>
              <w:rPr>
                <w:sz w:val="18"/>
                <w:szCs w:val="18"/>
              </w:rPr>
            </w:pPr>
            <w:r w:rsidRPr="00A83ADE">
              <w:rPr>
                <w:sz w:val="18"/>
                <w:szCs w:val="18"/>
              </w:rPr>
              <w:t>-4.8</w:t>
            </w:r>
          </w:p>
        </w:tc>
        <w:tc>
          <w:tcPr>
            <w:tcW w:w="0" w:type="auto"/>
          </w:tcPr>
          <w:p w14:paraId="0C75C4EE" w14:textId="77777777" w:rsidR="007E1609" w:rsidRPr="00A83ADE" w:rsidRDefault="00C45BC0">
            <w:pPr>
              <w:rPr>
                <w:sz w:val="18"/>
                <w:szCs w:val="18"/>
              </w:rPr>
            </w:pPr>
            <w:r w:rsidRPr="00A83ADE">
              <w:rPr>
                <w:sz w:val="18"/>
                <w:szCs w:val="18"/>
              </w:rPr>
              <w:t>67.0</w:t>
            </w:r>
          </w:p>
        </w:tc>
        <w:tc>
          <w:tcPr>
            <w:tcW w:w="0" w:type="auto"/>
          </w:tcPr>
          <w:p w14:paraId="1D10A01A" w14:textId="77777777" w:rsidR="007E1609" w:rsidRPr="00A83ADE" w:rsidRDefault="00C45BC0">
            <w:pPr>
              <w:rPr>
                <w:sz w:val="18"/>
                <w:szCs w:val="18"/>
              </w:rPr>
            </w:pPr>
            <w:r w:rsidRPr="00A83ADE">
              <w:rPr>
                <w:sz w:val="18"/>
                <w:szCs w:val="18"/>
              </w:rPr>
              <w:t>77.2</w:t>
            </w:r>
          </w:p>
        </w:tc>
      </w:tr>
      <w:tr w:rsidR="007E1609" w:rsidRPr="00A83ADE" w14:paraId="2A5EAC83" w14:textId="77777777">
        <w:tc>
          <w:tcPr>
            <w:tcW w:w="0" w:type="auto"/>
          </w:tcPr>
          <w:p w14:paraId="5FA17FA5" w14:textId="77777777" w:rsidR="007E1609" w:rsidRPr="00803BE6" w:rsidRDefault="00C45BC0">
            <w:pPr>
              <w:rPr>
                <w:b/>
                <w:bCs/>
                <w:sz w:val="18"/>
                <w:szCs w:val="18"/>
              </w:rPr>
            </w:pPr>
            <w:r w:rsidRPr="00803BE6">
              <w:rPr>
                <w:b/>
                <w:bCs/>
                <w:sz w:val="18"/>
                <w:szCs w:val="18"/>
              </w:rPr>
              <w:t>6</w:t>
            </w:r>
          </w:p>
        </w:tc>
        <w:tc>
          <w:tcPr>
            <w:tcW w:w="0" w:type="auto"/>
          </w:tcPr>
          <w:p w14:paraId="51AACB9C" w14:textId="77777777" w:rsidR="007E1609" w:rsidRPr="00A83ADE" w:rsidRDefault="00C45BC0">
            <w:pPr>
              <w:rPr>
                <w:sz w:val="18"/>
                <w:szCs w:val="18"/>
              </w:rPr>
            </w:pPr>
            <w:r w:rsidRPr="00A83ADE">
              <w:rPr>
                <w:sz w:val="18"/>
                <w:szCs w:val="18"/>
              </w:rPr>
              <w:t>429,838</w:t>
            </w:r>
          </w:p>
        </w:tc>
        <w:tc>
          <w:tcPr>
            <w:tcW w:w="0" w:type="auto"/>
          </w:tcPr>
          <w:p w14:paraId="20520461" w14:textId="77777777" w:rsidR="007E1609" w:rsidRPr="00A83ADE" w:rsidRDefault="00C45BC0">
            <w:pPr>
              <w:rPr>
                <w:sz w:val="18"/>
                <w:szCs w:val="18"/>
              </w:rPr>
            </w:pPr>
            <w:r w:rsidRPr="00A83ADE">
              <w:rPr>
                <w:sz w:val="18"/>
                <w:szCs w:val="18"/>
              </w:rPr>
              <w:t>3,162,649</w:t>
            </w:r>
          </w:p>
        </w:tc>
        <w:tc>
          <w:tcPr>
            <w:tcW w:w="0" w:type="auto"/>
          </w:tcPr>
          <w:p w14:paraId="057EB583" w14:textId="4192DFDE" w:rsidR="007E1609" w:rsidRPr="00803BE6" w:rsidRDefault="00C45BC0">
            <w:pPr>
              <w:rPr>
                <w:b/>
                <w:bCs/>
                <w:sz w:val="18"/>
                <w:szCs w:val="18"/>
              </w:rPr>
            </w:pPr>
            <w:r w:rsidRPr="00803BE6">
              <w:rPr>
                <w:b/>
                <w:bCs/>
                <w:sz w:val="18"/>
                <w:szCs w:val="18"/>
              </w:rPr>
              <w:t>94.</w:t>
            </w:r>
            <w:r w:rsidR="006873FC">
              <w:rPr>
                <w:b/>
                <w:bCs/>
                <w:sz w:val="18"/>
                <w:szCs w:val="18"/>
              </w:rPr>
              <w:t>7</w:t>
            </w:r>
          </w:p>
        </w:tc>
        <w:tc>
          <w:tcPr>
            <w:tcW w:w="0" w:type="auto"/>
          </w:tcPr>
          <w:p w14:paraId="690625E0" w14:textId="3F6090C9" w:rsidR="007E1609" w:rsidRPr="00A83ADE" w:rsidRDefault="00C45BC0">
            <w:pPr>
              <w:rPr>
                <w:sz w:val="18"/>
                <w:szCs w:val="18"/>
              </w:rPr>
            </w:pPr>
            <w:r w:rsidRPr="00A83ADE">
              <w:rPr>
                <w:sz w:val="18"/>
                <w:szCs w:val="18"/>
              </w:rPr>
              <w:t>-3.</w:t>
            </w:r>
            <w:r w:rsidR="001D0A2C">
              <w:rPr>
                <w:sz w:val="18"/>
                <w:szCs w:val="18"/>
              </w:rPr>
              <w:t>3</w:t>
            </w:r>
          </w:p>
        </w:tc>
        <w:tc>
          <w:tcPr>
            <w:tcW w:w="0" w:type="auto"/>
          </w:tcPr>
          <w:p w14:paraId="2BE7E090" w14:textId="752B0C35" w:rsidR="007E1609" w:rsidRPr="00A83ADE" w:rsidRDefault="00C45BC0">
            <w:pPr>
              <w:rPr>
                <w:sz w:val="18"/>
                <w:szCs w:val="18"/>
              </w:rPr>
            </w:pPr>
            <w:r w:rsidRPr="00A83ADE">
              <w:rPr>
                <w:sz w:val="18"/>
                <w:szCs w:val="18"/>
              </w:rPr>
              <w:t>-3.</w:t>
            </w:r>
            <w:r w:rsidR="001D0A2C">
              <w:rPr>
                <w:sz w:val="18"/>
                <w:szCs w:val="18"/>
              </w:rPr>
              <w:t>4</w:t>
            </w:r>
          </w:p>
        </w:tc>
        <w:tc>
          <w:tcPr>
            <w:tcW w:w="0" w:type="auto"/>
          </w:tcPr>
          <w:p w14:paraId="799EB426" w14:textId="77777777" w:rsidR="007E1609" w:rsidRPr="00A83ADE" w:rsidRDefault="00C45BC0">
            <w:pPr>
              <w:rPr>
                <w:sz w:val="18"/>
                <w:szCs w:val="18"/>
              </w:rPr>
            </w:pPr>
            <w:r w:rsidRPr="00A83ADE">
              <w:rPr>
                <w:sz w:val="18"/>
                <w:szCs w:val="18"/>
              </w:rPr>
              <w:t>408.2</w:t>
            </w:r>
          </w:p>
        </w:tc>
        <w:tc>
          <w:tcPr>
            <w:tcW w:w="0" w:type="auto"/>
          </w:tcPr>
          <w:p w14:paraId="58720CB7" w14:textId="77777777" w:rsidR="007E1609" w:rsidRPr="00A83ADE" w:rsidRDefault="00C45BC0">
            <w:pPr>
              <w:rPr>
                <w:sz w:val="18"/>
                <w:szCs w:val="18"/>
              </w:rPr>
            </w:pPr>
            <w:r w:rsidRPr="00A83ADE">
              <w:rPr>
                <w:sz w:val="18"/>
                <w:szCs w:val="18"/>
              </w:rPr>
              <w:t>75.3</w:t>
            </w:r>
          </w:p>
        </w:tc>
      </w:tr>
      <w:tr w:rsidR="007E1609" w:rsidRPr="00A83ADE" w14:paraId="1E6C0EF2" w14:textId="77777777">
        <w:tc>
          <w:tcPr>
            <w:tcW w:w="0" w:type="auto"/>
          </w:tcPr>
          <w:p w14:paraId="0D0CE3E0" w14:textId="77777777" w:rsidR="007E1609" w:rsidRPr="00803BE6" w:rsidRDefault="00C45BC0">
            <w:pPr>
              <w:rPr>
                <w:b/>
                <w:bCs/>
                <w:sz w:val="18"/>
                <w:szCs w:val="18"/>
              </w:rPr>
            </w:pPr>
            <w:r w:rsidRPr="00803BE6">
              <w:rPr>
                <w:b/>
                <w:bCs/>
                <w:sz w:val="18"/>
                <w:szCs w:val="18"/>
              </w:rPr>
              <w:t>7</w:t>
            </w:r>
          </w:p>
        </w:tc>
        <w:tc>
          <w:tcPr>
            <w:tcW w:w="0" w:type="auto"/>
          </w:tcPr>
          <w:p w14:paraId="428ECA63" w14:textId="77777777" w:rsidR="007E1609" w:rsidRPr="00A83ADE" w:rsidRDefault="00C45BC0">
            <w:pPr>
              <w:rPr>
                <w:sz w:val="18"/>
                <w:szCs w:val="18"/>
              </w:rPr>
            </w:pPr>
            <w:r w:rsidRPr="00A83ADE">
              <w:rPr>
                <w:sz w:val="18"/>
                <w:szCs w:val="18"/>
              </w:rPr>
              <w:t>814,993</w:t>
            </w:r>
          </w:p>
        </w:tc>
        <w:tc>
          <w:tcPr>
            <w:tcW w:w="0" w:type="auto"/>
          </w:tcPr>
          <w:p w14:paraId="7AF712C6" w14:textId="77777777" w:rsidR="007E1609" w:rsidRPr="00A83ADE" w:rsidRDefault="00C45BC0">
            <w:pPr>
              <w:rPr>
                <w:sz w:val="18"/>
                <w:szCs w:val="18"/>
              </w:rPr>
            </w:pPr>
            <w:r w:rsidRPr="00A83ADE">
              <w:rPr>
                <w:sz w:val="18"/>
                <w:szCs w:val="18"/>
              </w:rPr>
              <w:t>7,386,657</w:t>
            </w:r>
          </w:p>
        </w:tc>
        <w:tc>
          <w:tcPr>
            <w:tcW w:w="0" w:type="auto"/>
          </w:tcPr>
          <w:p w14:paraId="73983BD3" w14:textId="292E38AA" w:rsidR="007E1609" w:rsidRPr="00803BE6" w:rsidRDefault="00C45BC0">
            <w:pPr>
              <w:rPr>
                <w:b/>
                <w:bCs/>
                <w:sz w:val="18"/>
                <w:szCs w:val="18"/>
              </w:rPr>
            </w:pPr>
            <w:r w:rsidRPr="00803BE6">
              <w:rPr>
                <w:b/>
                <w:bCs/>
                <w:sz w:val="18"/>
                <w:szCs w:val="18"/>
              </w:rPr>
              <w:t>93.5</w:t>
            </w:r>
          </w:p>
        </w:tc>
        <w:tc>
          <w:tcPr>
            <w:tcW w:w="0" w:type="auto"/>
          </w:tcPr>
          <w:p w14:paraId="323BFE45" w14:textId="7D4247D8" w:rsidR="007E1609" w:rsidRPr="00A83ADE" w:rsidRDefault="00C45BC0">
            <w:pPr>
              <w:rPr>
                <w:sz w:val="18"/>
                <w:szCs w:val="18"/>
              </w:rPr>
            </w:pPr>
            <w:r w:rsidRPr="00A83ADE">
              <w:rPr>
                <w:sz w:val="18"/>
                <w:szCs w:val="18"/>
              </w:rPr>
              <w:t>-4.</w:t>
            </w:r>
            <w:r w:rsidR="001D0A2C">
              <w:rPr>
                <w:sz w:val="18"/>
                <w:szCs w:val="18"/>
              </w:rPr>
              <w:t>5</w:t>
            </w:r>
          </w:p>
        </w:tc>
        <w:tc>
          <w:tcPr>
            <w:tcW w:w="0" w:type="auto"/>
          </w:tcPr>
          <w:p w14:paraId="42967735" w14:textId="729CD447" w:rsidR="007E1609" w:rsidRPr="00A83ADE" w:rsidRDefault="00C45BC0">
            <w:pPr>
              <w:rPr>
                <w:sz w:val="18"/>
                <w:szCs w:val="18"/>
              </w:rPr>
            </w:pPr>
            <w:r w:rsidRPr="00A83ADE">
              <w:rPr>
                <w:sz w:val="18"/>
                <w:szCs w:val="18"/>
              </w:rPr>
              <w:t>-4.</w:t>
            </w:r>
            <w:r w:rsidR="001D0A2C">
              <w:rPr>
                <w:sz w:val="18"/>
                <w:szCs w:val="18"/>
              </w:rPr>
              <w:t>6</w:t>
            </w:r>
          </w:p>
        </w:tc>
        <w:tc>
          <w:tcPr>
            <w:tcW w:w="0" w:type="auto"/>
          </w:tcPr>
          <w:p w14:paraId="2167F370" w14:textId="77777777" w:rsidR="007E1609" w:rsidRPr="00A83ADE" w:rsidRDefault="00C45BC0">
            <w:pPr>
              <w:rPr>
                <w:sz w:val="18"/>
                <w:szCs w:val="18"/>
              </w:rPr>
            </w:pPr>
            <w:r w:rsidRPr="00A83ADE">
              <w:rPr>
                <w:sz w:val="18"/>
                <w:szCs w:val="18"/>
              </w:rPr>
              <w:t>2913.4</w:t>
            </w:r>
          </w:p>
        </w:tc>
        <w:tc>
          <w:tcPr>
            <w:tcW w:w="0" w:type="auto"/>
          </w:tcPr>
          <w:p w14:paraId="2BF2D898" w14:textId="77777777" w:rsidR="007E1609" w:rsidRPr="00A83ADE" w:rsidRDefault="00C45BC0">
            <w:pPr>
              <w:rPr>
                <w:sz w:val="18"/>
                <w:szCs w:val="18"/>
              </w:rPr>
            </w:pPr>
            <w:r w:rsidRPr="00A83ADE">
              <w:rPr>
                <w:sz w:val="18"/>
                <w:szCs w:val="18"/>
              </w:rPr>
              <w:t>168.5</w:t>
            </w:r>
          </w:p>
        </w:tc>
      </w:tr>
      <w:tr w:rsidR="002859AA" w:rsidRPr="00A83ADE" w14:paraId="412A7A32" w14:textId="77777777">
        <w:tc>
          <w:tcPr>
            <w:tcW w:w="0" w:type="auto"/>
          </w:tcPr>
          <w:p w14:paraId="479BD7C7" w14:textId="3941DB7B" w:rsidR="002859AA" w:rsidRPr="00803BE6" w:rsidRDefault="002859AA">
            <w:pPr>
              <w:rPr>
                <w:b/>
                <w:bCs/>
                <w:sz w:val="18"/>
                <w:szCs w:val="18"/>
              </w:rPr>
            </w:pPr>
            <w:r>
              <w:rPr>
                <w:b/>
                <w:bCs/>
                <w:sz w:val="18"/>
                <w:szCs w:val="18"/>
              </w:rPr>
              <w:t>Adaptive routing</w:t>
            </w:r>
            <w:r w:rsidR="00863AD8">
              <w:rPr>
                <w:b/>
                <w:bCs/>
                <w:sz w:val="18"/>
                <w:szCs w:val="18"/>
              </w:rPr>
              <w:t xml:space="preserve"> (0.01%)</w:t>
            </w:r>
          </w:p>
        </w:tc>
        <w:tc>
          <w:tcPr>
            <w:tcW w:w="0" w:type="auto"/>
          </w:tcPr>
          <w:p w14:paraId="40B1D6CB" w14:textId="174ACBC9" w:rsidR="002859AA" w:rsidRPr="00A83ADE" w:rsidRDefault="00534217">
            <w:pPr>
              <w:rPr>
                <w:sz w:val="18"/>
                <w:szCs w:val="18"/>
              </w:rPr>
            </w:pPr>
            <w:r>
              <w:rPr>
                <w:sz w:val="18"/>
                <w:szCs w:val="18"/>
              </w:rPr>
              <w:t>49,905</w:t>
            </w:r>
          </w:p>
        </w:tc>
        <w:tc>
          <w:tcPr>
            <w:tcW w:w="0" w:type="auto"/>
          </w:tcPr>
          <w:p w14:paraId="0189FA00" w14:textId="42EF0935" w:rsidR="002859AA" w:rsidRPr="00A83ADE" w:rsidRDefault="003F2251">
            <w:pPr>
              <w:rPr>
                <w:sz w:val="18"/>
                <w:szCs w:val="18"/>
              </w:rPr>
            </w:pPr>
            <w:r>
              <w:rPr>
                <w:sz w:val="18"/>
                <w:szCs w:val="18"/>
              </w:rPr>
              <w:t>118,050</w:t>
            </w:r>
          </w:p>
        </w:tc>
        <w:tc>
          <w:tcPr>
            <w:tcW w:w="0" w:type="auto"/>
          </w:tcPr>
          <w:p w14:paraId="254873B8" w14:textId="745621E6" w:rsidR="002859AA" w:rsidRPr="00803BE6" w:rsidRDefault="006C476C">
            <w:pPr>
              <w:rPr>
                <w:b/>
                <w:bCs/>
                <w:sz w:val="18"/>
                <w:szCs w:val="18"/>
              </w:rPr>
            </w:pPr>
            <w:r>
              <w:rPr>
                <w:b/>
                <w:bCs/>
                <w:sz w:val="18"/>
                <w:szCs w:val="18"/>
              </w:rPr>
              <w:t>92.7</w:t>
            </w:r>
          </w:p>
        </w:tc>
        <w:tc>
          <w:tcPr>
            <w:tcW w:w="0" w:type="auto"/>
          </w:tcPr>
          <w:p w14:paraId="678C29A4" w14:textId="12A9A704" w:rsidR="002859AA" w:rsidRPr="00A83ADE" w:rsidRDefault="006C476C">
            <w:pPr>
              <w:rPr>
                <w:sz w:val="18"/>
                <w:szCs w:val="18"/>
              </w:rPr>
            </w:pPr>
            <w:r>
              <w:rPr>
                <w:sz w:val="18"/>
                <w:szCs w:val="18"/>
              </w:rPr>
              <w:t>-5.3</w:t>
            </w:r>
          </w:p>
        </w:tc>
        <w:tc>
          <w:tcPr>
            <w:tcW w:w="0" w:type="auto"/>
          </w:tcPr>
          <w:p w14:paraId="07266F15" w14:textId="1D9F7611" w:rsidR="002859AA" w:rsidRPr="00A83ADE" w:rsidRDefault="006C476C">
            <w:pPr>
              <w:rPr>
                <w:sz w:val="18"/>
                <w:szCs w:val="18"/>
              </w:rPr>
            </w:pPr>
            <w:r>
              <w:rPr>
                <w:sz w:val="18"/>
                <w:szCs w:val="18"/>
              </w:rPr>
              <w:t>-5.4</w:t>
            </w:r>
          </w:p>
        </w:tc>
        <w:tc>
          <w:tcPr>
            <w:tcW w:w="0" w:type="auto"/>
          </w:tcPr>
          <w:p w14:paraId="6880231C" w14:textId="5403A131" w:rsidR="002859AA" w:rsidRPr="00A83ADE" w:rsidRDefault="00E62E55">
            <w:pPr>
              <w:rPr>
                <w:sz w:val="18"/>
                <w:szCs w:val="18"/>
              </w:rPr>
            </w:pPr>
            <w:r>
              <w:rPr>
                <w:sz w:val="18"/>
                <w:szCs w:val="18"/>
              </w:rPr>
              <w:t>89.6</w:t>
            </w:r>
          </w:p>
        </w:tc>
        <w:tc>
          <w:tcPr>
            <w:tcW w:w="0" w:type="auto"/>
          </w:tcPr>
          <w:p w14:paraId="16CFE901" w14:textId="70B9BD0F" w:rsidR="002859AA" w:rsidRPr="00A83ADE" w:rsidRDefault="00E62E55">
            <w:pPr>
              <w:rPr>
                <w:sz w:val="18"/>
                <w:szCs w:val="18"/>
              </w:rPr>
            </w:pPr>
            <w:r>
              <w:rPr>
                <w:sz w:val="18"/>
                <w:szCs w:val="18"/>
              </w:rPr>
              <w:t>72.8</w:t>
            </w:r>
          </w:p>
        </w:tc>
      </w:tr>
    </w:tbl>
    <w:p w14:paraId="41963491" w14:textId="441B9F0F" w:rsidR="00A83ADE" w:rsidRPr="00F84684" w:rsidRDefault="00F84684" w:rsidP="00023FC0">
      <w:pPr>
        <w:rPr>
          <w:sz w:val="17"/>
          <w:szCs w:val="17"/>
        </w:rPr>
      </w:pPr>
      <w:r w:rsidRPr="00321DE6">
        <w:rPr>
          <w:b/>
          <w:bCs/>
          <w:sz w:val="17"/>
          <w:szCs w:val="17"/>
        </w:rPr>
        <w:lastRenderedPageBreak/>
        <w:t xml:space="preserve">Table </w:t>
      </w:r>
      <w:r>
        <w:rPr>
          <w:b/>
          <w:bCs/>
          <w:sz w:val="17"/>
          <w:szCs w:val="17"/>
        </w:rPr>
        <w:t>1</w:t>
      </w:r>
      <w:r w:rsidR="00023FC0">
        <w:rPr>
          <w:b/>
          <w:bCs/>
          <w:sz w:val="17"/>
          <w:szCs w:val="17"/>
        </w:rPr>
        <w:t>4</w:t>
      </w:r>
      <w:r w:rsidRPr="00321DE6">
        <w:rPr>
          <w:sz w:val="17"/>
          <w:szCs w:val="17"/>
        </w:rPr>
        <w:t xml:space="preserve"> – </w:t>
      </w:r>
      <w:r w:rsidR="00023FC0" w:rsidRPr="00023FC0">
        <w:rPr>
          <w:sz w:val="17"/>
          <w:szCs w:val="17"/>
        </w:rPr>
        <w:t>Depth sensitivity and runtime for the direct-air-capture case study. Static, fixed-depth, and adaptiv</w:t>
      </w:r>
      <w:r w:rsidR="00023FC0">
        <w:rPr>
          <w:sz w:val="17"/>
          <w:szCs w:val="17"/>
        </w:rPr>
        <w:t xml:space="preserve">e </w:t>
      </w:r>
      <w:r w:rsidR="00023FC0" w:rsidRPr="00023FC0">
        <w:rPr>
          <w:sz w:val="17"/>
          <w:szCs w:val="17"/>
        </w:rPr>
        <w:t>routing settings are compared by routed graph size, EF v3.1 particulate-matter score, deviation from the static</w:t>
      </w:r>
      <w:r w:rsidR="00023FC0">
        <w:rPr>
          <w:sz w:val="17"/>
          <w:szCs w:val="17"/>
        </w:rPr>
        <w:t xml:space="preserve"> </w:t>
      </w:r>
      <w:r w:rsidR="00023FC0" w:rsidRPr="00023FC0">
        <w:rPr>
          <w:sz w:val="17"/>
          <w:szCs w:val="17"/>
        </w:rPr>
        <w:t xml:space="preserve">result, routing time, and LCA solve </w:t>
      </w:r>
      <w:proofErr w:type="gramStart"/>
      <w:r w:rsidR="00023FC0" w:rsidRPr="00023FC0">
        <w:rPr>
          <w:sz w:val="17"/>
          <w:szCs w:val="17"/>
        </w:rPr>
        <w:t>time.</w:t>
      </w:r>
      <w:r>
        <w:rPr>
          <w:sz w:val="17"/>
          <w:szCs w:val="17"/>
        </w:rPr>
        <w:t>.</w:t>
      </w:r>
      <w:proofErr w:type="gramEnd"/>
    </w:p>
    <w:p w14:paraId="32861795" w14:textId="4875F80C" w:rsidR="007E1609" w:rsidRDefault="00C45BC0">
      <w:pPr>
        <w:pStyle w:val="para"/>
      </w:pPr>
      <w:r>
        <w:t>The routed graph grew strongly with temporalisation depth. The number of routed nodes increased from 197 at depth 1 to 814,993 at depth 7, while the number of edges increased from 196 to 7,386,657. Routing time</w:t>
      </w:r>
      <w:r w:rsidR="00A83ADE">
        <w:t>,</w:t>
      </w:r>
      <w:r>
        <w:t xml:space="preserve"> therefore</w:t>
      </w:r>
      <w:r w:rsidR="00A83ADE">
        <w:t>,</w:t>
      </w:r>
      <w:r>
        <w:t xml:space="preserve"> dominated the high-depth calculations: at depth 7, routing took 2913 s (48.6 min), whereas the subsequent LCA solve and scoring step took 16</w:t>
      </w:r>
      <w:r w:rsidR="00A83ADE">
        <w:t>9</w:t>
      </w:r>
      <w:r>
        <w:t xml:space="preserve"> s. This </w:t>
      </w:r>
      <w:proofErr w:type="spellStart"/>
      <w:r>
        <w:t>behaviour</w:t>
      </w:r>
      <w:proofErr w:type="spellEnd"/>
      <w:r>
        <w:t xml:space="preserve"> is </w:t>
      </w:r>
      <w:r w:rsidR="00A83ADE">
        <w:t xml:space="preserve">almost </w:t>
      </w:r>
      <w:r>
        <w:t>consistent with an exponential worst-case expansion of the process-year routing graph</w:t>
      </w:r>
      <w:r w:rsidR="00A83ADE">
        <w:t>.</w:t>
      </w:r>
    </w:p>
    <w:p w14:paraId="5D437569" w14:textId="2E4969EB" w:rsidR="007E1609" w:rsidRDefault="00C45BC0">
      <w:pPr>
        <w:pStyle w:val="para"/>
      </w:pPr>
      <w:r>
        <w:t xml:space="preserve">The score deviation from the static result decreased substantially between </w:t>
      </w:r>
      <w:r w:rsidR="00A83ADE">
        <w:t>the static score</w:t>
      </w:r>
      <w:r>
        <w:t xml:space="preserve"> and intermediate depths, from -16% at depth 1 to -3.</w:t>
      </w:r>
      <w:r w:rsidR="00A865EA">
        <w:t>4</w:t>
      </w:r>
      <w:r>
        <w:t>% at depth 6. The depth-7 score was 93.5 disease incidence, corresponding to a -4.</w:t>
      </w:r>
      <w:r w:rsidR="002E3AD8">
        <w:t>6</w:t>
      </w:r>
      <w:r>
        <w:t>% deviation from the static score. The small</w:t>
      </w:r>
      <w:r w:rsidR="00A83ADE">
        <w:t>,</w:t>
      </w:r>
      <w:r>
        <w:t xml:space="preserve"> non-monotonic change between depths </w:t>
      </w:r>
      <w:r w:rsidR="00054235">
        <w:t xml:space="preserve">5, </w:t>
      </w:r>
      <w:r>
        <w:t>6 and 7</w:t>
      </w:r>
      <w:r w:rsidR="002E3AD8">
        <w:t xml:space="preserve"> (i.e., from </w:t>
      </w:r>
      <w:r w:rsidR="00054235">
        <w:t>-4.7% to -3.3% back to -4.5</w:t>
      </w:r>
      <w:r w:rsidR="002C359F">
        <w:t>%</w:t>
      </w:r>
      <w:r w:rsidR="002E3AD8">
        <w:t>)</w:t>
      </w:r>
      <w:r>
        <w:t xml:space="preserve"> shows that increasing depth is not a simple numerical convergence parameter: additional routed paths can shift contributions across years</w:t>
      </w:r>
      <w:r w:rsidR="00412C21">
        <w:t xml:space="preserve"> in both directions, although </w:t>
      </w:r>
      <w:r w:rsidR="002C359F">
        <w:t xml:space="preserve">often </w:t>
      </w:r>
      <w:r w:rsidR="00412C21">
        <w:t>in a marginally decreasing way</w:t>
      </w:r>
      <w:r w:rsidR="00A83ADE">
        <w:t>,</w:t>
      </w:r>
      <w:r>
        <w:t xml:space="preserve"> </w:t>
      </w:r>
      <w:r w:rsidR="00A83ADE">
        <w:t>thereby</w:t>
      </w:r>
      <w:r>
        <w:t xml:space="preserve"> c</w:t>
      </w:r>
      <w:r w:rsidR="00A83ADE">
        <w:t>hanging</w:t>
      </w:r>
      <w:r>
        <w:t xml:space="preserve"> both the timing and the target-year background coefficients of the assessed inventory.</w:t>
      </w:r>
    </w:p>
    <w:p w14:paraId="2B672B33" w14:textId="3502FB28" w:rsidR="007D20BA" w:rsidRDefault="001124F4" w:rsidP="001124F4">
      <w:pPr>
        <w:pStyle w:val="para"/>
      </w:pPr>
      <w:r>
        <w:t>Fixed-depth routing is shown here for sensitivity analysis, but it is not the default; the default is score-based adaptive routing. The last row uses this adaptive approach with a 0.01% relative cutoff: branches are explicitly expanded until their estimated static score potential falls below 0.01% of the functional-unit static score, after which they are retained as frontier contributions rather than further expanded, reducing both routing and LCA runtimes compared with the deepest fixed-depth run.</w:t>
      </w:r>
    </w:p>
    <w:p w14:paraId="59236B27" w14:textId="491FAC7C" w:rsidR="00E4260D" w:rsidRDefault="00240788" w:rsidP="002C079F">
      <w:pPr>
        <w:pStyle w:val="Heading1"/>
        <w:numPr>
          <w:ilvl w:val="0"/>
          <w:numId w:val="46"/>
        </w:numPr>
      </w:pPr>
      <w:bookmarkStart w:id="17" w:name="_Toc233129515"/>
      <w:r>
        <w:t xml:space="preserve">Coupling </w:t>
      </w:r>
      <w:r w:rsidR="00132A81" w:rsidRPr="00132A81">
        <w:rPr>
          <w:i/>
          <w:iCs/>
        </w:rPr>
        <w:t>Trails</w:t>
      </w:r>
      <w:r>
        <w:t xml:space="preserve"> inventories with </w:t>
      </w:r>
      <w:proofErr w:type="spellStart"/>
      <w:r w:rsidRPr="00132A81">
        <w:rPr>
          <w:i/>
          <w:iCs/>
        </w:rPr>
        <w:t>FaIR</w:t>
      </w:r>
      <w:bookmarkEnd w:id="17"/>
      <w:proofErr w:type="spellEnd"/>
    </w:p>
    <w:p w14:paraId="3ED2A550" w14:textId="021B5F46" w:rsidR="00E4260D" w:rsidRDefault="00240788">
      <w:r>
        <w:t xml:space="preserve">The </w:t>
      </w:r>
      <w:proofErr w:type="spellStart"/>
      <w:r w:rsidRPr="0090768A">
        <w:rPr>
          <w:i/>
          <w:iCs/>
        </w:rPr>
        <w:t>FaIR</w:t>
      </w:r>
      <w:proofErr w:type="spellEnd"/>
      <w:r>
        <w:t xml:space="preserve"> coupling is optional. It converts a stored </w:t>
      </w:r>
      <w:r w:rsidR="0090768A" w:rsidRPr="0090768A">
        <w:rPr>
          <w:i/>
          <w:iCs/>
        </w:rPr>
        <w:t>Trails</w:t>
      </w:r>
      <w:r>
        <w:t xml:space="preserve"> inventory into a perturbation of a baseline </w:t>
      </w:r>
      <w:proofErr w:type="spellStart"/>
      <w:r w:rsidR="0090768A" w:rsidRPr="0090768A">
        <w:rPr>
          <w:i/>
          <w:iCs/>
        </w:rPr>
        <w:t>FaIR</w:t>
      </w:r>
      <w:proofErr w:type="spellEnd"/>
      <w:r w:rsidR="0090768A">
        <w:t xml:space="preserve"> </w:t>
      </w:r>
      <w:r>
        <w:t>scenario and reports the difference between the perturbed and baseline climate response.</w:t>
      </w:r>
    </w:p>
    <w:p w14:paraId="321CC85A" w14:textId="47233FD9" w:rsidR="00E4260D" w:rsidRDefault="00240788">
      <w:r>
        <w:t>This section expands the main-text Method section "Optional dynamic impact assessment". The main text describes the perturbation approach; the present section lists the exact LCA-flow</w:t>
      </w:r>
      <w:r w:rsidR="00517206">
        <w:t>-to-</w:t>
      </w:r>
      <w:proofErr w:type="spellStart"/>
      <w:r w:rsidR="0090768A" w:rsidRPr="0090768A">
        <w:rPr>
          <w:i/>
          <w:iCs/>
        </w:rPr>
        <w:t>FaIR</w:t>
      </w:r>
      <w:proofErr w:type="spellEnd"/>
      <w:r w:rsidR="0090768A">
        <w:t xml:space="preserve"> </w:t>
      </w:r>
      <w:r>
        <w:t xml:space="preserve">species mapping and </w:t>
      </w:r>
      <w:r w:rsidR="00517206">
        <w:t xml:space="preserve">the </w:t>
      </w:r>
      <w:r>
        <w:t>sign conventions used in the calculation.</w:t>
      </w:r>
    </w:p>
    <w:p w14:paraId="153EF9D1" w14:textId="77777777" w:rsidR="00E4260D" w:rsidRDefault="00240788" w:rsidP="0090768A">
      <w:pPr>
        <w:pStyle w:val="figure"/>
        <w:ind w:left="-1418"/>
        <w:jc w:val="center"/>
      </w:pPr>
      <w:r>
        <w:rPr>
          <w:noProof/>
        </w:rPr>
        <w:lastRenderedPageBreak/>
        <w:drawing>
          <wp:inline distT="0" distB="0" distL="0" distR="0" wp14:anchorId="6CDB0B74" wp14:editId="0329CD69">
            <wp:extent cx="5758518" cy="1235383"/>
            <wp:effectExtent l="0" t="0" r="0" b="0"/>
            <wp:docPr id="10" name="Picture 10" descr="FaIR coupling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air_coupling_schematic.svg"/>
                    <pic:cNvPicPr/>
                  </pic:nvPicPr>
                  <pic:blipFill rotWithShape="1">
                    <a:blip r:embed="rId28">
                      <a:extLst>
                        <a:ext uri="{96DAC541-7B7A-43D3-8B79-37D633B846F1}">
                          <asvg:svgBlip xmlns:asvg="http://schemas.microsoft.com/office/drawing/2016/SVG/main" r:embed="rId29"/>
                        </a:ext>
                      </a:extLst>
                    </a:blip>
                    <a:srcRect t="9347" b="12787"/>
                    <a:stretch>
                      <a:fillRect/>
                    </a:stretch>
                  </pic:blipFill>
                  <pic:spPr bwMode="auto">
                    <a:xfrm>
                      <a:off x="0" y="0"/>
                      <a:ext cx="5760720" cy="1235855"/>
                    </a:xfrm>
                    <a:prstGeom prst="rect">
                      <a:avLst/>
                    </a:prstGeom>
                    <a:ln>
                      <a:noFill/>
                    </a:ln>
                    <a:extLst>
                      <a:ext uri="{53640926-AAD7-44D8-BBD7-CCE9431645EC}">
                        <a14:shadowObscured xmlns:a14="http://schemas.microsoft.com/office/drawing/2010/main"/>
                      </a:ext>
                    </a:extLst>
                  </pic:spPr>
                </pic:pic>
              </a:graphicData>
            </a:graphic>
          </wp:inline>
        </w:drawing>
      </w:r>
    </w:p>
    <w:p w14:paraId="2C028797" w14:textId="42C34BE8" w:rsidR="00E4260D" w:rsidRDefault="0058638E" w:rsidP="00D93F83">
      <w:pPr>
        <w:pStyle w:val="fignotes"/>
      </w:pPr>
      <w:r w:rsidRPr="00F867DD">
        <w:rPr>
          <w:b/>
          <w:bCs/>
          <w:szCs w:val="17"/>
        </w:rPr>
        <w:t xml:space="preserve">Figure </w:t>
      </w:r>
      <w:r>
        <w:rPr>
          <w:b/>
          <w:bCs/>
          <w:szCs w:val="17"/>
        </w:rPr>
        <w:t>9</w:t>
      </w:r>
      <w:r w:rsidRPr="00F867DD">
        <w:rPr>
          <w:szCs w:val="17"/>
        </w:rPr>
        <w:t xml:space="preserve"> – </w:t>
      </w:r>
      <w:r w:rsidR="00D93F83">
        <w:t xml:space="preserve">Optional coupling of Trails inventories with </w:t>
      </w:r>
      <w:proofErr w:type="spellStart"/>
      <w:r w:rsidR="00D93F83">
        <w:t>FaIR</w:t>
      </w:r>
      <w:proofErr w:type="spellEnd"/>
      <w:r w:rsidR="00D93F83">
        <w:t xml:space="preserve">. Aggregated Trails biosphere flows are mapped to </w:t>
      </w:r>
      <w:proofErr w:type="spellStart"/>
      <w:r w:rsidR="00D93F83">
        <w:t>FaIR</w:t>
      </w:r>
      <w:proofErr w:type="spellEnd"/>
      <w:r w:rsidR="00D93F83">
        <w:t xml:space="preserve"> </w:t>
      </w:r>
      <w:r w:rsidR="00D93F83">
        <w:t>species, added as perturbations to a baseline scenario, and evaluated as differences between perturbed and baseline</w:t>
      </w:r>
      <w:r w:rsidR="00D93F83">
        <w:t xml:space="preserve"> </w:t>
      </w:r>
      <w:r w:rsidR="00D93F83">
        <w:t>radiative forcing and temperature responses</w:t>
      </w:r>
      <w:r w:rsidRPr="00F867DD">
        <w:t>.</w:t>
      </w:r>
    </w:p>
    <w:p w14:paraId="3DD2E3A7" w14:textId="38A5AC94" w:rsidR="00E4260D" w:rsidRDefault="00240788">
      <w:r>
        <w:t xml:space="preserve">The inventory is first aggregated over activities. Atmospheric biosphere flows are then mapped to </w:t>
      </w:r>
      <w:proofErr w:type="spellStart"/>
      <w:r w:rsidR="005C4D91" w:rsidRPr="0090768A">
        <w:rPr>
          <w:i/>
          <w:iCs/>
        </w:rPr>
        <w:t>FaIR</w:t>
      </w:r>
      <w:proofErr w:type="spellEnd"/>
      <w:r w:rsidR="005C4D91">
        <w:t xml:space="preserve"> </w:t>
      </w:r>
      <w:r>
        <w:t xml:space="preserve">species using </w:t>
      </w:r>
      <w:proofErr w:type="spellStart"/>
      <w:r>
        <w:rPr>
          <w:rFonts w:ascii="Courier New" w:hAnsi="Courier New"/>
          <w:sz w:val="18"/>
        </w:rPr>
        <w:t>fair_species_</w:t>
      </w:r>
      <w:proofErr w:type="gramStart"/>
      <w:r>
        <w:rPr>
          <w:rFonts w:ascii="Courier New" w:hAnsi="Courier New"/>
          <w:sz w:val="18"/>
        </w:rPr>
        <w:t>map.yaml</w:t>
      </w:r>
      <w:proofErr w:type="spellEnd"/>
      <w:proofErr w:type="gramEnd"/>
      <w:r>
        <w:t>. The complete default mapping is</w:t>
      </w:r>
      <w:r w:rsidR="00147056">
        <w:t xml:space="preserve"> described in Table 1</w:t>
      </w:r>
      <w:r w:rsidR="00836985">
        <w:t>5.</w:t>
      </w:r>
    </w:p>
    <w:tbl>
      <w:tblPr>
        <w:tblStyle w:val="TableGrid"/>
        <w:tblW w:w="0" w:type="auto"/>
        <w:tblLook w:val="04A0" w:firstRow="1" w:lastRow="0" w:firstColumn="1" w:lastColumn="0" w:noHBand="0" w:noVBand="1"/>
      </w:tblPr>
      <w:tblGrid>
        <w:gridCol w:w="2287"/>
        <w:gridCol w:w="2206"/>
        <w:gridCol w:w="2130"/>
      </w:tblGrid>
      <w:tr w:rsidR="00E4260D" w14:paraId="28E627F6" w14:textId="77777777" w:rsidTr="00451663">
        <w:tc>
          <w:tcPr>
            <w:tcW w:w="2287" w:type="dxa"/>
            <w:shd w:val="clear" w:color="auto" w:fill="D9EAF7"/>
          </w:tcPr>
          <w:p w14:paraId="5E744260" w14:textId="77777777" w:rsidR="00E4260D" w:rsidRDefault="00240788">
            <w:r>
              <w:rPr>
                <w:b/>
              </w:rPr>
              <w:t>LCA biosphere flow</w:t>
            </w:r>
          </w:p>
        </w:tc>
        <w:tc>
          <w:tcPr>
            <w:tcW w:w="2206" w:type="dxa"/>
            <w:shd w:val="clear" w:color="auto" w:fill="D9EAF7"/>
          </w:tcPr>
          <w:p w14:paraId="2D234C5F" w14:textId="77777777" w:rsidR="00E4260D" w:rsidRDefault="00240788">
            <w:proofErr w:type="spellStart"/>
            <w:r>
              <w:rPr>
                <w:b/>
              </w:rPr>
              <w:t>FaIR</w:t>
            </w:r>
            <w:proofErr w:type="spellEnd"/>
            <w:r>
              <w:rPr>
                <w:b/>
              </w:rPr>
              <w:t xml:space="preserve"> species</w:t>
            </w:r>
          </w:p>
        </w:tc>
        <w:tc>
          <w:tcPr>
            <w:tcW w:w="2130" w:type="dxa"/>
            <w:shd w:val="clear" w:color="auto" w:fill="D9EAF7"/>
          </w:tcPr>
          <w:p w14:paraId="3E3596C7" w14:textId="77777777" w:rsidR="00E4260D" w:rsidRDefault="00240788">
            <w:r>
              <w:rPr>
                <w:b/>
              </w:rPr>
              <w:t xml:space="preserve">Sign used in </w:t>
            </w:r>
            <w:proofErr w:type="spellStart"/>
            <w:r>
              <w:rPr>
                <w:b/>
              </w:rPr>
              <w:t>FaIR</w:t>
            </w:r>
            <w:proofErr w:type="spellEnd"/>
            <w:r>
              <w:rPr>
                <w:b/>
              </w:rPr>
              <w:t xml:space="preserve"> perturbation</w:t>
            </w:r>
          </w:p>
        </w:tc>
      </w:tr>
      <w:tr w:rsidR="00E4260D" w14:paraId="6437FCD4" w14:textId="77777777" w:rsidTr="00451663">
        <w:tc>
          <w:tcPr>
            <w:tcW w:w="2287" w:type="dxa"/>
          </w:tcPr>
          <w:p w14:paraId="2097CFC7" w14:textId="77777777" w:rsidR="00E4260D" w:rsidRDefault="00240788">
            <w:r>
              <w:rPr>
                <w:rFonts w:ascii="Courier New" w:hAnsi="Courier New"/>
                <w:sz w:val="18"/>
              </w:rPr>
              <w:t>Carbon dioxide, fossil</w:t>
            </w:r>
          </w:p>
        </w:tc>
        <w:tc>
          <w:tcPr>
            <w:tcW w:w="2206" w:type="dxa"/>
          </w:tcPr>
          <w:p w14:paraId="7B0ABCBD" w14:textId="77777777" w:rsidR="00E4260D" w:rsidRDefault="00240788">
            <w:r>
              <w:rPr>
                <w:rFonts w:ascii="Courier New" w:hAnsi="Courier New"/>
                <w:sz w:val="18"/>
              </w:rPr>
              <w:t>CO2 FFI</w:t>
            </w:r>
          </w:p>
        </w:tc>
        <w:tc>
          <w:tcPr>
            <w:tcW w:w="2130" w:type="dxa"/>
          </w:tcPr>
          <w:p w14:paraId="65F78862" w14:textId="77777777" w:rsidR="00E4260D" w:rsidRDefault="00240788">
            <w:r>
              <w:t>positive (</w:t>
            </w:r>
            <w:r>
              <w:rPr>
                <w:rFonts w:ascii="Courier New" w:hAnsi="Courier New"/>
                <w:sz w:val="18"/>
              </w:rPr>
              <w:t>1</w:t>
            </w:r>
            <w:r>
              <w:t>)</w:t>
            </w:r>
          </w:p>
        </w:tc>
      </w:tr>
      <w:tr w:rsidR="00E4260D" w14:paraId="6244C30A" w14:textId="77777777" w:rsidTr="00451663">
        <w:tc>
          <w:tcPr>
            <w:tcW w:w="2287" w:type="dxa"/>
          </w:tcPr>
          <w:p w14:paraId="52EB3A10" w14:textId="77777777" w:rsidR="00E4260D" w:rsidRDefault="00240788">
            <w:r>
              <w:rPr>
                <w:rFonts w:ascii="Courier New" w:hAnsi="Courier New"/>
                <w:sz w:val="18"/>
              </w:rPr>
              <w:t>Carbon dioxide, non-fossil</w:t>
            </w:r>
          </w:p>
        </w:tc>
        <w:tc>
          <w:tcPr>
            <w:tcW w:w="2206" w:type="dxa"/>
          </w:tcPr>
          <w:p w14:paraId="251F6AFB" w14:textId="77777777" w:rsidR="00E4260D" w:rsidRDefault="00240788">
            <w:r>
              <w:rPr>
                <w:rFonts w:ascii="Courier New" w:hAnsi="Courier New"/>
                <w:sz w:val="18"/>
              </w:rPr>
              <w:t>CO2 AFOLU</w:t>
            </w:r>
          </w:p>
        </w:tc>
        <w:tc>
          <w:tcPr>
            <w:tcW w:w="2130" w:type="dxa"/>
          </w:tcPr>
          <w:p w14:paraId="4157D9A1" w14:textId="77777777" w:rsidR="00E4260D" w:rsidRDefault="00240788">
            <w:r>
              <w:t>positive (</w:t>
            </w:r>
            <w:r>
              <w:rPr>
                <w:rFonts w:ascii="Courier New" w:hAnsi="Courier New"/>
                <w:sz w:val="18"/>
              </w:rPr>
              <w:t>1</w:t>
            </w:r>
            <w:r>
              <w:t>)</w:t>
            </w:r>
          </w:p>
        </w:tc>
      </w:tr>
      <w:tr w:rsidR="00E4260D" w14:paraId="3F627CB0" w14:textId="77777777" w:rsidTr="00451663">
        <w:tc>
          <w:tcPr>
            <w:tcW w:w="2287" w:type="dxa"/>
          </w:tcPr>
          <w:p w14:paraId="02FB3067" w14:textId="77777777" w:rsidR="00E4260D" w:rsidRDefault="00240788">
            <w:r>
              <w:rPr>
                <w:rFonts w:ascii="Courier New" w:hAnsi="Courier New"/>
                <w:sz w:val="18"/>
              </w:rPr>
              <w:t>Carbon dioxide, from soil or biomass stock</w:t>
            </w:r>
          </w:p>
        </w:tc>
        <w:tc>
          <w:tcPr>
            <w:tcW w:w="2206" w:type="dxa"/>
          </w:tcPr>
          <w:p w14:paraId="797C83C1" w14:textId="77777777" w:rsidR="00E4260D" w:rsidRDefault="00240788">
            <w:r>
              <w:rPr>
                <w:rFonts w:ascii="Courier New" w:hAnsi="Courier New"/>
                <w:sz w:val="18"/>
              </w:rPr>
              <w:t>CO2 AFOLU</w:t>
            </w:r>
          </w:p>
        </w:tc>
        <w:tc>
          <w:tcPr>
            <w:tcW w:w="2130" w:type="dxa"/>
          </w:tcPr>
          <w:p w14:paraId="38D786FD" w14:textId="77777777" w:rsidR="00E4260D" w:rsidRDefault="00240788">
            <w:r>
              <w:t>positive (</w:t>
            </w:r>
            <w:r>
              <w:rPr>
                <w:rFonts w:ascii="Courier New" w:hAnsi="Courier New"/>
                <w:sz w:val="18"/>
              </w:rPr>
              <w:t>1</w:t>
            </w:r>
            <w:r>
              <w:t>)</w:t>
            </w:r>
          </w:p>
        </w:tc>
      </w:tr>
      <w:tr w:rsidR="00E4260D" w14:paraId="5B324052" w14:textId="77777777" w:rsidTr="00451663">
        <w:tc>
          <w:tcPr>
            <w:tcW w:w="2287" w:type="dxa"/>
          </w:tcPr>
          <w:p w14:paraId="4056518A" w14:textId="77777777" w:rsidR="00E4260D" w:rsidRDefault="00240788">
            <w:r>
              <w:rPr>
                <w:rFonts w:ascii="Courier New" w:hAnsi="Courier New"/>
                <w:sz w:val="18"/>
              </w:rPr>
              <w:t>Carbon dioxide, to soil or biomass stock</w:t>
            </w:r>
          </w:p>
        </w:tc>
        <w:tc>
          <w:tcPr>
            <w:tcW w:w="2206" w:type="dxa"/>
          </w:tcPr>
          <w:p w14:paraId="4A8300A9" w14:textId="77777777" w:rsidR="00E4260D" w:rsidRDefault="00240788">
            <w:r>
              <w:rPr>
                <w:rFonts w:ascii="Courier New" w:hAnsi="Courier New"/>
                <w:sz w:val="18"/>
              </w:rPr>
              <w:t>CO2 AFOLU</w:t>
            </w:r>
          </w:p>
        </w:tc>
        <w:tc>
          <w:tcPr>
            <w:tcW w:w="2130" w:type="dxa"/>
          </w:tcPr>
          <w:p w14:paraId="1EBD31F5" w14:textId="77777777" w:rsidR="00E4260D" w:rsidRDefault="00240788">
            <w:r>
              <w:t>negative (</w:t>
            </w:r>
            <w:r>
              <w:rPr>
                <w:rFonts w:ascii="Courier New" w:hAnsi="Courier New"/>
                <w:sz w:val="18"/>
              </w:rPr>
              <w:t>-1</w:t>
            </w:r>
            <w:r>
              <w:t>)</w:t>
            </w:r>
          </w:p>
        </w:tc>
      </w:tr>
      <w:tr w:rsidR="00E4260D" w14:paraId="0BA95CA9" w14:textId="77777777" w:rsidTr="00451663">
        <w:tc>
          <w:tcPr>
            <w:tcW w:w="2287" w:type="dxa"/>
          </w:tcPr>
          <w:p w14:paraId="31DA6C19" w14:textId="77777777" w:rsidR="00E4260D" w:rsidRPr="006D61E8" w:rsidRDefault="00240788">
            <w:pPr>
              <w:rPr>
                <w:lang w:val="fr-CH"/>
              </w:rPr>
            </w:pPr>
            <w:r w:rsidRPr="006D61E8">
              <w:rPr>
                <w:rFonts w:ascii="Courier New" w:hAnsi="Courier New"/>
                <w:sz w:val="18"/>
                <w:lang w:val="fr-CH"/>
              </w:rPr>
              <w:t xml:space="preserve">Carbon </w:t>
            </w:r>
            <w:proofErr w:type="spellStart"/>
            <w:r w:rsidRPr="006D61E8">
              <w:rPr>
                <w:rFonts w:ascii="Courier New" w:hAnsi="Courier New"/>
                <w:sz w:val="18"/>
                <w:lang w:val="fr-CH"/>
              </w:rPr>
              <w:t>dioxide</w:t>
            </w:r>
            <w:proofErr w:type="spellEnd"/>
            <w:r w:rsidRPr="006D61E8">
              <w:rPr>
                <w:rFonts w:ascii="Courier New" w:hAnsi="Courier New"/>
                <w:sz w:val="18"/>
                <w:lang w:val="fr-CH"/>
              </w:rPr>
              <w:t>, non-</w:t>
            </w:r>
            <w:proofErr w:type="spellStart"/>
            <w:r w:rsidRPr="006D61E8">
              <w:rPr>
                <w:rFonts w:ascii="Courier New" w:hAnsi="Courier New"/>
                <w:sz w:val="18"/>
                <w:lang w:val="fr-CH"/>
              </w:rPr>
              <w:t>fossil</w:t>
            </w:r>
            <w:proofErr w:type="spellEnd"/>
            <w:r w:rsidRPr="006D61E8">
              <w:rPr>
                <w:rFonts w:ascii="Courier New" w:hAnsi="Courier New"/>
                <w:sz w:val="18"/>
                <w:lang w:val="fr-CH"/>
              </w:rPr>
              <w:t xml:space="preserve">, </w:t>
            </w:r>
            <w:proofErr w:type="spellStart"/>
            <w:r w:rsidRPr="006D61E8">
              <w:rPr>
                <w:rFonts w:ascii="Courier New" w:hAnsi="Courier New"/>
                <w:sz w:val="18"/>
                <w:lang w:val="fr-CH"/>
              </w:rPr>
              <w:t>resource</w:t>
            </w:r>
            <w:proofErr w:type="spellEnd"/>
            <w:r w:rsidRPr="006D61E8">
              <w:rPr>
                <w:rFonts w:ascii="Courier New" w:hAnsi="Courier New"/>
                <w:sz w:val="18"/>
                <w:lang w:val="fr-CH"/>
              </w:rPr>
              <w:t xml:space="preserve"> correction</w:t>
            </w:r>
          </w:p>
        </w:tc>
        <w:tc>
          <w:tcPr>
            <w:tcW w:w="2206" w:type="dxa"/>
          </w:tcPr>
          <w:p w14:paraId="2371BA8C" w14:textId="77777777" w:rsidR="00E4260D" w:rsidRDefault="00240788">
            <w:r>
              <w:rPr>
                <w:rFonts w:ascii="Courier New" w:hAnsi="Courier New"/>
                <w:sz w:val="18"/>
              </w:rPr>
              <w:t>CO2 AFOLU</w:t>
            </w:r>
          </w:p>
        </w:tc>
        <w:tc>
          <w:tcPr>
            <w:tcW w:w="2130" w:type="dxa"/>
          </w:tcPr>
          <w:p w14:paraId="5D0E60ED" w14:textId="77777777" w:rsidR="00E4260D" w:rsidRDefault="00240788">
            <w:r>
              <w:t>negative (</w:t>
            </w:r>
            <w:r>
              <w:rPr>
                <w:rFonts w:ascii="Courier New" w:hAnsi="Courier New"/>
                <w:sz w:val="18"/>
              </w:rPr>
              <w:t>-1</w:t>
            </w:r>
            <w:r>
              <w:t>)</w:t>
            </w:r>
          </w:p>
        </w:tc>
      </w:tr>
      <w:tr w:rsidR="00E4260D" w14:paraId="11073CDF" w14:textId="77777777" w:rsidTr="00451663">
        <w:tc>
          <w:tcPr>
            <w:tcW w:w="2287" w:type="dxa"/>
          </w:tcPr>
          <w:p w14:paraId="7B547CD5" w14:textId="77777777" w:rsidR="00E4260D" w:rsidRDefault="00240788">
            <w:r>
              <w:rPr>
                <w:rFonts w:ascii="Courier New" w:hAnsi="Courier New"/>
                <w:sz w:val="18"/>
              </w:rPr>
              <w:t>Carbon dioxide, in air</w:t>
            </w:r>
          </w:p>
        </w:tc>
        <w:tc>
          <w:tcPr>
            <w:tcW w:w="2206" w:type="dxa"/>
          </w:tcPr>
          <w:p w14:paraId="7345F57B" w14:textId="77777777" w:rsidR="00E4260D" w:rsidRDefault="00240788">
            <w:r>
              <w:rPr>
                <w:rFonts w:ascii="Courier New" w:hAnsi="Courier New"/>
                <w:sz w:val="18"/>
              </w:rPr>
              <w:t>CO2 AFOLU</w:t>
            </w:r>
          </w:p>
        </w:tc>
        <w:tc>
          <w:tcPr>
            <w:tcW w:w="2130" w:type="dxa"/>
          </w:tcPr>
          <w:p w14:paraId="5DE7647F" w14:textId="77777777" w:rsidR="00E4260D" w:rsidRDefault="00240788">
            <w:r>
              <w:t>negative (</w:t>
            </w:r>
            <w:r>
              <w:rPr>
                <w:rFonts w:ascii="Courier New" w:hAnsi="Courier New"/>
                <w:sz w:val="18"/>
              </w:rPr>
              <w:t>-1</w:t>
            </w:r>
            <w:r>
              <w:t>)</w:t>
            </w:r>
          </w:p>
        </w:tc>
      </w:tr>
      <w:tr w:rsidR="00E4260D" w14:paraId="7BFC5BBE" w14:textId="77777777" w:rsidTr="00451663">
        <w:tc>
          <w:tcPr>
            <w:tcW w:w="2287" w:type="dxa"/>
          </w:tcPr>
          <w:p w14:paraId="5DB6FD98" w14:textId="77777777" w:rsidR="00E4260D" w:rsidRDefault="00240788">
            <w:r>
              <w:rPr>
                <w:rFonts w:ascii="Courier New" w:hAnsi="Courier New"/>
                <w:sz w:val="18"/>
              </w:rPr>
              <w:t>Methane, fossil</w:t>
            </w:r>
          </w:p>
        </w:tc>
        <w:tc>
          <w:tcPr>
            <w:tcW w:w="2206" w:type="dxa"/>
          </w:tcPr>
          <w:p w14:paraId="502B8E1A" w14:textId="77777777" w:rsidR="00E4260D" w:rsidRDefault="00240788">
            <w:r>
              <w:rPr>
                <w:rFonts w:ascii="Courier New" w:hAnsi="Courier New"/>
                <w:sz w:val="18"/>
              </w:rPr>
              <w:t>CH4</w:t>
            </w:r>
          </w:p>
        </w:tc>
        <w:tc>
          <w:tcPr>
            <w:tcW w:w="2130" w:type="dxa"/>
          </w:tcPr>
          <w:p w14:paraId="31F76C23" w14:textId="77777777" w:rsidR="00E4260D" w:rsidRDefault="00240788">
            <w:r>
              <w:t>positive (</w:t>
            </w:r>
            <w:r>
              <w:rPr>
                <w:rFonts w:ascii="Courier New" w:hAnsi="Courier New"/>
                <w:sz w:val="18"/>
              </w:rPr>
              <w:t>1</w:t>
            </w:r>
            <w:r>
              <w:t>)</w:t>
            </w:r>
          </w:p>
        </w:tc>
      </w:tr>
      <w:tr w:rsidR="00E4260D" w14:paraId="046B3C0E" w14:textId="77777777" w:rsidTr="00451663">
        <w:tc>
          <w:tcPr>
            <w:tcW w:w="2287" w:type="dxa"/>
          </w:tcPr>
          <w:p w14:paraId="1B5890D8" w14:textId="77777777" w:rsidR="00E4260D" w:rsidRDefault="00240788">
            <w:r>
              <w:rPr>
                <w:rFonts w:ascii="Courier New" w:hAnsi="Courier New"/>
                <w:sz w:val="18"/>
              </w:rPr>
              <w:t>Methane, non-fossil</w:t>
            </w:r>
          </w:p>
        </w:tc>
        <w:tc>
          <w:tcPr>
            <w:tcW w:w="2206" w:type="dxa"/>
          </w:tcPr>
          <w:p w14:paraId="2FB97BDF" w14:textId="77777777" w:rsidR="00E4260D" w:rsidRDefault="00240788">
            <w:r>
              <w:rPr>
                <w:rFonts w:ascii="Courier New" w:hAnsi="Courier New"/>
                <w:sz w:val="18"/>
              </w:rPr>
              <w:t>CH4</w:t>
            </w:r>
          </w:p>
        </w:tc>
        <w:tc>
          <w:tcPr>
            <w:tcW w:w="2130" w:type="dxa"/>
          </w:tcPr>
          <w:p w14:paraId="79D1E5D6" w14:textId="77777777" w:rsidR="00E4260D" w:rsidRDefault="00240788">
            <w:r>
              <w:t>positive (</w:t>
            </w:r>
            <w:r>
              <w:rPr>
                <w:rFonts w:ascii="Courier New" w:hAnsi="Courier New"/>
                <w:sz w:val="18"/>
              </w:rPr>
              <w:t>1</w:t>
            </w:r>
            <w:r>
              <w:t>)</w:t>
            </w:r>
          </w:p>
        </w:tc>
      </w:tr>
      <w:tr w:rsidR="00E4260D" w14:paraId="0C943E87" w14:textId="77777777" w:rsidTr="00451663">
        <w:tc>
          <w:tcPr>
            <w:tcW w:w="2287" w:type="dxa"/>
          </w:tcPr>
          <w:p w14:paraId="20EB9B90" w14:textId="77777777" w:rsidR="00E4260D" w:rsidRDefault="00240788">
            <w:r>
              <w:rPr>
                <w:rFonts w:ascii="Courier New" w:hAnsi="Courier New"/>
                <w:sz w:val="18"/>
              </w:rPr>
              <w:t>Methane, from soil or biomass stock</w:t>
            </w:r>
          </w:p>
        </w:tc>
        <w:tc>
          <w:tcPr>
            <w:tcW w:w="2206" w:type="dxa"/>
          </w:tcPr>
          <w:p w14:paraId="09BB98D1" w14:textId="77777777" w:rsidR="00E4260D" w:rsidRDefault="00240788">
            <w:r>
              <w:rPr>
                <w:rFonts w:ascii="Courier New" w:hAnsi="Courier New"/>
                <w:sz w:val="18"/>
              </w:rPr>
              <w:t>CH4</w:t>
            </w:r>
          </w:p>
        </w:tc>
        <w:tc>
          <w:tcPr>
            <w:tcW w:w="2130" w:type="dxa"/>
          </w:tcPr>
          <w:p w14:paraId="7CE2318F" w14:textId="77777777" w:rsidR="00E4260D" w:rsidRDefault="00240788">
            <w:r>
              <w:t>positive (</w:t>
            </w:r>
            <w:r>
              <w:rPr>
                <w:rFonts w:ascii="Courier New" w:hAnsi="Courier New"/>
                <w:sz w:val="18"/>
              </w:rPr>
              <w:t>1</w:t>
            </w:r>
            <w:r>
              <w:t>)</w:t>
            </w:r>
          </w:p>
        </w:tc>
      </w:tr>
      <w:tr w:rsidR="00E4260D" w14:paraId="53CB2637" w14:textId="77777777" w:rsidTr="00451663">
        <w:tc>
          <w:tcPr>
            <w:tcW w:w="2287" w:type="dxa"/>
          </w:tcPr>
          <w:p w14:paraId="2E2F7306" w14:textId="77777777" w:rsidR="00E4260D" w:rsidRDefault="00240788">
            <w:r>
              <w:rPr>
                <w:rFonts w:ascii="Courier New" w:hAnsi="Courier New"/>
                <w:sz w:val="18"/>
              </w:rPr>
              <w:t>Dinitrogen monoxide</w:t>
            </w:r>
          </w:p>
        </w:tc>
        <w:tc>
          <w:tcPr>
            <w:tcW w:w="2206" w:type="dxa"/>
          </w:tcPr>
          <w:p w14:paraId="6D5C6693" w14:textId="77777777" w:rsidR="00E4260D" w:rsidRDefault="00240788">
            <w:r>
              <w:rPr>
                <w:rFonts w:ascii="Courier New" w:hAnsi="Courier New"/>
                <w:sz w:val="18"/>
              </w:rPr>
              <w:t>N2O</w:t>
            </w:r>
          </w:p>
        </w:tc>
        <w:tc>
          <w:tcPr>
            <w:tcW w:w="2130" w:type="dxa"/>
          </w:tcPr>
          <w:p w14:paraId="0CD7F47D" w14:textId="77777777" w:rsidR="00E4260D" w:rsidRDefault="00240788">
            <w:r>
              <w:t>positive (</w:t>
            </w:r>
            <w:r>
              <w:rPr>
                <w:rFonts w:ascii="Courier New" w:hAnsi="Courier New"/>
                <w:sz w:val="18"/>
              </w:rPr>
              <w:t>1</w:t>
            </w:r>
            <w:r>
              <w:t>)</w:t>
            </w:r>
          </w:p>
        </w:tc>
      </w:tr>
      <w:tr w:rsidR="00E4260D" w14:paraId="01B11C3A" w14:textId="77777777" w:rsidTr="00451663">
        <w:tc>
          <w:tcPr>
            <w:tcW w:w="2287" w:type="dxa"/>
          </w:tcPr>
          <w:p w14:paraId="3385FEC6" w14:textId="77777777" w:rsidR="00E4260D" w:rsidRDefault="00240788">
            <w:r>
              <w:rPr>
                <w:rFonts w:ascii="Courier New" w:hAnsi="Courier New"/>
                <w:sz w:val="18"/>
              </w:rPr>
              <w:lastRenderedPageBreak/>
              <w:t>Carbon monoxide, fossil</w:t>
            </w:r>
          </w:p>
        </w:tc>
        <w:tc>
          <w:tcPr>
            <w:tcW w:w="2206" w:type="dxa"/>
          </w:tcPr>
          <w:p w14:paraId="368BAFE5" w14:textId="77777777" w:rsidR="00E4260D" w:rsidRDefault="00240788">
            <w:r>
              <w:rPr>
                <w:rFonts w:ascii="Courier New" w:hAnsi="Courier New"/>
                <w:sz w:val="18"/>
              </w:rPr>
              <w:t>CO</w:t>
            </w:r>
          </w:p>
        </w:tc>
        <w:tc>
          <w:tcPr>
            <w:tcW w:w="2130" w:type="dxa"/>
          </w:tcPr>
          <w:p w14:paraId="27E7C659" w14:textId="77777777" w:rsidR="00E4260D" w:rsidRDefault="00240788">
            <w:r>
              <w:t>positive (</w:t>
            </w:r>
            <w:r>
              <w:rPr>
                <w:rFonts w:ascii="Courier New" w:hAnsi="Courier New"/>
                <w:sz w:val="18"/>
              </w:rPr>
              <w:t>1</w:t>
            </w:r>
            <w:r>
              <w:t>)</w:t>
            </w:r>
          </w:p>
        </w:tc>
      </w:tr>
      <w:tr w:rsidR="00E4260D" w14:paraId="17AE0F57" w14:textId="77777777" w:rsidTr="00451663">
        <w:tc>
          <w:tcPr>
            <w:tcW w:w="2287" w:type="dxa"/>
          </w:tcPr>
          <w:p w14:paraId="02949306" w14:textId="77777777" w:rsidR="00E4260D" w:rsidRDefault="00240788">
            <w:r>
              <w:rPr>
                <w:rFonts w:ascii="Courier New" w:hAnsi="Courier New"/>
                <w:sz w:val="18"/>
              </w:rPr>
              <w:t>Carbon monoxide, non-fossil</w:t>
            </w:r>
          </w:p>
        </w:tc>
        <w:tc>
          <w:tcPr>
            <w:tcW w:w="2206" w:type="dxa"/>
          </w:tcPr>
          <w:p w14:paraId="18D8F845" w14:textId="77777777" w:rsidR="00E4260D" w:rsidRDefault="00240788">
            <w:r>
              <w:rPr>
                <w:rFonts w:ascii="Courier New" w:hAnsi="Courier New"/>
                <w:sz w:val="18"/>
              </w:rPr>
              <w:t>CO</w:t>
            </w:r>
          </w:p>
        </w:tc>
        <w:tc>
          <w:tcPr>
            <w:tcW w:w="2130" w:type="dxa"/>
          </w:tcPr>
          <w:p w14:paraId="56B9242F" w14:textId="77777777" w:rsidR="00E4260D" w:rsidRDefault="00240788">
            <w:r>
              <w:t>positive (</w:t>
            </w:r>
            <w:r>
              <w:rPr>
                <w:rFonts w:ascii="Courier New" w:hAnsi="Courier New"/>
                <w:sz w:val="18"/>
              </w:rPr>
              <w:t>1</w:t>
            </w:r>
            <w:r>
              <w:t>)</w:t>
            </w:r>
          </w:p>
        </w:tc>
      </w:tr>
      <w:tr w:rsidR="00E4260D" w14:paraId="557358DB" w14:textId="77777777" w:rsidTr="00451663">
        <w:tc>
          <w:tcPr>
            <w:tcW w:w="2287" w:type="dxa"/>
          </w:tcPr>
          <w:p w14:paraId="0B8F2BF7" w14:textId="77777777" w:rsidR="00E4260D" w:rsidRDefault="00240788">
            <w:r>
              <w:rPr>
                <w:rFonts w:ascii="Courier New" w:hAnsi="Courier New"/>
                <w:sz w:val="18"/>
              </w:rPr>
              <w:t>Carbon monoxide, from soil or biomass stock</w:t>
            </w:r>
          </w:p>
        </w:tc>
        <w:tc>
          <w:tcPr>
            <w:tcW w:w="2206" w:type="dxa"/>
          </w:tcPr>
          <w:p w14:paraId="0E964E6B" w14:textId="77777777" w:rsidR="00E4260D" w:rsidRDefault="00240788">
            <w:r>
              <w:rPr>
                <w:rFonts w:ascii="Courier New" w:hAnsi="Courier New"/>
                <w:sz w:val="18"/>
              </w:rPr>
              <w:t>CO</w:t>
            </w:r>
          </w:p>
        </w:tc>
        <w:tc>
          <w:tcPr>
            <w:tcW w:w="2130" w:type="dxa"/>
          </w:tcPr>
          <w:p w14:paraId="374B0E60" w14:textId="77777777" w:rsidR="00E4260D" w:rsidRDefault="00240788">
            <w:r>
              <w:t>positive (</w:t>
            </w:r>
            <w:r>
              <w:rPr>
                <w:rFonts w:ascii="Courier New" w:hAnsi="Courier New"/>
                <w:sz w:val="18"/>
              </w:rPr>
              <w:t>1</w:t>
            </w:r>
            <w:r>
              <w:t>)</w:t>
            </w:r>
          </w:p>
        </w:tc>
      </w:tr>
      <w:tr w:rsidR="00E4260D" w14:paraId="43A7735C" w14:textId="77777777" w:rsidTr="00451663">
        <w:tc>
          <w:tcPr>
            <w:tcW w:w="2287" w:type="dxa"/>
          </w:tcPr>
          <w:p w14:paraId="4524BD8C" w14:textId="77777777" w:rsidR="00E4260D" w:rsidRDefault="00240788">
            <w:r>
              <w:rPr>
                <w:rFonts w:ascii="Courier New" w:hAnsi="Courier New"/>
                <w:sz w:val="18"/>
              </w:rPr>
              <w:t>NMVOC, non-methane volatile organic compounds</w:t>
            </w:r>
          </w:p>
        </w:tc>
        <w:tc>
          <w:tcPr>
            <w:tcW w:w="2206" w:type="dxa"/>
          </w:tcPr>
          <w:p w14:paraId="2D888498" w14:textId="77777777" w:rsidR="00E4260D" w:rsidRDefault="00240788">
            <w:r>
              <w:rPr>
                <w:rFonts w:ascii="Courier New" w:hAnsi="Courier New"/>
                <w:sz w:val="18"/>
              </w:rPr>
              <w:t>VOC</w:t>
            </w:r>
          </w:p>
        </w:tc>
        <w:tc>
          <w:tcPr>
            <w:tcW w:w="2130" w:type="dxa"/>
          </w:tcPr>
          <w:p w14:paraId="695381CD" w14:textId="77777777" w:rsidR="00E4260D" w:rsidRDefault="00240788">
            <w:r>
              <w:t>positive (</w:t>
            </w:r>
            <w:r>
              <w:rPr>
                <w:rFonts w:ascii="Courier New" w:hAnsi="Courier New"/>
                <w:sz w:val="18"/>
              </w:rPr>
              <w:t>1</w:t>
            </w:r>
            <w:r>
              <w:t>)</w:t>
            </w:r>
          </w:p>
        </w:tc>
      </w:tr>
      <w:tr w:rsidR="00E4260D" w14:paraId="31BCCCF0" w14:textId="77777777" w:rsidTr="00451663">
        <w:tc>
          <w:tcPr>
            <w:tcW w:w="2287" w:type="dxa"/>
          </w:tcPr>
          <w:p w14:paraId="0A015AC1" w14:textId="77777777" w:rsidR="00E4260D" w:rsidRDefault="00240788">
            <w:r>
              <w:rPr>
                <w:rFonts w:ascii="Courier New" w:hAnsi="Courier New"/>
                <w:sz w:val="18"/>
              </w:rPr>
              <w:t>VOC, volatile organic compounds</w:t>
            </w:r>
          </w:p>
        </w:tc>
        <w:tc>
          <w:tcPr>
            <w:tcW w:w="2206" w:type="dxa"/>
          </w:tcPr>
          <w:p w14:paraId="710358C8" w14:textId="77777777" w:rsidR="00E4260D" w:rsidRDefault="00240788">
            <w:r>
              <w:rPr>
                <w:rFonts w:ascii="Courier New" w:hAnsi="Courier New"/>
                <w:sz w:val="18"/>
              </w:rPr>
              <w:t>VOC</w:t>
            </w:r>
          </w:p>
        </w:tc>
        <w:tc>
          <w:tcPr>
            <w:tcW w:w="2130" w:type="dxa"/>
          </w:tcPr>
          <w:p w14:paraId="2871D31D" w14:textId="77777777" w:rsidR="00E4260D" w:rsidRDefault="00240788">
            <w:r>
              <w:t>positive (</w:t>
            </w:r>
            <w:r>
              <w:rPr>
                <w:rFonts w:ascii="Courier New" w:hAnsi="Courier New"/>
                <w:sz w:val="18"/>
              </w:rPr>
              <w:t>1</w:t>
            </w:r>
            <w:r>
              <w:t>)</w:t>
            </w:r>
          </w:p>
        </w:tc>
      </w:tr>
      <w:tr w:rsidR="00E4260D" w14:paraId="46ABBED2" w14:textId="77777777" w:rsidTr="00451663">
        <w:tc>
          <w:tcPr>
            <w:tcW w:w="2287" w:type="dxa"/>
          </w:tcPr>
          <w:p w14:paraId="330EDF04" w14:textId="77777777" w:rsidR="00E4260D" w:rsidRDefault="00240788">
            <w:r>
              <w:rPr>
                <w:rFonts w:ascii="Courier New" w:hAnsi="Courier New"/>
                <w:sz w:val="18"/>
              </w:rPr>
              <w:t>Nitric oxide</w:t>
            </w:r>
          </w:p>
        </w:tc>
        <w:tc>
          <w:tcPr>
            <w:tcW w:w="2206" w:type="dxa"/>
          </w:tcPr>
          <w:p w14:paraId="5C8E6F66" w14:textId="77777777" w:rsidR="00E4260D" w:rsidRDefault="00240788">
            <w:r>
              <w:rPr>
                <w:rFonts w:ascii="Courier New" w:hAnsi="Courier New"/>
                <w:sz w:val="18"/>
              </w:rPr>
              <w:t>NOx</w:t>
            </w:r>
          </w:p>
        </w:tc>
        <w:tc>
          <w:tcPr>
            <w:tcW w:w="2130" w:type="dxa"/>
          </w:tcPr>
          <w:p w14:paraId="5F5478D0" w14:textId="77777777" w:rsidR="00E4260D" w:rsidRDefault="00240788">
            <w:r>
              <w:t>positive (</w:t>
            </w:r>
            <w:r>
              <w:rPr>
                <w:rFonts w:ascii="Courier New" w:hAnsi="Courier New"/>
                <w:sz w:val="18"/>
              </w:rPr>
              <w:t>1</w:t>
            </w:r>
            <w:r>
              <w:t>)</w:t>
            </w:r>
          </w:p>
        </w:tc>
      </w:tr>
      <w:tr w:rsidR="00E4260D" w14:paraId="735B775B" w14:textId="77777777" w:rsidTr="00451663">
        <w:tc>
          <w:tcPr>
            <w:tcW w:w="2287" w:type="dxa"/>
          </w:tcPr>
          <w:p w14:paraId="45C45069" w14:textId="77777777" w:rsidR="00E4260D" w:rsidRDefault="00240788">
            <w:r>
              <w:rPr>
                <w:rFonts w:ascii="Courier New" w:hAnsi="Courier New"/>
                <w:sz w:val="18"/>
              </w:rPr>
              <w:t>Nitrogen oxides</w:t>
            </w:r>
          </w:p>
        </w:tc>
        <w:tc>
          <w:tcPr>
            <w:tcW w:w="2206" w:type="dxa"/>
          </w:tcPr>
          <w:p w14:paraId="174DA8FC" w14:textId="77777777" w:rsidR="00E4260D" w:rsidRDefault="00240788">
            <w:r>
              <w:rPr>
                <w:rFonts w:ascii="Courier New" w:hAnsi="Courier New"/>
                <w:sz w:val="18"/>
              </w:rPr>
              <w:t>NOx</w:t>
            </w:r>
          </w:p>
        </w:tc>
        <w:tc>
          <w:tcPr>
            <w:tcW w:w="2130" w:type="dxa"/>
          </w:tcPr>
          <w:p w14:paraId="1958810C" w14:textId="77777777" w:rsidR="00E4260D" w:rsidRDefault="00240788">
            <w:r>
              <w:t>positive (</w:t>
            </w:r>
            <w:r>
              <w:rPr>
                <w:rFonts w:ascii="Courier New" w:hAnsi="Courier New"/>
                <w:sz w:val="18"/>
              </w:rPr>
              <w:t>1</w:t>
            </w:r>
            <w:r>
              <w:t>)</w:t>
            </w:r>
          </w:p>
        </w:tc>
      </w:tr>
      <w:tr w:rsidR="00E4260D" w14:paraId="506F0408" w14:textId="77777777" w:rsidTr="00451663">
        <w:tc>
          <w:tcPr>
            <w:tcW w:w="2287" w:type="dxa"/>
          </w:tcPr>
          <w:p w14:paraId="16FEE1A3" w14:textId="77777777" w:rsidR="00E4260D" w:rsidRDefault="00240788">
            <w:r>
              <w:rPr>
                <w:rFonts w:ascii="Courier New" w:hAnsi="Courier New"/>
                <w:sz w:val="18"/>
              </w:rPr>
              <w:t>Dinitrogen tetroxide</w:t>
            </w:r>
          </w:p>
        </w:tc>
        <w:tc>
          <w:tcPr>
            <w:tcW w:w="2206" w:type="dxa"/>
          </w:tcPr>
          <w:p w14:paraId="4B22DC31" w14:textId="77777777" w:rsidR="00E4260D" w:rsidRDefault="00240788">
            <w:r>
              <w:rPr>
                <w:rFonts w:ascii="Courier New" w:hAnsi="Courier New"/>
                <w:sz w:val="18"/>
              </w:rPr>
              <w:t>NOx</w:t>
            </w:r>
          </w:p>
        </w:tc>
        <w:tc>
          <w:tcPr>
            <w:tcW w:w="2130" w:type="dxa"/>
          </w:tcPr>
          <w:p w14:paraId="13662390" w14:textId="77777777" w:rsidR="00E4260D" w:rsidRDefault="00240788">
            <w:r>
              <w:t>positive (</w:t>
            </w:r>
            <w:r>
              <w:rPr>
                <w:rFonts w:ascii="Courier New" w:hAnsi="Courier New"/>
                <w:sz w:val="18"/>
              </w:rPr>
              <w:t>1</w:t>
            </w:r>
            <w:r>
              <w:t>)</w:t>
            </w:r>
          </w:p>
        </w:tc>
      </w:tr>
      <w:tr w:rsidR="00E4260D" w14:paraId="71B07B70" w14:textId="77777777" w:rsidTr="00451663">
        <w:tc>
          <w:tcPr>
            <w:tcW w:w="2287" w:type="dxa"/>
          </w:tcPr>
          <w:p w14:paraId="4DFA9400" w14:textId="77777777" w:rsidR="00E4260D" w:rsidRDefault="00240788">
            <w:r>
              <w:rPr>
                <w:rFonts w:ascii="Courier New" w:hAnsi="Courier New"/>
                <w:sz w:val="18"/>
              </w:rPr>
              <w:t>Sulfur hexafluoride</w:t>
            </w:r>
          </w:p>
        </w:tc>
        <w:tc>
          <w:tcPr>
            <w:tcW w:w="2206" w:type="dxa"/>
          </w:tcPr>
          <w:p w14:paraId="210CAFD3" w14:textId="77777777" w:rsidR="00E4260D" w:rsidRDefault="00240788">
            <w:r>
              <w:rPr>
                <w:rFonts w:ascii="Courier New" w:hAnsi="Courier New"/>
                <w:sz w:val="18"/>
              </w:rPr>
              <w:t>SF6</w:t>
            </w:r>
          </w:p>
        </w:tc>
        <w:tc>
          <w:tcPr>
            <w:tcW w:w="2130" w:type="dxa"/>
          </w:tcPr>
          <w:p w14:paraId="7EC1F3BC" w14:textId="77777777" w:rsidR="00E4260D" w:rsidRDefault="00240788">
            <w:r>
              <w:t>positive (</w:t>
            </w:r>
            <w:r>
              <w:rPr>
                <w:rFonts w:ascii="Courier New" w:hAnsi="Courier New"/>
                <w:sz w:val="18"/>
              </w:rPr>
              <w:t>1</w:t>
            </w:r>
            <w:r>
              <w:t>)</w:t>
            </w:r>
          </w:p>
        </w:tc>
      </w:tr>
      <w:tr w:rsidR="00E4260D" w14:paraId="50070167" w14:textId="77777777" w:rsidTr="00451663">
        <w:tc>
          <w:tcPr>
            <w:tcW w:w="2287" w:type="dxa"/>
          </w:tcPr>
          <w:p w14:paraId="1A7C798A" w14:textId="77777777" w:rsidR="00E4260D" w:rsidRDefault="00240788">
            <w:r>
              <w:rPr>
                <w:rFonts w:ascii="Courier New" w:hAnsi="Courier New"/>
                <w:sz w:val="18"/>
              </w:rPr>
              <w:t>Sulfur oxides</w:t>
            </w:r>
          </w:p>
        </w:tc>
        <w:tc>
          <w:tcPr>
            <w:tcW w:w="2206" w:type="dxa"/>
          </w:tcPr>
          <w:p w14:paraId="344F74BB" w14:textId="77777777" w:rsidR="00E4260D" w:rsidRDefault="00240788">
            <w:r>
              <w:rPr>
                <w:rFonts w:ascii="Courier New" w:hAnsi="Courier New"/>
                <w:sz w:val="18"/>
              </w:rPr>
              <w:t>Sulfur</w:t>
            </w:r>
          </w:p>
        </w:tc>
        <w:tc>
          <w:tcPr>
            <w:tcW w:w="2130" w:type="dxa"/>
          </w:tcPr>
          <w:p w14:paraId="673DFC5A" w14:textId="77777777" w:rsidR="00E4260D" w:rsidRDefault="00240788">
            <w:r>
              <w:t>positive (</w:t>
            </w:r>
            <w:r>
              <w:rPr>
                <w:rFonts w:ascii="Courier New" w:hAnsi="Courier New"/>
                <w:sz w:val="18"/>
              </w:rPr>
              <w:t>1</w:t>
            </w:r>
            <w:r>
              <w:t>)</w:t>
            </w:r>
          </w:p>
        </w:tc>
      </w:tr>
      <w:tr w:rsidR="00E4260D" w14:paraId="5392FB92" w14:textId="77777777" w:rsidTr="00451663">
        <w:tc>
          <w:tcPr>
            <w:tcW w:w="2287" w:type="dxa"/>
          </w:tcPr>
          <w:p w14:paraId="37CDBE29" w14:textId="77777777" w:rsidR="00E4260D" w:rsidRDefault="00240788">
            <w:r>
              <w:rPr>
                <w:rFonts w:ascii="Courier New" w:hAnsi="Courier New"/>
                <w:sz w:val="18"/>
              </w:rPr>
              <w:t>Sulfur</w:t>
            </w:r>
          </w:p>
        </w:tc>
        <w:tc>
          <w:tcPr>
            <w:tcW w:w="2206" w:type="dxa"/>
          </w:tcPr>
          <w:p w14:paraId="6B04FA64" w14:textId="77777777" w:rsidR="00E4260D" w:rsidRDefault="00240788">
            <w:r>
              <w:rPr>
                <w:rFonts w:ascii="Courier New" w:hAnsi="Courier New"/>
                <w:sz w:val="18"/>
              </w:rPr>
              <w:t>Sulfur</w:t>
            </w:r>
          </w:p>
        </w:tc>
        <w:tc>
          <w:tcPr>
            <w:tcW w:w="2130" w:type="dxa"/>
          </w:tcPr>
          <w:p w14:paraId="3906C3D1" w14:textId="77777777" w:rsidR="00E4260D" w:rsidRDefault="00240788">
            <w:r>
              <w:t>positive (</w:t>
            </w:r>
            <w:r>
              <w:rPr>
                <w:rFonts w:ascii="Courier New" w:hAnsi="Courier New"/>
                <w:sz w:val="18"/>
              </w:rPr>
              <w:t>1</w:t>
            </w:r>
            <w:r>
              <w:t>)</w:t>
            </w:r>
          </w:p>
        </w:tc>
      </w:tr>
      <w:tr w:rsidR="00E4260D" w14:paraId="1FA5A94B" w14:textId="77777777" w:rsidTr="00451663">
        <w:tc>
          <w:tcPr>
            <w:tcW w:w="2287" w:type="dxa"/>
          </w:tcPr>
          <w:p w14:paraId="48C9F74A" w14:textId="77777777" w:rsidR="00E4260D" w:rsidRDefault="00240788">
            <w:r>
              <w:rPr>
                <w:rFonts w:ascii="Courier New" w:hAnsi="Courier New"/>
                <w:sz w:val="18"/>
              </w:rPr>
              <w:t>Sulfur trioxide</w:t>
            </w:r>
          </w:p>
        </w:tc>
        <w:tc>
          <w:tcPr>
            <w:tcW w:w="2206" w:type="dxa"/>
          </w:tcPr>
          <w:p w14:paraId="0720B744" w14:textId="77777777" w:rsidR="00E4260D" w:rsidRDefault="00240788">
            <w:r>
              <w:rPr>
                <w:rFonts w:ascii="Courier New" w:hAnsi="Courier New"/>
                <w:sz w:val="18"/>
              </w:rPr>
              <w:t>Sulfur</w:t>
            </w:r>
          </w:p>
        </w:tc>
        <w:tc>
          <w:tcPr>
            <w:tcW w:w="2130" w:type="dxa"/>
          </w:tcPr>
          <w:p w14:paraId="0D2355F7" w14:textId="77777777" w:rsidR="00E4260D" w:rsidRDefault="00240788">
            <w:r>
              <w:t>positive (</w:t>
            </w:r>
            <w:r>
              <w:rPr>
                <w:rFonts w:ascii="Courier New" w:hAnsi="Courier New"/>
                <w:sz w:val="18"/>
              </w:rPr>
              <w:t>1</w:t>
            </w:r>
            <w:r>
              <w:t>)</w:t>
            </w:r>
          </w:p>
        </w:tc>
      </w:tr>
      <w:tr w:rsidR="00E4260D" w14:paraId="1722B51A" w14:textId="77777777" w:rsidTr="00451663">
        <w:tc>
          <w:tcPr>
            <w:tcW w:w="2287" w:type="dxa"/>
          </w:tcPr>
          <w:p w14:paraId="315C5D71" w14:textId="77777777" w:rsidR="00E4260D" w:rsidRDefault="00240788">
            <w:r>
              <w:rPr>
                <w:rFonts w:ascii="Courier New" w:hAnsi="Courier New"/>
                <w:sz w:val="18"/>
              </w:rPr>
              <w:t>Sulfuryl fluoride</w:t>
            </w:r>
          </w:p>
        </w:tc>
        <w:tc>
          <w:tcPr>
            <w:tcW w:w="2206" w:type="dxa"/>
          </w:tcPr>
          <w:p w14:paraId="3F797E8F" w14:textId="77777777" w:rsidR="00E4260D" w:rsidRDefault="00240788">
            <w:r>
              <w:rPr>
                <w:rFonts w:ascii="Courier New" w:hAnsi="Courier New"/>
                <w:sz w:val="18"/>
              </w:rPr>
              <w:t>SO2F2</w:t>
            </w:r>
          </w:p>
        </w:tc>
        <w:tc>
          <w:tcPr>
            <w:tcW w:w="2130" w:type="dxa"/>
          </w:tcPr>
          <w:p w14:paraId="32F90ADE" w14:textId="77777777" w:rsidR="00E4260D" w:rsidRDefault="00240788">
            <w:r>
              <w:t>positive (</w:t>
            </w:r>
            <w:r>
              <w:rPr>
                <w:rFonts w:ascii="Courier New" w:hAnsi="Courier New"/>
                <w:sz w:val="18"/>
              </w:rPr>
              <w:t>1</w:t>
            </w:r>
            <w:r>
              <w:t>)</w:t>
            </w:r>
          </w:p>
        </w:tc>
      </w:tr>
      <w:tr w:rsidR="00E4260D" w14:paraId="15C5DFAA" w14:textId="77777777" w:rsidTr="00451663">
        <w:tc>
          <w:tcPr>
            <w:tcW w:w="2287" w:type="dxa"/>
          </w:tcPr>
          <w:p w14:paraId="298A60BE" w14:textId="77777777" w:rsidR="00E4260D" w:rsidRDefault="00240788">
            <w:r>
              <w:rPr>
                <w:rFonts w:ascii="Courier New" w:hAnsi="Courier New"/>
                <w:sz w:val="18"/>
              </w:rPr>
              <w:t>Tetrafluoromethane</w:t>
            </w:r>
          </w:p>
        </w:tc>
        <w:tc>
          <w:tcPr>
            <w:tcW w:w="2206" w:type="dxa"/>
          </w:tcPr>
          <w:p w14:paraId="3CAE18A3" w14:textId="77777777" w:rsidR="00E4260D" w:rsidRDefault="00240788">
            <w:r>
              <w:rPr>
                <w:rFonts w:ascii="Courier New" w:hAnsi="Courier New"/>
                <w:sz w:val="18"/>
              </w:rPr>
              <w:t>CF4</w:t>
            </w:r>
          </w:p>
        </w:tc>
        <w:tc>
          <w:tcPr>
            <w:tcW w:w="2130" w:type="dxa"/>
          </w:tcPr>
          <w:p w14:paraId="7DF40738" w14:textId="77777777" w:rsidR="00E4260D" w:rsidRDefault="00240788">
            <w:r>
              <w:t>positive (</w:t>
            </w:r>
            <w:r>
              <w:rPr>
                <w:rFonts w:ascii="Courier New" w:hAnsi="Courier New"/>
                <w:sz w:val="18"/>
              </w:rPr>
              <w:t>1</w:t>
            </w:r>
            <w:r>
              <w:t>)</w:t>
            </w:r>
          </w:p>
        </w:tc>
      </w:tr>
      <w:tr w:rsidR="00E4260D" w14:paraId="67E829F8" w14:textId="77777777" w:rsidTr="00451663">
        <w:tc>
          <w:tcPr>
            <w:tcW w:w="2287" w:type="dxa"/>
          </w:tcPr>
          <w:p w14:paraId="63223B05" w14:textId="77777777" w:rsidR="00E4260D" w:rsidRDefault="00240788">
            <w:r>
              <w:rPr>
                <w:rFonts w:ascii="Courier New" w:hAnsi="Courier New"/>
                <w:sz w:val="18"/>
              </w:rPr>
              <w:t>Hexafluoroethane</w:t>
            </w:r>
          </w:p>
        </w:tc>
        <w:tc>
          <w:tcPr>
            <w:tcW w:w="2206" w:type="dxa"/>
          </w:tcPr>
          <w:p w14:paraId="333F2CD9" w14:textId="77777777" w:rsidR="00E4260D" w:rsidRDefault="00240788">
            <w:r>
              <w:rPr>
                <w:rFonts w:ascii="Courier New" w:hAnsi="Courier New"/>
                <w:sz w:val="18"/>
              </w:rPr>
              <w:t>C2F6</w:t>
            </w:r>
          </w:p>
        </w:tc>
        <w:tc>
          <w:tcPr>
            <w:tcW w:w="2130" w:type="dxa"/>
          </w:tcPr>
          <w:p w14:paraId="19A8483E" w14:textId="77777777" w:rsidR="00E4260D" w:rsidRDefault="00240788">
            <w:r>
              <w:t>positive (</w:t>
            </w:r>
            <w:r>
              <w:rPr>
                <w:rFonts w:ascii="Courier New" w:hAnsi="Courier New"/>
                <w:sz w:val="18"/>
              </w:rPr>
              <w:t>1</w:t>
            </w:r>
            <w:r>
              <w:t>)</w:t>
            </w:r>
          </w:p>
        </w:tc>
      </w:tr>
      <w:tr w:rsidR="00E4260D" w14:paraId="7B71EB54" w14:textId="77777777" w:rsidTr="00451663">
        <w:tc>
          <w:tcPr>
            <w:tcW w:w="2287" w:type="dxa"/>
          </w:tcPr>
          <w:p w14:paraId="509EF8D1" w14:textId="77777777" w:rsidR="00E4260D" w:rsidRDefault="00240788">
            <w:proofErr w:type="spellStart"/>
            <w:r>
              <w:rPr>
                <w:rFonts w:ascii="Courier New" w:hAnsi="Courier New"/>
                <w:sz w:val="18"/>
              </w:rPr>
              <w:t>Trifluoromethane</w:t>
            </w:r>
            <w:proofErr w:type="spellEnd"/>
          </w:p>
        </w:tc>
        <w:tc>
          <w:tcPr>
            <w:tcW w:w="2206" w:type="dxa"/>
          </w:tcPr>
          <w:p w14:paraId="7DBC4F13" w14:textId="77777777" w:rsidR="00E4260D" w:rsidRDefault="00240788">
            <w:r>
              <w:rPr>
                <w:rFonts w:ascii="Courier New" w:hAnsi="Courier New"/>
                <w:sz w:val="18"/>
              </w:rPr>
              <w:t>HFC-23</w:t>
            </w:r>
          </w:p>
        </w:tc>
        <w:tc>
          <w:tcPr>
            <w:tcW w:w="2130" w:type="dxa"/>
          </w:tcPr>
          <w:p w14:paraId="3C329459" w14:textId="77777777" w:rsidR="00E4260D" w:rsidRDefault="00240788">
            <w:r>
              <w:t>positive (</w:t>
            </w:r>
            <w:r>
              <w:rPr>
                <w:rFonts w:ascii="Courier New" w:hAnsi="Courier New"/>
                <w:sz w:val="18"/>
              </w:rPr>
              <w:t>1</w:t>
            </w:r>
            <w:r>
              <w:t>)</w:t>
            </w:r>
          </w:p>
        </w:tc>
      </w:tr>
      <w:tr w:rsidR="00E4260D" w14:paraId="6EF71513" w14:textId="77777777" w:rsidTr="00451663">
        <w:tc>
          <w:tcPr>
            <w:tcW w:w="2287" w:type="dxa"/>
          </w:tcPr>
          <w:p w14:paraId="5C5DDCEA" w14:textId="77777777" w:rsidR="00E4260D" w:rsidRDefault="00240788">
            <w:r>
              <w:rPr>
                <w:rFonts w:ascii="Courier New" w:hAnsi="Courier New"/>
                <w:sz w:val="18"/>
              </w:rPr>
              <w:t>1,1,1-Trifluoroethane</w:t>
            </w:r>
          </w:p>
        </w:tc>
        <w:tc>
          <w:tcPr>
            <w:tcW w:w="2206" w:type="dxa"/>
          </w:tcPr>
          <w:p w14:paraId="17F0F053" w14:textId="77777777" w:rsidR="00E4260D" w:rsidRDefault="00240788">
            <w:r>
              <w:rPr>
                <w:rFonts w:ascii="Courier New" w:hAnsi="Courier New"/>
                <w:sz w:val="18"/>
              </w:rPr>
              <w:t>HFC-143a</w:t>
            </w:r>
          </w:p>
        </w:tc>
        <w:tc>
          <w:tcPr>
            <w:tcW w:w="2130" w:type="dxa"/>
          </w:tcPr>
          <w:p w14:paraId="11406889" w14:textId="77777777" w:rsidR="00E4260D" w:rsidRDefault="00240788">
            <w:r>
              <w:t>positive (</w:t>
            </w:r>
            <w:r>
              <w:rPr>
                <w:rFonts w:ascii="Courier New" w:hAnsi="Courier New"/>
                <w:sz w:val="18"/>
              </w:rPr>
              <w:t>1</w:t>
            </w:r>
            <w:r>
              <w:t>)</w:t>
            </w:r>
          </w:p>
        </w:tc>
      </w:tr>
      <w:tr w:rsidR="00E4260D" w14:paraId="333487F4" w14:textId="77777777" w:rsidTr="00451663">
        <w:tc>
          <w:tcPr>
            <w:tcW w:w="2287" w:type="dxa"/>
          </w:tcPr>
          <w:p w14:paraId="17F07AC8" w14:textId="77777777" w:rsidR="00E4260D" w:rsidRDefault="00240788">
            <w:r>
              <w:rPr>
                <w:rFonts w:ascii="Courier New" w:hAnsi="Courier New"/>
                <w:sz w:val="18"/>
              </w:rPr>
              <w:t>1,1-Difluoroethane</w:t>
            </w:r>
          </w:p>
        </w:tc>
        <w:tc>
          <w:tcPr>
            <w:tcW w:w="2206" w:type="dxa"/>
          </w:tcPr>
          <w:p w14:paraId="7FA30E50" w14:textId="77777777" w:rsidR="00E4260D" w:rsidRDefault="00240788">
            <w:r>
              <w:rPr>
                <w:rFonts w:ascii="Courier New" w:hAnsi="Courier New"/>
                <w:sz w:val="18"/>
              </w:rPr>
              <w:t>HFC-152a</w:t>
            </w:r>
          </w:p>
        </w:tc>
        <w:tc>
          <w:tcPr>
            <w:tcW w:w="2130" w:type="dxa"/>
          </w:tcPr>
          <w:p w14:paraId="2D691417" w14:textId="77777777" w:rsidR="00E4260D" w:rsidRDefault="00240788">
            <w:r>
              <w:t>positive (</w:t>
            </w:r>
            <w:r>
              <w:rPr>
                <w:rFonts w:ascii="Courier New" w:hAnsi="Courier New"/>
                <w:sz w:val="18"/>
              </w:rPr>
              <w:t>1</w:t>
            </w:r>
            <w:r>
              <w:t>)</w:t>
            </w:r>
          </w:p>
        </w:tc>
      </w:tr>
      <w:tr w:rsidR="00E4260D" w14:paraId="0A65A66F" w14:textId="77777777" w:rsidTr="00451663">
        <w:tc>
          <w:tcPr>
            <w:tcW w:w="2287" w:type="dxa"/>
          </w:tcPr>
          <w:p w14:paraId="01506E11" w14:textId="77777777" w:rsidR="00E4260D" w:rsidRDefault="00240788">
            <w:r>
              <w:rPr>
                <w:rFonts w:ascii="Courier New" w:hAnsi="Courier New"/>
                <w:sz w:val="18"/>
              </w:rPr>
              <w:t>1,1,1,2-Tetrafluoroethane</w:t>
            </w:r>
          </w:p>
        </w:tc>
        <w:tc>
          <w:tcPr>
            <w:tcW w:w="2206" w:type="dxa"/>
          </w:tcPr>
          <w:p w14:paraId="059B2E2A" w14:textId="77777777" w:rsidR="00E4260D" w:rsidRDefault="00240788">
            <w:r>
              <w:rPr>
                <w:rFonts w:ascii="Courier New" w:hAnsi="Courier New"/>
                <w:sz w:val="18"/>
              </w:rPr>
              <w:t>HFC-134a</w:t>
            </w:r>
          </w:p>
        </w:tc>
        <w:tc>
          <w:tcPr>
            <w:tcW w:w="2130" w:type="dxa"/>
          </w:tcPr>
          <w:p w14:paraId="2D46A646" w14:textId="77777777" w:rsidR="00E4260D" w:rsidRDefault="00240788">
            <w:r>
              <w:t>positive (</w:t>
            </w:r>
            <w:r>
              <w:rPr>
                <w:rFonts w:ascii="Courier New" w:hAnsi="Courier New"/>
                <w:sz w:val="18"/>
              </w:rPr>
              <w:t>1</w:t>
            </w:r>
            <w:r>
              <w:t>)</w:t>
            </w:r>
          </w:p>
        </w:tc>
      </w:tr>
      <w:tr w:rsidR="00E4260D" w14:paraId="2CAA9951" w14:textId="77777777" w:rsidTr="00451663">
        <w:tc>
          <w:tcPr>
            <w:tcW w:w="2287" w:type="dxa"/>
          </w:tcPr>
          <w:p w14:paraId="78AEA7BB" w14:textId="77777777" w:rsidR="00E4260D" w:rsidRDefault="00240788">
            <w:r>
              <w:rPr>
                <w:rFonts w:ascii="Courier New" w:hAnsi="Courier New"/>
                <w:sz w:val="18"/>
              </w:rPr>
              <w:t>1,1,2-Trichloro-1,2,2-trifluoroethane</w:t>
            </w:r>
          </w:p>
        </w:tc>
        <w:tc>
          <w:tcPr>
            <w:tcW w:w="2206" w:type="dxa"/>
          </w:tcPr>
          <w:p w14:paraId="5F65AA5A" w14:textId="77777777" w:rsidR="00E4260D" w:rsidRDefault="00240788">
            <w:r>
              <w:rPr>
                <w:rFonts w:ascii="Courier New" w:hAnsi="Courier New"/>
                <w:sz w:val="18"/>
              </w:rPr>
              <w:t>CFC-113</w:t>
            </w:r>
          </w:p>
        </w:tc>
        <w:tc>
          <w:tcPr>
            <w:tcW w:w="2130" w:type="dxa"/>
          </w:tcPr>
          <w:p w14:paraId="5A45390D" w14:textId="77777777" w:rsidR="00E4260D" w:rsidRDefault="00240788">
            <w:r>
              <w:t>positive (</w:t>
            </w:r>
            <w:r>
              <w:rPr>
                <w:rFonts w:ascii="Courier New" w:hAnsi="Courier New"/>
                <w:sz w:val="18"/>
              </w:rPr>
              <w:t>1</w:t>
            </w:r>
            <w:r>
              <w:t>)</w:t>
            </w:r>
          </w:p>
        </w:tc>
      </w:tr>
      <w:tr w:rsidR="00E4260D" w14:paraId="60D3B53B" w14:textId="77777777" w:rsidTr="00451663">
        <w:tc>
          <w:tcPr>
            <w:tcW w:w="2287" w:type="dxa"/>
          </w:tcPr>
          <w:p w14:paraId="27C879FD" w14:textId="77777777" w:rsidR="00E4260D" w:rsidRDefault="00240788">
            <w:r>
              <w:rPr>
                <w:rFonts w:ascii="Courier New" w:hAnsi="Courier New"/>
                <w:sz w:val="18"/>
              </w:rPr>
              <w:lastRenderedPageBreak/>
              <w:t>1,2-Dichloro-1,1,2,2-tetrafluoroethane</w:t>
            </w:r>
          </w:p>
        </w:tc>
        <w:tc>
          <w:tcPr>
            <w:tcW w:w="2206" w:type="dxa"/>
          </w:tcPr>
          <w:p w14:paraId="50FCB647" w14:textId="77777777" w:rsidR="00E4260D" w:rsidRDefault="00240788">
            <w:r>
              <w:rPr>
                <w:rFonts w:ascii="Courier New" w:hAnsi="Courier New"/>
                <w:sz w:val="18"/>
              </w:rPr>
              <w:t>CFC-114</w:t>
            </w:r>
          </w:p>
        </w:tc>
        <w:tc>
          <w:tcPr>
            <w:tcW w:w="2130" w:type="dxa"/>
          </w:tcPr>
          <w:p w14:paraId="09E993B1" w14:textId="77777777" w:rsidR="00E4260D" w:rsidRDefault="00240788">
            <w:r>
              <w:t>positive (</w:t>
            </w:r>
            <w:r>
              <w:rPr>
                <w:rFonts w:ascii="Courier New" w:hAnsi="Courier New"/>
                <w:sz w:val="18"/>
              </w:rPr>
              <w:t>1</w:t>
            </w:r>
            <w:r>
              <w:t>)</w:t>
            </w:r>
          </w:p>
        </w:tc>
      </w:tr>
      <w:tr w:rsidR="00E4260D" w14:paraId="08B04DE7" w14:textId="77777777" w:rsidTr="00451663">
        <w:tc>
          <w:tcPr>
            <w:tcW w:w="2287" w:type="dxa"/>
          </w:tcPr>
          <w:p w14:paraId="34DC80A9" w14:textId="77777777" w:rsidR="00E4260D" w:rsidRDefault="00240788">
            <w:r>
              <w:rPr>
                <w:rFonts w:ascii="Courier New" w:hAnsi="Courier New"/>
                <w:sz w:val="18"/>
              </w:rPr>
              <w:t>Bromochlorodifluoromethane</w:t>
            </w:r>
          </w:p>
        </w:tc>
        <w:tc>
          <w:tcPr>
            <w:tcW w:w="2206" w:type="dxa"/>
          </w:tcPr>
          <w:p w14:paraId="0A40A046" w14:textId="77777777" w:rsidR="00E4260D" w:rsidRDefault="00240788">
            <w:r>
              <w:rPr>
                <w:rFonts w:ascii="Courier New" w:hAnsi="Courier New"/>
                <w:sz w:val="18"/>
              </w:rPr>
              <w:t>Halon-1211</w:t>
            </w:r>
          </w:p>
        </w:tc>
        <w:tc>
          <w:tcPr>
            <w:tcW w:w="2130" w:type="dxa"/>
          </w:tcPr>
          <w:p w14:paraId="6C515ED7" w14:textId="77777777" w:rsidR="00E4260D" w:rsidRDefault="00240788">
            <w:r>
              <w:t>positive (</w:t>
            </w:r>
            <w:r>
              <w:rPr>
                <w:rFonts w:ascii="Courier New" w:hAnsi="Courier New"/>
                <w:sz w:val="18"/>
              </w:rPr>
              <w:t>1</w:t>
            </w:r>
            <w:r>
              <w:t>)</w:t>
            </w:r>
          </w:p>
        </w:tc>
      </w:tr>
      <w:tr w:rsidR="00E4260D" w14:paraId="5C0AD875" w14:textId="77777777" w:rsidTr="00451663">
        <w:tc>
          <w:tcPr>
            <w:tcW w:w="2287" w:type="dxa"/>
          </w:tcPr>
          <w:p w14:paraId="6EA94AB1" w14:textId="77777777" w:rsidR="00E4260D" w:rsidRDefault="00240788">
            <w:proofErr w:type="spellStart"/>
            <w:r>
              <w:rPr>
                <w:rFonts w:ascii="Courier New" w:hAnsi="Courier New"/>
                <w:sz w:val="18"/>
              </w:rPr>
              <w:t>Bromotrifluoromethane</w:t>
            </w:r>
            <w:proofErr w:type="spellEnd"/>
          </w:p>
        </w:tc>
        <w:tc>
          <w:tcPr>
            <w:tcW w:w="2206" w:type="dxa"/>
          </w:tcPr>
          <w:p w14:paraId="6FA355D8" w14:textId="77777777" w:rsidR="00E4260D" w:rsidRDefault="00240788">
            <w:r>
              <w:rPr>
                <w:rFonts w:ascii="Courier New" w:hAnsi="Courier New"/>
                <w:sz w:val="18"/>
              </w:rPr>
              <w:t>Halon-1301</w:t>
            </w:r>
          </w:p>
        </w:tc>
        <w:tc>
          <w:tcPr>
            <w:tcW w:w="2130" w:type="dxa"/>
          </w:tcPr>
          <w:p w14:paraId="68212EBC" w14:textId="77777777" w:rsidR="00E4260D" w:rsidRDefault="00240788">
            <w:r>
              <w:t>positive (</w:t>
            </w:r>
            <w:r>
              <w:rPr>
                <w:rFonts w:ascii="Courier New" w:hAnsi="Courier New"/>
                <w:sz w:val="18"/>
              </w:rPr>
              <w:t>1</w:t>
            </w:r>
            <w:r>
              <w:t>)</w:t>
            </w:r>
          </w:p>
        </w:tc>
      </w:tr>
      <w:tr w:rsidR="00E4260D" w14:paraId="3E27FDC1" w14:textId="77777777" w:rsidTr="00451663">
        <w:tc>
          <w:tcPr>
            <w:tcW w:w="2287" w:type="dxa"/>
          </w:tcPr>
          <w:p w14:paraId="271EEB81" w14:textId="77777777" w:rsidR="00E4260D" w:rsidRDefault="00240788">
            <w:r>
              <w:rPr>
                <w:rFonts w:ascii="Courier New" w:hAnsi="Courier New"/>
                <w:sz w:val="18"/>
              </w:rPr>
              <w:t>Bromomethane</w:t>
            </w:r>
          </w:p>
        </w:tc>
        <w:tc>
          <w:tcPr>
            <w:tcW w:w="2206" w:type="dxa"/>
          </w:tcPr>
          <w:p w14:paraId="683D7606" w14:textId="77777777" w:rsidR="00E4260D" w:rsidRDefault="00240788">
            <w:r>
              <w:rPr>
                <w:rFonts w:ascii="Courier New" w:hAnsi="Courier New"/>
                <w:sz w:val="18"/>
              </w:rPr>
              <w:t>CH3Br</w:t>
            </w:r>
          </w:p>
        </w:tc>
        <w:tc>
          <w:tcPr>
            <w:tcW w:w="2130" w:type="dxa"/>
          </w:tcPr>
          <w:p w14:paraId="18E5ACEF" w14:textId="77777777" w:rsidR="00E4260D" w:rsidRDefault="00240788">
            <w:r>
              <w:t>positive (</w:t>
            </w:r>
            <w:r>
              <w:rPr>
                <w:rFonts w:ascii="Courier New" w:hAnsi="Courier New"/>
                <w:sz w:val="18"/>
              </w:rPr>
              <w:t>1</w:t>
            </w:r>
            <w:r>
              <w:t>)</w:t>
            </w:r>
          </w:p>
        </w:tc>
      </w:tr>
      <w:tr w:rsidR="00E4260D" w14:paraId="7DDEEE03" w14:textId="77777777" w:rsidTr="00451663">
        <w:tc>
          <w:tcPr>
            <w:tcW w:w="2287" w:type="dxa"/>
          </w:tcPr>
          <w:p w14:paraId="1F3EA00B" w14:textId="77777777" w:rsidR="00E4260D" w:rsidRDefault="00240788">
            <w:r>
              <w:rPr>
                <w:rFonts w:ascii="Courier New" w:hAnsi="Courier New"/>
                <w:sz w:val="18"/>
              </w:rPr>
              <w:t>Chlorodifluoromethane</w:t>
            </w:r>
          </w:p>
        </w:tc>
        <w:tc>
          <w:tcPr>
            <w:tcW w:w="2206" w:type="dxa"/>
          </w:tcPr>
          <w:p w14:paraId="408E920C" w14:textId="77777777" w:rsidR="00E4260D" w:rsidRDefault="00240788">
            <w:r>
              <w:rPr>
                <w:rFonts w:ascii="Courier New" w:hAnsi="Courier New"/>
                <w:sz w:val="18"/>
              </w:rPr>
              <w:t>HCFC-22</w:t>
            </w:r>
          </w:p>
        </w:tc>
        <w:tc>
          <w:tcPr>
            <w:tcW w:w="2130" w:type="dxa"/>
          </w:tcPr>
          <w:p w14:paraId="3885BE36" w14:textId="77777777" w:rsidR="00E4260D" w:rsidRDefault="00240788">
            <w:r>
              <w:t>positive (</w:t>
            </w:r>
            <w:r>
              <w:rPr>
                <w:rFonts w:ascii="Courier New" w:hAnsi="Courier New"/>
                <w:sz w:val="18"/>
              </w:rPr>
              <w:t>1</w:t>
            </w:r>
            <w:r>
              <w:t>)</w:t>
            </w:r>
          </w:p>
        </w:tc>
      </w:tr>
      <w:tr w:rsidR="00E4260D" w14:paraId="76E54797" w14:textId="77777777" w:rsidTr="00451663">
        <w:tc>
          <w:tcPr>
            <w:tcW w:w="2287" w:type="dxa"/>
          </w:tcPr>
          <w:p w14:paraId="6C5DE578" w14:textId="77777777" w:rsidR="00E4260D" w:rsidRDefault="00240788">
            <w:r>
              <w:rPr>
                <w:rFonts w:ascii="Courier New" w:hAnsi="Courier New"/>
                <w:sz w:val="18"/>
              </w:rPr>
              <w:t>Dichlorodifluoromethane</w:t>
            </w:r>
          </w:p>
        </w:tc>
        <w:tc>
          <w:tcPr>
            <w:tcW w:w="2206" w:type="dxa"/>
          </w:tcPr>
          <w:p w14:paraId="69391A83" w14:textId="77777777" w:rsidR="00E4260D" w:rsidRDefault="00240788">
            <w:r>
              <w:rPr>
                <w:rFonts w:ascii="Courier New" w:hAnsi="Courier New"/>
                <w:sz w:val="18"/>
              </w:rPr>
              <w:t>CFC-12</w:t>
            </w:r>
          </w:p>
        </w:tc>
        <w:tc>
          <w:tcPr>
            <w:tcW w:w="2130" w:type="dxa"/>
          </w:tcPr>
          <w:p w14:paraId="4EBAFF69" w14:textId="77777777" w:rsidR="00E4260D" w:rsidRDefault="00240788">
            <w:r>
              <w:t>positive (</w:t>
            </w:r>
            <w:r>
              <w:rPr>
                <w:rFonts w:ascii="Courier New" w:hAnsi="Courier New"/>
                <w:sz w:val="18"/>
              </w:rPr>
              <w:t>1</w:t>
            </w:r>
            <w:r>
              <w:t>)</w:t>
            </w:r>
          </w:p>
        </w:tc>
      </w:tr>
      <w:tr w:rsidR="00E4260D" w14:paraId="23AFAF47" w14:textId="77777777" w:rsidTr="00451663">
        <w:tc>
          <w:tcPr>
            <w:tcW w:w="2287" w:type="dxa"/>
          </w:tcPr>
          <w:p w14:paraId="54F87400" w14:textId="77777777" w:rsidR="00E4260D" w:rsidRDefault="00240788">
            <w:r>
              <w:rPr>
                <w:rFonts w:ascii="Courier New" w:hAnsi="Courier New"/>
                <w:sz w:val="18"/>
              </w:rPr>
              <w:t>Dichloromethane</w:t>
            </w:r>
          </w:p>
        </w:tc>
        <w:tc>
          <w:tcPr>
            <w:tcW w:w="2206" w:type="dxa"/>
          </w:tcPr>
          <w:p w14:paraId="5A86FF7C" w14:textId="77777777" w:rsidR="00E4260D" w:rsidRDefault="00240788">
            <w:r>
              <w:rPr>
                <w:rFonts w:ascii="Courier New" w:hAnsi="Courier New"/>
                <w:sz w:val="18"/>
              </w:rPr>
              <w:t>CH2Cl2</w:t>
            </w:r>
          </w:p>
        </w:tc>
        <w:tc>
          <w:tcPr>
            <w:tcW w:w="2130" w:type="dxa"/>
          </w:tcPr>
          <w:p w14:paraId="08042FF0" w14:textId="77777777" w:rsidR="00E4260D" w:rsidRDefault="00240788">
            <w:r>
              <w:t>positive (</w:t>
            </w:r>
            <w:r>
              <w:rPr>
                <w:rFonts w:ascii="Courier New" w:hAnsi="Courier New"/>
                <w:sz w:val="18"/>
              </w:rPr>
              <w:t>1</w:t>
            </w:r>
            <w:r>
              <w:t>)</w:t>
            </w:r>
          </w:p>
        </w:tc>
      </w:tr>
      <w:tr w:rsidR="00E4260D" w14:paraId="79BC05A3" w14:textId="77777777" w:rsidTr="00451663">
        <w:tc>
          <w:tcPr>
            <w:tcW w:w="2287" w:type="dxa"/>
          </w:tcPr>
          <w:p w14:paraId="25E40D43" w14:textId="77777777" w:rsidR="00E4260D" w:rsidRDefault="00240788">
            <w:r>
              <w:rPr>
                <w:rFonts w:ascii="Courier New" w:hAnsi="Courier New"/>
                <w:sz w:val="18"/>
              </w:rPr>
              <w:t>Difluoromethane</w:t>
            </w:r>
          </w:p>
        </w:tc>
        <w:tc>
          <w:tcPr>
            <w:tcW w:w="2206" w:type="dxa"/>
          </w:tcPr>
          <w:p w14:paraId="38DD8E58" w14:textId="77777777" w:rsidR="00E4260D" w:rsidRDefault="00240788">
            <w:r>
              <w:rPr>
                <w:rFonts w:ascii="Courier New" w:hAnsi="Courier New"/>
                <w:sz w:val="18"/>
              </w:rPr>
              <w:t>HFC-32</w:t>
            </w:r>
          </w:p>
        </w:tc>
        <w:tc>
          <w:tcPr>
            <w:tcW w:w="2130" w:type="dxa"/>
          </w:tcPr>
          <w:p w14:paraId="26AA98FE" w14:textId="77777777" w:rsidR="00E4260D" w:rsidRDefault="00240788">
            <w:r>
              <w:t>positive (</w:t>
            </w:r>
            <w:r>
              <w:rPr>
                <w:rFonts w:ascii="Courier New" w:hAnsi="Courier New"/>
                <w:sz w:val="18"/>
              </w:rPr>
              <w:t>1</w:t>
            </w:r>
            <w:r>
              <w:t>)</w:t>
            </w:r>
          </w:p>
        </w:tc>
      </w:tr>
      <w:tr w:rsidR="00E4260D" w14:paraId="68062327" w14:textId="77777777" w:rsidTr="00451663">
        <w:tc>
          <w:tcPr>
            <w:tcW w:w="2287" w:type="dxa"/>
          </w:tcPr>
          <w:p w14:paraId="3D31355A" w14:textId="77777777" w:rsidR="00E4260D" w:rsidRDefault="00240788">
            <w:r>
              <w:rPr>
                <w:rFonts w:ascii="Courier New" w:hAnsi="Courier New"/>
                <w:sz w:val="18"/>
              </w:rPr>
              <w:t>Trichlorofluoromethane</w:t>
            </w:r>
          </w:p>
        </w:tc>
        <w:tc>
          <w:tcPr>
            <w:tcW w:w="2206" w:type="dxa"/>
          </w:tcPr>
          <w:p w14:paraId="23D89032" w14:textId="77777777" w:rsidR="00E4260D" w:rsidRDefault="00240788">
            <w:r>
              <w:rPr>
                <w:rFonts w:ascii="Courier New" w:hAnsi="Courier New"/>
                <w:sz w:val="18"/>
              </w:rPr>
              <w:t>CFC-11</w:t>
            </w:r>
          </w:p>
        </w:tc>
        <w:tc>
          <w:tcPr>
            <w:tcW w:w="2130" w:type="dxa"/>
          </w:tcPr>
          <w:p w14:paraId="4620811E" w14:textId="77777777" w:rsidR="00E4260D" w:rsidRDefault="00240788">
            <w:r>
              <w:t>positive (</w:t>
            </w:r>
            <w:r>
              <w:rPr>
                <w:rFonts w:ascii="Courier New" w:hAnsi="Courier New"/>
                <w:sz w:val="18"/>
              </w:rPr>
              <w:t>1</w:t>
            </w:r>
            <w:r>
              <w:t>)</w:t>
            </w:r>
          </w:p>
        </w:tc>
      </w:tr>
      <w:tr w:rsidR="00E4260D" w14:paraId="6F54957C" w14:textId="77777777" w:rsidTr="00451663">
        <w:tc>
          <w:tcPr>
            <w:tcW w:w="2287" w:type="dxa"/>
          </w:tcPr>
          <w:p w14:paraId="4E7F8567" w14:textId="77777777" w:rsidR="00E4260D" w:rsidRDefault="00240788">
            <w:proofErr w:type="spellStart"/>
            <w:r>
              <w:rPr>
                <w:rFonts w:ascii="Courier New" w:hAnsi="Courier New"/>
                <w:sz w:val="18"/>
              </w:rPr>
              <w:t>Pentafluoroethane</w:t>
            </w:r>
            <w:proofErr w:type="spellEnd"/>
          </w:p>
        </w:tc>
        <w:tc>
          <w:tcPr>
            <w:tcW w:w="2206" w:type="dxa"/>
          </w:tcPr>
          <w:p w14:paraId="0D2DB263" w14:textId="77777777" w:rsidR="00E4260D" w:rsidRDefault="00240788">
            <w:r>
              <w:rPr>
                <w:rFonts w:ascii="Courier New" w:hAnsi="Courier New"/>
                <w:sz w:val="18"/>
              </w:rPr>
              <w:t>HFC-125</w:t>
            </w:r>
          </w:p>
        </w:tc>
        <w:tc>
          <w:tcPr>
            <w:tcW w:w="2130" w:type="dxa"/>
          </w:tcPr>
          <w:p w14:paraId="2D213E02" w14:textId="77777777" w:rsidR="00E4260D" w:rsidRDefault="00240788">
            <w:r>
              <w:t>positive (</w:t>
            </w:r>
            <w:r>
              <w:rPr>
                <w:rFonts w:ascii="Courier New" w:hAnsi="Courier New"/>
                <w:sz w:val="18"/>
              </w:rPr>
              <w:t>1</w:t>
            </w:r>
            <w:r>
              <w:t>)</w:t>
            </w:r>
          </w:p>
        </w:tc>
      </w:tr>
      <w:tr w:rsidR="00E4260D" w14:paraId="0F006A6E" w14:textId="77777777" w:rsidTr="00451663">
        <w:tc>
          <w:tcPr>
            <w:tcW w:w="2287" w:type="dxa"/>
          </w:tcPr>
          <w:p w14:paraId="1AF7B02F" w14:textId="77777777" w:rsidR="00E4260D" w:rsidRDefault="00240788">
            <w:r>
              <w:rPr>
                <w:rFonts w:ascii="Courier New" w:hAnsi="Courier New"/>
                <w:sz w:val="18"/>
              </w:rPr>
              <w:t>Ammonia</w:t>
            </w:r>
          </w:p>
        </w:tc>
        <w:tc>
          <w:tcPr>
            <w:tcW w:w="2206" w:type="dxa"/>
          </w:tcPr>
          <w:p w14:paraId="2B2EB166" w14:textId="77777777" w:rsidR="00E4260D" w:rsidRDefault="00240788">
            <w:r>
              <w:rPr>
                <w:rFonts w:ascii="Courier New" w:hAnsi="Courier New"/>
                <w:sz w:val="18"/>
              </w:rPr>
              <w:t>NH3</w:t>
            </w:r>
          </w:p>
        </w:tc>
        <w:tc>
          <w:tcPr>
            <w:tcW w:w="2130" w:type="dxa"/>
          </w:tcPr>
          <w:p w14:paraId="395863FB" w14:textId="77777777" w:rsidR="00E4260D" w:rsidRDefault="00240788">
            <w:r>
              <w:t>positive (</w:t>
            </w:r>
            <w:r>
              <w:rPr>
                <w:rFonts w:ascii="Courier New" w:hAnsi="Courier New"/>
                <w:sz w:val="18"/>
              </w:rPr>
              <w:t>1</w:t>
            </w:r>
            <w:r>
              <w:t>)</w:t>
            </w:r>
          </w:p>
        </w:tc>
      </w:tr>
      <w:tr w:rsidR="00E4260D" w14:paraId="218A29E3" w14:textId="77777777" w:rsidTr="00451663">
        <w:tc>
          <w:tcPr>
            <w:tcW w:w="2287" w:type="dxa"/>
          </w:tcPr>
          <w:p w14:paraId="1DFFB410" w14:textId="77777777" w:rsidR="00E4260D" w:rsidRDefault="00240788">
            <w:r>
              <w:rPr>
                <w:rFonts w:ascii="Courier New" w:hAnsi="Courier New"/>
                <w:sz w:val="18"/>
              </w:rPr>
              <w:t>Sulfur dioxide</w:t>
            </w:r>
          </w:p>
        </w:tc>
        <w:tc>
          <w:tcPr>
            <w:tcW w:w="2206" w:type="dxa"/>
          </w:tcPr>
          <w:p w14:paraId="75AB82D4" w14:textId="77777777" w:rsidR="00E4260D" w:rsidRDefault="00240788">
            <w:r>
              <w:rPr>
                <w:rFonts w:ascii="Courier New" w:hAnsi="Courier New"/>
                <w:sz w:val="18"/>
              </w:rPr>
              <w:t>Sulfur</w:t>
            </w:r>
          </w:p>
        </w:tc>
        <w:tc>
          <w:tcPr>
            <w:tcW w:w="2130" w:type="dxa"/>
          </w:tcPr>
          <w:p w14:paraId="4FC707FC" w14:textId="77777777" w:rsidR="00E4260D" w:rsidRDefault="00240788">
            <w:r>
              <w:t>positive (</w:t>
            </w:r>
            <w:r>
              <w:rPr>
                <w:rFonts w:ascii="Courier New" w:hAnsi="Courier New"/>
                <w:sz w:val="18"/>
              </w:rPr>
              <w:t>1</w:t>
            </w:r>
            <w:r>
              <w:t>)</w:t>
            </w:r>
          </w:p>
        </w:tc>
      </w:tr>
    </w:tbl>
    <w:p w14:paraId="4C75AD0D" w14:textId="14078D70" w:rsidR="00E4260D" w:rsidRPr="00451663" w:rsidRDefault="00451663" w:rsidP="00EB2EE5">
      <w:pPr>
        <w:rPr>
          <w:sz w:val="17"/>
          <w:szCs w:val="17"/>
        </w:rPr>
      </w:pPr>
      <w:r w:rsidRPr="00321DE6">
        <w:rPr>
          <w:b/>
          <w:bCs/>
          <w:sz w:val="17"/>
          <w:szCs w:val="17"/>
        </w:rPr>
        <w:t xml:space="preserve">Table </w:t>
      </w:r>
      <w:r>
        <w:rPr>
          <w:b/>
          <w:bCs/>
          <w:sz w:val="17"/>
          <w:szCs w:val="17"/>
        </w:rPr>
        <w:t>1</w:t>
      </w:r>
      <w:r w:rsidR="00EB2EE5">
        <w:rPr>
          <w:b/>
          <w:bCs/>
          <w:sz w:val="17"/>
          <w:szCs w:val="17"/>
        </w:rPr>
        <w:t>5</w:t>
      </w:r>
      <w:r w:rsidRPr="00321DE6">
        <w:rPr>
          <w:sz w:val="17"/>
          <w:szCs w:val="17"/>
        </w:rPr>
        <w:t xml:space="preserve"> – </w:t>
      </w:r>
      <w:r w:rsidR="00EB2EE5" w:rsidRPr="00EB2EE5">
        <w:rPr>
          <w:sz w:val="17"/>
          <w:szCs w:val="17"/>
        </w:rPr>
        <w:t xml:space="preserve">Default mapping from Trails atmospheric biosphere flows to </w:t>
      </w:r>
      <w:proofErr w:type="spellStart"/>
      <w:r w:rsidR="00EB2EE5" w:rsidRPr="00EB2EE5">
        <w:rPr>
          <w:sz w:val="17"/>
          <w:szCs w:val="17"/>
        </w:rPr>
        <w:t>FaIR</w:t>
      </w:r>
      <w:proofErr w:type="spellEnd"/>
      <w:r w:rsidR="00EB2EE5" w:rsidRPr="00EB2EE5">
        <w:rPr>
          <w:sz w:val="17"/>
          <w:szCs w:val="17"/>
        </w:rPr>
        <w:t xml:space="preserve"> species. The sign convention indicates</w:t>
      </w:r>
      <w:r w:rsidR="00EB2EE5">
        <w:rPr>
          <w:sz w:val="17"/>
          <w:szCs w:val="17"/>
        </w:rPr>
        <w:t xml:space="preserve"> </w:t>
      </w:r>
      <w:r w:rsidR="00EB2EE5" w:rsidRPr="00EB2EE5">
        <w:rPr>
          <w:sz w:val="17"/>
          <w:szCs w:val="17"/>
        </w:rPr>
        <w:t xml:space="preserve">whether each inventory flow is added to or subtracted from the baseline </w:t>
      </w:r>
      <w:proofErr w:type="spellStart"/>
      <w:r w:rsidR="00EB2EE5" w:rsidRPr="00EB2EE5">
        <w:rPr>
          <w:sz w:val="17"/>
          <w:szCs w:val="17"/>
        </w:rPr>
        <w:t>FaIR</w:t>
      </w:r>
      <w:proofErr w:type="spellEnd"/>
      <w:r w:rsidR="00EB2EE5" w:rsidRPr="00EB2EE5">
        <w:rPr>
          <w:sz w:val="17"/>
          <w:szCs w:val="17"/>
        </w:rPr>
        <w:t xml:space="preserve"> emissions perturbation</w:t>
      </w:r>
      <w:r>
        <w:rPr>
          <w:sz w:val="17"/>
          <w:szCs w:val="17"/>
        </w:rPr>
        <w:t>.</w:t>
      </w:r>
    </w:p>
    <w:p w14:paraId="597C9F6B" w14:textId="77777777" w:rsidR="00E4260D" w:rsidRDefault="00240788">
      <w:r>
        <w:t xml:space="preserve">The sign column is applied after aggregation. The negative sign is used for flows that represent uptake or storage rather than an emission to air; for example, </w:t>
      </w:r>
      <w:r>
        <w:rPr>
          <w:rFonts w:ascii="Courier New" w:hAnsi="Courier New"/>
          <w:sz w:val="18"/>
        </w:rPr>
        <w:t>Carbon dioxide, in air</w:t>
      </w:r>
      <w:r>
        <w:t xml:space="preserve"> is treated as a negative contribution because it is uptake from air.</w:t>
      </w:r>
    </w:p>
    <w:p w14:paraId="1CFCA197" w14:textId="751CB0E1" w:rsidR="00E4260D" w:rsidRDefault="005C4D91">
      <w:r w:rsidRPr="005C4D91">
        <w:rPr>
          <w:i/>
          <w:iCs/>
        </w:rPr>
        <w:t>Trails</w:t>
      </w:r>
      <w:r>
        <w:t xml:space="preserve"> runs </w:t>
      </w:r>
      <w:proofErr w:type="spellStart"/>
      <w:r w:rsidRPr="0090768A">
        <w:rPr>
          <w:i/>
          <w:iCs/>
        </w:rPr>
        <w:t>FaIR</w:t>
      </w:r>
      <w:proofErr w:type="spellEnd"/>
      <w:r>
        <w:t xml:space="preserve"> once for the baseline scenario and again after adding the </w:t>
      </w:r>
      <w:r w:rsidRPr="005C4D91">
        <w:rPr>
          <w:i/>
          <w:iCs/>
        </w:rPr>
        <w:t>Trails</w:t>
      </w:r>
      <w:r>
        <w:t xml:space="preserve"> inventory perturbation to the relevant species-year rows. The reported output is the difference between the two runs. When multiple </w:t>
      </w:r>
      <w:proofErr w:type="spellStart"/>
      <w:r w:rsidRPr="0090768A">
        <w:rPr>
          <w:i/>
          <w:iCs/>
        </w:rPr>
        <w:t>FaIR</w:t>
      </w:r>
      <w:proofErr w:type="spellEnd"/>
      <w:r>
        <w:t xml:space="preserve"> configurations are used, </w:t>
      </w:r>
      <w:r w:rsidRPr="005C4D91">
        <w:rPr>
          <w:i/>
          <w:iCs/>
        </w:rPr>
        <w:t>Trails</w:t>
      </w:r>
      <w:r>
        <w:t xml:space="preserve"> stores quantiles across the ensemble.</w:t>
      </w:r>
    </w:p>
    <w:p w14:paraId="22CFEFE7" w14:textId="0AEE7706" w:rsidR="00E4260D" w:rsidRDefault="00240788">
      <w:r>
        <w:t xml:space="preserve">Small product-system perturbations can be hard to separate numerically from a large global baseline. </w:t>
      </w:r>
      <w:r w:rsidR="00930330" w:rsidRPr="005C4D91">
        <w:rPr>
          <w:i/>
          <w:iCs/>
        </w:rPr>
        <w:t>Trails</w:t>
      </w:r>
      <w:r w:rsidR="00930330">
        <w:t xml:space="preserve"> </w:t>
      </w:r>
      <w:r>
        <w:t xml:space="preserve">therefore supports scaling before the </w:t>
      </w:r>
      <w:proofErr w:type="spellStart"/>
      <w:r w:rsidR="00930330" w:rsidRPr="0090768A">
        <w:rPr>
          <w:i/>
          <w:iCs/>
        </w:rPr>
        <w:t>FaIR</w:t>
      </w:r>
      <w:proofErr w:type="spellEnd"/>
      <w:r w:rsidR="00930330">
        <w:t xml:space="preserve"> </w:t>
      </w:r>
      <w:r>
        <w:t xml:space="preserve">run and can validate that the added emissions match the expected inventory perturbation after unit conversion. </w:t>
      </w:r>
      <w:r w:rsidR="004606B9" w:rsidRPr="004606B9">
        <w:t xml:space="preserve">The resulting response can then be scaled back to the original functional unit, provided that the scaling factor remains within a range where the </w:t>
      </w:r>
      <w:proofErr w:type="spellStart"/>
      <w:r w:rsidR="002C1B68" w:rsidRPr="0090768A">
        <w:rPr>
          <w:i/>
          <w:iCs/>
        </w:rPr>
        <w:t>FaIR</w:t>
      </w:r>
      <w:proofErr w:type="spellEnd"/>
      <w:r w:rsidR="002C1B68">
        <w:t xml:space="preserve"> </w:t>
      </w:r>
      <w:r w:rsidR="004606B9" w:rsidRPr="004606B9">
        <w:t>re</w:t>
      </w:r>
      <w:r w:rsidR="004606B9" w:rsidRPr="004606B9">
        <w:lastRenderedPageBreak/>
        <w:t>sponse is approximately linear. In practice, this can be checked by repeating the calculation with different perturbation scales and verifying that radiative forcing and temperature responses scale proportionally.</w:t>
      </w:r>
    </w:p>
    <w:p w14:paraId="1E3346CA" w14:textId="5A5CE4EA" w:rsidR="00E4260D" w:rsidRDefault="00240788" w:rsidP="002C079F">
      <w:pPr>
        <w:pStyle w:val="Heading1"/>
        <w:numPr>
          <w:ilvl w:val="0"/>
          <w:numId w:val="46"/>
        </w:numPr>
      </w:pPr>
      <w:bookmarkStart w:id="18" w:name="_Toc233129516"/>
      <w:r>
        <w:t>Reproducibility notes</w:t>
      </w:r>
      <w:bookmarkEnd w:id="18"/>
    </w:p>
    <w:p w14:paraId="302F6D01" w14:textId="3DF94E29" w:rsidR="00E4260D" w:rsidRDefault="00240788">
      <w:r>
        <w:t xml:space="preserve">TRAILS supports Python versions </w:t>
      </w:r>
      <w:r>
        <w:rPr>
          <w:rFonts w:ascii="Courier New" w:hAnsi="Courier New"/>
          <w:sz w:val="18"/>
        </w:rPr>
        <w:t>&gt;=</w:t>
      </w:r>
      <w:r w:rsidR="005A02E7">
        <w:rPr>
          <w:rFonts w:ascii="Courier New" w:hAnsi="Courier New"/>
          <w:sz w:val="18"/>
        </w:rPr>
        <w:t xml:space="preserve"> </w:t>
      </w:r>
      <w:r>
        <w:rPr>
          <w:rFonts w:ascii="Courier New" w:hAnsi="Courier New"/>
          <w:sz w:val="18"/>
        </w:rPr>
        <w:t>3.10</w:t>
      </w:r>
      <w:r>
        <w:t xml:space="preserve"> and </w:t>
      </w:r>
      <w:r>
        <w:rPr>
          <w:rFonts w:ascii="Courier New" w:hAnsi="Courier New"/>
          <w:sz w:val="18"/>
        </w:rPr>
        <w:t>&lt;</w:t>
      </w:r>
      <w:r w:rsidR="005A02E7">
        <w:rPr>
          <w:rFonts w:ascii="Courier New" w:hAnsi="Courier New"/>
          <w:sz w:val="18"/>
        </w:rPr>
        <w:t xml:space="preserve"> </w:t>
      </w:r>
      <w:r>
        <w:rPr>
          <w:rFonts w:ascii="Courier New" w:hAnsi="Courier New"/>
          <w:sz w:val="18"/>
        </w:rPr>
        <w:t>3.12</w:t>
      </w:r>
      <w:r>
        <w:t xml:space="preserve">. Key runtime dependencies include </w:t>
      </w:r>
      <w:proofErr w:type="spellStart"/>
      <w:r>
        <w:t>Brightway</w:t>
      </w:r>
      <w:proofErr w:type="spellEnd"/>
      <w:r>
        <w:t xml:space="preserve"> packages, </w:t>
      </w:r>
      <w:proofErr w:type="spellStart"/>
      <w:r>
        <w:rPr>
          <w:rFonts w:ascii="Courier New" w:hAnsi="Courier New"/>
          <w:sz w:val="18"/>
        </w:rPr>
        <w:t>bw_processing</w:t>
      </w:r>
      <w:proofErr w:type="spellEnd"/>
      <w:r>
        <w:t xml:space="preserve">, </w:t>
      </w:r>
      <w:r>
        <w:rPr>
          <w:rFonts w:ascii="Courier New" w:hAnsi="Courier New"/>
          <w:sz w:val="18"/>
        </w:rPr>
        <w:t>sparse</w:t>
      </w:r>
      <w:r>
        <w:t xml:space="preserve">, </w:t>
      </w:r>
      <w:proofErr w:type="spellStart"/>
      <w:r>
        <w:rPr>
          <w:rFonts w:ascii="Courier New" w:hAnsi="Courier New"/>
          <w:sz w:val="18"/>
        </w:rPr>
        <w:t>xarray</w:t>
      </w:r>
      <w:proofErr w:type="spellEnd"/>
      <w:r>
        <w:t xml:space="preserve">, </w:t>
      </w:r>
      <w:proofErr w:type="spellStart"/>
      <w:r>
        <w:rPr>
          <w:rFonts w:ascii="Courier New" w:hAnsi="Courier New"/>
          <w:sz w:val="18"/>
        </w:rPr>
        <w:t>plotly</w:t>
      </w:r>
      <w:proofErr w:type="spellEnd"/>
      <w:r>
        <w:t xml:space="preserve">, </w:t>
      </w:r>
      <w:proofErr w:type="spellStart"/>
      <w:r>
        <w:rPr>
          <w:rFonts w:ascii="Courier New" w:hAnsi="Courier New"/>
          <w:sz w:val="18"/>
        </w:rPr>
        <w:t>datapackage</w:t>
      </w:r>
      <w:proofErr w:type="spellEnd"/>
      <w:r>
        <w:t xml:space="preserve">, and </w:t>
      </w:r>
      <w:r>
        <w:rPr>
          <w:rFonts w:ascii="Courier New" w:hAnsi="Courier New"/>
          <w:sz w:val="18"/>
        </w:rPr>
        <w:t>fair</w:t>
      </w:r>
      <w:r>
        <w:t xml:space="preserve">. </w:t>
      </w:r>
      <w:r>
        <w:rPr>
          <w:rFonts w:ascii="Courier New" w:hAnsi="Courier New"/>
          <w:sz w:val="18"/>
        </w:rPr>
        <w:t>scikit-</w:t>
      </w:r>
      <w:proofErr w:type="spellStart"/>
      <w:r>
        <w:rPr>
          <w:rFonts w:ascii="Courier New" w:hAnsi="Courier New"/>
          <w:sz w:val="18"/>
        </w:rPr>
        <w:t>umfpack</w:t>
      </w:r>
      <w:proofErr w:type="spellEnd"/>
      <w:r>
        <w:t xml:space="preserve"> is optional and enables UMFPACK support.</w:t>
      </w:r>
    </w:p>
    <w:p w14:paraId="26758CFE" w14:textId="77777777" w:rsidR="00E4260D" w:rsidRDefault="00240788">
      <w:r>
        <w:t>These notes support the reproducibility statements in the main text and identify the local software and data requirements needed to rerun the supplementary demonstrations.</w:t>
      </w:r>
    </w:p>
    <w:p w14:paraId="06AEA6A5" w14:textId="69A17E57" w:rsidR="00E4260D" w:rsidRDefault="00240788">
      <w:r>
        <w:t>The manuscript workflow is expected to be reproducible from the scripts, notebooks, generated result files, and data</w:t>
      </w:r>
      <w:r w:rsidR="002C1B68">
        <w:t xml:space="preserve"> </w:t>
      </w:r>
      <w:r>
        <w:t>packages in the repository. Use of ecoinvent-derived data</w:t>
      </w:r>
      <w:r w:rsidR="002C1B68">
        <w:t xml:space="preserve"> </w:t>
      </w:r>
      <w:r>
        <w:t>packages requires appropriate local access to licensed ecoinvent data.</w:t>
      </w:r>
    </w:p>
    <w:p w14:paraId="753BCE85" w14:textId="0D26E8A5" w:rsidR="00E4260D" w:rsidRDefault="00240788">
      <w:r>
        <w:t xml:space="preserve">Annual interpolation can be cached under the platform-specific user-data directory for application name </w:t>
      </w:r>
      <w:r>
        <w:rPr>
          <w:rFonts w:ascii="Courier New" w:hAnsi="Courier New"/>
          <w:sz w:val="18"/>
        </w:rPr>
        <w:t>trails</w:t>
      </w:r>
      <w:r>
        <w:t xml:space="preserve">, in a </w:t>
      </w:r>
      <w:r>
        <w:rPr>
          <w:rFonts w:ascii="Courier New" w:hAnsi="Courier New"/>
          <w:sz w:val="18"/>
        </w:rPr>
        <w:t>cache/</w:t>
      </w:r>
      <w:r>
        <w:t xml:space="preserve"> subdirectory. The cache should be cleared or regenerated when the data</w:t>
      </w:r>
      <w:r w:rsidR="00CA4078">
        <w:t xml:space="preserve"> </w:t>
      </w:r>
      <w:r>
        <w:t xml:space="preserve">package, interpolation settings, value </w:t>
      </w:r>
      <w:proofErr w:type="spellStart"/>
      <w:r>
        <w:t>dtype</w:t>
      </w:r>
      <w:proofErr w:type="spellEnd"/>
      <w:r>
        <w:t xml:space="preserve">, or index </w:t>
      </w:r>
      <w:proofErr w:type="spellStart"/>
      <w:r>
        <w:t>dtype</w:t>
      </w:r>
      <w:proofErr w:type="spellEnd"/>
      <w:r>
        <w:t xml:space="preserve"> change.</w:t>
      </w:r>
    </w:p>
    <w:p w14:paraId="4C30148E" w14:textId="5C05C5BF" w:rsidR="00E4260D" w:rsidRDefault="00240788">
      <w:r>
        <w:t>Debug output is controlled with standard Python logging</w:t>
      </w:r>
      <w:r w:rsidR="00726ABB">
        <w:t xml:space="preserve">. </w:t>
      </w:r>
      <w:r>
        <w:t>During tests, debug art</w:t>
      </w:r>
      <w:r w:rsidR="005A02E7">
        <w:t>e</w:t>
      </w:r>
      <w:r>
        <w:t xml:space="preserve">facts are written </w:t>
      </w:r>
      <w:proofErr w:type="gramStart"/>
      <w:r>
        <w:t xml:space="preserve">to </w:t>
      </w:r>
      <w:r>
        <w:rPr>
          <w:rFonts w:ascii="Courier New" w:hAnsi="Courier New"/>
          <w:sz w:val="18"/>
        </w:rPr>
        <w:t>.</w:t>
      </w:r>
      <w:proofErr w:type="spellStart"/>
      <w:r>
        <w:rPr>
          <w:rFonts w:ascii="Courier New" w:hAnsi="Courier New"/>
          <w:sz w:val="18"/>
        </w:rPr>
        <w:t>pytest</w:t>
      </w:r>
      <w:proofErr w:type="spellEnd"/>
      <w:proofErr w:type="gramEnd"/>
      <w:r>
        <w:rPr>
          <w:rFonts w:ascii="Courier New" w:hAnsi="Courier New"/>
          <w:sz w:val="18"/>
        </w:rPr>
        <w:t>-debug</w:t>
      </w:r>
      <w:r>
        <w:t xml:space="preserve"> by default, or to the directory specified by </w:t>
      </w:r>
      <w:r>
        <w:rPr>
          <w:rFonts w:ascii="Courier New" w:hAnsi="Courier New"/>
          <w:sz w:val="18"/>
        </w:rPr>
        <w:t>PYTEST_DEBUG_DIR</w:t>
      </w:r>
      <w:r>
        <w:t>.</w:t>
      </w:r>
    </w:p>
    <w:p w14:paraId="6B917130" w14:textId="21267F6A" w:rsidR="00E4260D" w:rsidRDefault="00240788" w:rsidP="002C079F">
      <w:pPr>
        <w:pStyle w:val="Heading1"/>
        <w:numPr>
          <w:ilvl w:val="0"/>
          <w:numId w:val="46"/>
        </w:numPr>
      </w:pPr>
      <w:bookmarkStart w:id="19" w:name="_Toc233129517"/>
      <w:r>
        <w:t xml:space="preserve">Solver stress test for deeply </w:t>
      </w:r>
      <w:proofErr w:type="spellStart"/>
      <w:r>
        <w:t>temporali</w:t>
      </w:r>
      <w:r w:rsidR="005A02E7">
        <w:t>s</w:t>
      </w:r>
      <w:r>
        <w:t>ed</w:t>
      </w:r>
      <w:proofErr w:type="spellEnd"/>
      <w:r>
        <w:t xml:space="preserve"> technosphere systems</w:t>
      </w:r>
      <w:bookmarkEnd w:id="19"/>
    </w:p>
    <w:p w14:paraId="45B023F7" w14:textId="5829E9C7" w:rsidR="00E4260D" w:rsidRDefault="00240788">
      <w:r>
        <w:t>This experiment documents the computational reason for the graph-matrix hybrid strategy used in Trails. The input was a Frictionless data package generated with Premise for the REMIND SSP2-PkBudg1000 scenario, extended with temporal technosphere exchanges, and intended for loading by Trails. Trails interpolated the package to an annual grid from 2004 to 2101, giving 98 year-specific technosphere systems of size 42,300 × 42,300. The loaded three-dimensional technosphere array contained 49.16 million non-zero entries and occupied 1.28 GiB in sparse coordinate form.</w:t>
      </w:r>
    </w:p>
    <w:p w14:paraId="41E86E6F" w14:textId="73C9544D" w:rsidR="00E4260D" w:rsidRDefault="00240788">
      <w:r>
        <w:t xml:space="preserve">We compared two mathematically comparable solution pathways. In the monolithic pathway, annual technosphere matrices were stitched along a block diagonal and temporal technosphere exchanges were inserted as off-diagonal links, following the </w:t>
      </w:r>
      <w:r>
        <w:lastRenderedPageBreak/>
        <w:t>time-expanded matrix logic used by tools such as bw_timex (Diepers et al., 2026). The resulting sparse matrix was solved with UMFPACK. In the Trails pathway, the same temporal system was handled by routing temporal exchanges through the graph and solving standard year-specific technosphere systems sequentially. For the reduced one-, two-, three-, and four-year comparisons, Trails first performed the same uncapped adaptive routing from the functional unit and then solved the routed frontier demands that fell within the selected horizon. Adaptive routing used adaptive_relative_score_cutoff=1e-4 and the IPCC 2021 GWP100 method for score screening. The benchmark used activity index 31,387, demand 1, and start year 2025. Benchmarks were run on a MacBook Pro with an Apple M1 Pro chip, 8 CPU cores, 16 GB unified memory, macOS 26.3, and arm64 architecture.</w:t>
      </w:r>
    </w:p>
    <w:p w14:paraId="0CE17683" w14:textId="3136E33A" w:rsidR="00E4260D" w:rsidRDefault="00240788">
      <w:r>
        <w:t xml:space="preserve">The temporal links row </w:t>
      </w:r>
      <w:r w:rsidR="009A5DD4">
        <w:t>in Table 1</w:t>
      </w:r>
      <w:r w:rsidR="002C4B39">
        <w:t>6</w:t>
      </w:r>
      <w:r w:rsidR="009A5DD4">
        <w:t xml:space="preserve"> </w:t>
      </w:r>
      <w:r>
        <w:t>reports only cross-year entries inserted in the equivalent time-expanded matrix. It excludes same-year remnants of temporal distributions and offsets outside the selected horizon, so the one-year case has no cross-year temporal links in this table. In the memory row, paired monolithic values report the LU numeric object size and peak factorisation memory. Paired Trails values report the maximum per-year LU numeric object size and peak factorisation memory observed during sequential annual solves. For the 98-year monolithic system, memory is a conservative extrapolated lower bound.</w:t>
      </w:r>
    </w:p>
    <w:tbl>
      <w:tblPr>
        <w:tblStyle w:val="TableGrid"/>
        <w:tblW w:w="10604" w:type="dxa"/>
        <w:jc w:val="center"/>
        <w:tblLayout w:type="fixed"/>
        <w:tblLook w:val="04A0" w:firstRow="1" w:lastRow="0" w:firstColumn="1" w:lastColumn="0" w:noHBand="0" w:noVBand="1"/>
      </w:tblPr>
      <w:tblGrid>
        <w:gridCol w:w="964"/>
        <w:gridCol w:w="964"/>
        <w:gridCol w:w="964"/>
        <w:gridCol w:w="964"/>
        <w:gridCol w:w="964"/>
        <w:gridCol w:w="1129"/>
        <w:gridCol w:w="799"/>
        <w:gridCol w:w="964"/>
        <w:gridCol w:w="964"/>
        <w:gridCol w:w="964"/>
        <w:gridCol w:w="964"/>
      </w:tblGrid>
      <w:tr w:rsidR="003A6AA0" w:rsidRPr="009008B4" w14:paraId="289F1194" w14:textId="77777777" w:rsidTr="000F019F">
        <w:trPr>
          <w:tblHeader/>
          <w:jc w:val="center"/>
        </w:trPr>
        <w:tc>
          <w:tcPr>
            <w:tcW w:w="964" w:type="dxa"/>
            <w:vMerge w:val="restart"/>
            <w:tcBorders>
              <w:top w:val="nil"/>
              <w:left w:val="nil"/>
              <w:bottom w:val="nil"/>
              <w:right w:val="nil"/>
            </w:tcBorders>
            <w:tcMar>
              <w:top w:w="40" w:type="dxa"/>
              <w:left w:w="40" w:type="dxa"/>
              <w:bottom w:w="40" w:type="dxa"/>
              <w:right w:w="40" w:type="dxa"/>
            </w:tcMar>
            <w:vAlign w:val="center"/>
          </w:tcPr>
          <w:p w14:paraId="5251D410" w14:textId="77777777" w:rsidR="003A6AA0" w:rsidRPr="009008B4" w:rsidRDefault="003A6AA0" w:rsidP="00BC77CB">
            <w:pPr>
              <w:jc w:val="left"/>
              <w:rPr>
                <w:sz w:val="16"/>
                <w:szCs w:val="16"/>
              </w:rPr>
            </w:pPr>
          </w:p>
        </w:tc>
        <w:tc>
          <w:tcPr>
            <w:tcW w:w="1928" w:type="dxa"/>
            <w:gridSpan w:val="2"/>
            <w:tcBorders>
              <w:top w:val="single" w:sz="4" w:space="0" w:color="BFBFBF"/>
              <w:left w:val="nil"/>
              <w:bottom w:val="single" w:sz="4" w:space="0" w:color="BFBFBF"/>
              <w:right w:val="single" w:sz="4" w:space="0" w:color="BFBFBF"/>
            </w:tcBorders>
            <w:shd w:val="clear" w:color="auto" w:fill="D9EAF7"/>
            <w:tcMar>
              <w:top w:w="40" w:type="dxa"/>
              <w:left w:w="40" w:type="dxa"/>
              <w:bottom w:w="40" w:type="dxa"/>
              <w:right w:w="40" w:type="dxa"/>
            </w:tcMar>
            <w:vAlign w:val="center"/>
          </w:tcPr>
          <w:p w14:paraId="6AB6305F" w14:textId="31FF0F75" w:rsidR="003A6AA0" w:rsidRPr="009008B4" w:rsidRDefault="003A6AA0" w:rsidP="00BC77CB">
            <w:pPr>
              <w:jc w:val="left"/>
              <w:rPr>
                <w:sz w:val="16"/>
                <w:szCs w:val="16"/>
              </w:rPr>
            </w:pPr>
            <w:r w:rsidRPr="009008B4">
              <w:rPr>
                <w:sz w:val="16"/>
                <w:szCs w:val="16"/>
              </w:rPr>
              <w:t>1 year</w:t>
            </w:r>
          </w:p>
        </w:tc>
        <w:tc>
          <w:tcPr>
            <w:tcW w:w="1928" w:type="dxa"/>
            <w:gridSpan w:val="2"/>
            <w:tcBorders>
              <w:top w:val="single" w:sz="4" w:space="0" w:color="BFBFBF"/>
              <w:left w:val="single" w:sz="4" w:space="0" w:color="BFBFBF"/>
              <w:bottom w:val="single" w:sz="4" w:space="0" w:color="BFBFBF"/>
              <w:right w:val="single" w:sz="4" w:space="0" w:color="BFBFBF"/>
            </w:tcBorders>
            <w:shd w:val="clear" w:color="auto" w:fill="D9EAF7"/>
            <w:tcMar>
              <w:top w:w="40" w:type="dxa"/>
              <w:left w:w="40" w:type="dxa"/>
              <w:bottom w:w="40" w:type="dxa"/>
              <w:right w:w="40" w:type="dxa"/>
            </w:tcMar>
            <w:vAlign w:val="center"/>
          </w:tcPr>
          <w:p w14:paraId="1890843E" w14:textId="5E0882AB" w:rsidR="003A6AA0" w:rsidRPr="009008B4" w:rsidRDefault="003A6AA0" w:rsidP="00BC77CB">
            <w:pPr>
              <w:jc w:val="left"/>
              <w:rPr>
                <w:sz w:val="16"/>
                <w:szCs w:val="16"/>
              </w:rPr>
            </w:pPr>
            <w:r w:rsidRPr="009008B4">
              <w:rPr>
                <w:sz w:val="16"/>
                <w:szCs w:val="16"/>
              </w:rPr>
              <w:t>2 years</w:t>
            </w:r>
          </w:p>
        </w:tc>
        <w:tc>
          <w:tcPr>
            <w:tcW w:w="1928" w:type="dxa"/>
            <w:gridSpan w:val="2"/>
            <w:tcBorders>
              <w:top w:val="single" w:sz="4" w:space="0" w:color="BFBFBF"/>
              <w:left w:val="single" w:sz="4" w:space="0" w:color="BFBFBF"/>
              <w:bottom w:val="single" w:sz="4" w:space="0" w:color="BFBFBF"/>
              <w:right w:val="single" w:sz="4" w:space="0" w:color="BFBFBF"/>
            </w:tcBorders>
            <w:shd w:val="clear" w:color="auto" w:fill="D9EAF7"/>
            <w:tcMar>
              <w:top w:w="40" w:type="dxa"/>
              <w:left w:w="40" w:type="dxa"/>
              <w:bottom w:w="40" w:type="dxa"/>
              <w:right w:w="40" w:type="dxa"/>
            </w:tcMar>
            <w:vAlign w:val="center"/>
          </w:tcPr>
          <w:p w14:paraId="2EC6235C" w14:textId="1637C7A6" w:rsidR="003A6AA0" w:rsidRPr="009008B4" w:rsidRDefault="003A6AA0" w:rsidP="00BC77CB">
            <w:pPr>
              <w:jc w:val="left"/>
              <w:rPr>
                <w:sz w:val="16"/>
                <w:szCs w:val="16"/>
              </w:rPr>
            </w:pPr>
            <w:r w:rsidRPr="009008B4">
              <w:rPr>
                <w:sz w:val="16"/>
                <w:szCs w:val="16"/>
              </w:rPr>
              <w:t>3 years</w:t>
            </w:r>
          </w:p>
        </w:tc>
        <w:tc>
          <w:tcPr>
            <w:tcW w:w="1928" w:type="dxa"/>
            <w:gridSpan w:val="2"/>
            <w:tcBorders>
              <w:top w:val="single" w:sz="4" w:space="0" w:color="BFBFBF"/>
              <w:left w:val="single" w:sz="4" w:space="0" w:color="BFBFBF"/>
              <w:bottom w:val="single" w:sz="4" w:space="0" w:color="BFBFBF"/>
              <w:right w:val="single" w:sz="4" w:space="0" w:color="BFBFBF"/>
            </w:tcBorders>
            <w:shd w:val="clear" w:color="auto" w:fill="D9EAF7"/>
            <w:vAlign w:val="center"/>
          </w:tcPr>
          <w:p w14:paraId="052DDBB9" w14:textId="097C1A1A" w:rsidR="003A6AA0" w:rsidRPr="009008B4" w:rsidRDefault="003A6AA0" w:rsidP="00BC77CB">
            <w:pPr>
              <w:jc w:val="left"/>
              <w:rPr>
                <w:sz w:val="16"/>
                <w:szCs w:val="16"/>
              </w:rPr>
            </w:pPr>
            <w:r w:rsidRPr="009008B4">
              <w:rPr>
                <w:sz w:val="16"/>
                <w:szCs w:val="16"/>
              </w:rPr>
              <w:t>4 years</w:t>
            </w:r>
          </w:p>
        </w:tc>
        <w:tc>
          <w:tcPr>
            <w:tcW w:w="1928" w:type="dxa"/>
            <w:gridSpan w:val="2"/>
            <w:tcBorders>
              <w:top w:val="single" w:sz="4" w:space="0" w:color="BFBFBF"/>
              <w:left w:val="single" w:sz="4" w:space="0" w:color="BFBFBF"/>
              <w:bottom w:val="single" w:sz="4" w:space="0" w:color="BFBFBF"/>
              <w:right w:val="single" w:sz="4" w:space="0" w:color="BFBFBF"/>
            </w:tcBorders>
            <w:shd w:val="clear" w:color="auto" w:fill="D9EAF7"/>
            <w:tcMar>
              <w:top w:w="40" w:type="dxa"/>
              <w:left w:w="40" w:type="dxa"/>
              <w:bottom w:w="40" w:type="dxa"/>
              <w:right w:w="40" w:type="dxa"/>
            </w:tcMar>
            <w:vAlign w:val="center"/>
          </w:tcPr>
          <w:p w14:paraId="4BB6386A" w14:textId="5162C72D" w:rsidR="003A6AA0" w:rsidRPr="009008B4" w:rsidRDefault="003A6AA0" w:rsidP="00BC77CB">
            <w:pPr>
              <w:jc w:val="left"/>
              <w:rPr>
                <w:sz w:val="16"/>
                <w:szCs w:val="16"/>
              </w:rPr>
            </w:pPr>
            <w:r w:rsidRPr="009008B4">
              <w:rPr>
                <w:sz w:val="16"/>
                <w:szCs w:val="16"/>
              </w:rPr>
              <w:t>98 years</w:t>
            </w:r>
          </w:p>
        </w:tc>
      </w:tr>
      <w:tr w:rsidR="003A6AA0" w:rsidRPr="009008B4" w14:paraId="1DBCDBE3" w14:textId="77777777" w:rsidTr="000F019F">
        <w:trPr>
          <w:tblHeader/>
          <w:jc w:val="center"/>
        </w:trPr>
        <w:tc>
          <w:tcPr>
            <w:tcW w:w="964" w:type="dxa"/>
            <w:vMerge/>
            <w:tcBorders>
              <w:top w:val="nil"/>
              <w:left w:val="nil"/>
              <w:bottom w:val="nil"/>
              <w:right w:val="nil"/>
            </w:tcBorders>
            <w:tcMar>
              <w:top w:w="40" w:type="dxa"/>
              <w:left w:w="40" w:type="dxa"/>
              <w:bottom w:w="40" w:type="dxa"/>
              <w:right w:w="40" w:type="dxa"/>
            </w:tcMar>
            <w:vAlign w:val="center"/>
          </w:tcPr>
          <w:p w14:paraId="21057917" w14:textId="77777777" w:rsidR="003A6AA0" w:rsidRPr="009008B4" w:rsidRDefault="003A6AA0" w:rsidP="00BC77CB">
            <w:pPr>
              <w:jc w:val="left"/>
              <w:rPr>
                <w:sz w:val="16"/>
                <w:szCs w:val="16"/>
              </w:rPr>
            </w:pPr>
          </w:p>
        </w:tc>
        <w:tc>
          <w:tcPr>
            <w:tcW w:w="964" w:type="dxa"/>
            <w:tcBorders>
              <w:top w:val="single" w:sz="4" w:space="0" w:color="BFBFBF"/>
              <w:left w:val="nil"/>
              <w:bottom w:val="single" w:sz="4" w:space="0" w:color="BFBFBF"/>
              <w:right w:val="single" w:sz="4" w:space="0" w:color="BFBFBF"/>
            </w:tcBorders>
            <w:shd w:val="clear" w:color="auto" w:fill="D9EAF7"/>
            <w:tcMar>
              <w:top w:w="40" w:type="dxa"/>
              <w:left w:w="40" w:type="dxa"/>
              <w:bottom w:w="40" w:type="dxa"/>
              <w:right w:w="40" w:type="dxa"/>
            </w:tcMar>
            <w:vAlign w:val="center"/>
          </w:tcPr>
          <w:p w14:paraId="050D07F9" w14:textId="77777777" w:rsidR="003A6AA0" w:rsidRPr="009008B4" w:rsidRDefault="003A6AA0" w:rsidP="00BC77CB">
            <w:pPr>
              <w:jc w:val="left"/>
              <w:rPr>
                <w:sz w:val="16"/>
                <w:szCs w:val="16"/>
              </w:rPr>
            </w:pPr>
            <w:r w:rsidRPr="009008B4">
              <w:rPr>
                <w:sz w:val="16"/>
                <w:szCs w:val="16"/>
              </w:rPr>
              <w:t>Monolithic LU</w:t>
            </w:r>
          </w:p>
        </w:tc>
        <w:tc>
          <w:tcPr>
            <w:tcW w:w="964" w:type="dxa"/>
            <w:tcBorders>
              <w:top w:val="single" w:sz="4" w:space="0" w:color="BFBFBF"/>
              <w:left w:val="single" w:sz="4" w:space="0" w:color="BFBFBF"/>
              <w:bottom w:val="single" w:sz="4" w:space="0" w:color="BFBFBF"/>
              <w:right w:val="single" w:sz="4" w:space="0" w:color="BFBFBF"/>
            </w:tcBorders>
            <w:shd w:val="clear" w:color="auto" w:fill="D9EAF7"/>
            <w:tcMar>
              <w:top w:w="40" w:type="dxa"/>
              <w:left w:w="40" w:type="dxa"/>
              <w:bottom w:w="40" w:type="dxa"/>
              <w:right w:w="40" w:type="dxa"/>
            </w:tcMar>
            <w:vAlign w:val="center"/>
          </w:tcPr>
          <w:p w14:paraId="5FF79141" w14:textId="77777777" w:rsidR="003A6AA0" w:rsidRPr="009008B4" w:rsidRDefault="003A6AA0" w:rsidP="00BC77CB">
            <w:pPr>
              <w:jc w:val="left"/>
              <w:rPr>
                <w:sz w:val="16"/>
                <w:szCs w:val="16"/>
              </w:rPr>
            </w:pPr>
            <w:r w:rsidRPr="009008B4">
              <w:rPr>
                <w:sz w:val="16"/>
                <w:szCs w:val="16"/>
              </w:rPr>
              <w:t>Trails</w:t>
            </w:r>
          </w:p>
        </w:tc>
        <w:tc>
          <w:tcPr>
            <w:tcW w:w="964" w:type="dxa"/>
            <w:tcBorders>
              <w:top w:val="single" w:sz="4" w:space="0" w:color="BFBFBF"/>
              <w:left w:val="single" w:sz="4" w:space="0" w:color="BFBFBF"/>
              <w:bottom w:val="single" w:sz="4" w:space="0" w:color="BFBFBF"/>
              <w:right w:val="single" w:sz="4" w:space="0" w:color="BFBFBF"/>
            </w:tcBorders>
            <w:shd w:val="clear" w:color="auto" w:fill="D9EAF7"/>
            <w:tcMar>
              <w:top w:w="40" w:type="dxa"/>
              <w:left w:w="40" w:type="dxa"/>
              <w:bottom w:w="40" w:type="dxa"/>
              <w:right w:w="40" w:type="dxa"/>
            </w:tcMar>
            <w:vAlign w:val="center"/>
          </w:tcPr>
          <w:p w14:paraId="378C547D" w14:textId="77777777" w:rsidR="003A6AA0" w:rsidRPr="009008B4" w:rsidRDefault="003A6AA0" w:rsidP="00BC77CB">
            <w:pPr>
              <w:jc w:val="left"/>
              <w:rPr>
                <w:sz w:val="16"/>
                <w:szCs w:val="16"/>
              </w:rPr>
            </w:pPr>
            <w:r w:rsidRPr="009008B4">
              <w:rPr>
                <w:sz w:val="16"/>
                <w:szCs w:val="16"/>
              </w:rPr>
              <w:t>Monolithic LU</w:t>
            </w:r>
          </w:p>
        </w:tc>
        <w:tc>
          <w:tcPr>
            <w:tcW w:w="964" w:type="dxa"/>
            <w:tcBorders>
              <w:top w:val="single" w:sz="4" w:space="0" w:color="BFBFBF"/>
              <w:left w:val="single" w:sz="4" w:space="0" w:color="BFBFBF"/>
              <w:bottom w:val="single" w:sz="4" w:space="0" w:color="BFBFBF"/>
              <w:right w:val="single" w:sz="4" w:space="0" w:color="BFBFBF"/>
            </w:tcBorders>
            <w:shd w:val="clear" w:color="auto" w:fill="D9EAF7"/>
            <w:tcMar>
              <w:top w:w="40" w:type="dxa"/>
              <w:left w:w="40" w:type="dxa"/>
              <w:bottom w:w="40" w:type="dxa"/>
              <w:right w:w="40" w:type="dxa"/>
            </w:tcMar>
            <w:vAlign w:val="center"/>
          </w:tcPr>
          <w:p w14:paraId="1D920C24" w14:textId="77777777" w:rsidR="003A6AA0" w:rsidRPr="009008B4" w:rsidRDefault="003A6AA0" w:rsidP="00BC77CB">
            <w:pPr>
              <w:jc w:val="left"/>
              <w:rPr>
                <w:sz w:val="16"/>
                <w:szCs w:val="16"/>
              </w:rPr>
            </w:pPr>
            <w:r w:rsidRPr="009008B4">
              <w:rPr>
                <w:sz w:val="16"/>
                <w:szCs w:val="16"/>
              </w:rPr>
              <w:t>Trails</w:t>
            </w:r>
          </w:p>
        </w:tc>
        <w:tc>
          <w:tcPr>
            <w:tcW w:w="1129" w:type="dxa"/>
            <w:tcBorders>
              <w:top w:val="single" w:sz="4" w:space="0" w:color="BFBFBF"/>
              <w:left w:val="single" w:sz="4" w:space="0" w:color="BFBFBF"/>
              <w:bottom w:val="single" w:sz="4" w:space="0" w:color="BFBFBF"/>
              <w:right w:val="single" w:sz="4" w:space="0" w:color="BFBFBF"/>
            </w:tcBorders>
            <w:shd w:val="clear" w:color="auto" w:fill="D9EAF7"/>
            <w:tcMar>
              <w:top w:w="40" w:type="dxa"/>
              <w:left w:w="40" w:type="dxa"/>
              <w:bottom w:w="40" w:type="dxa"/>
              <w:right w:w="40" w:type="dxa"/>
            </w:tcMar>
            <w:vAlign w:val="center"/>
          </w:tcPr>
          <w:p w14:paraId="06E8748F" w14:textId="77777777" w:rsidR="003A6AA0" w:rsidRPr="009008B4" w:rsidRDefault="003A6AA0" w:rsidP="00BC77CB">
            <w:pPr>
              <w:jc w:val="left"/>
              <w:rPr>
                <w:sz w:val="16"/>
                <w:szCs w:val="16"/>
              </w:rPr>
            </w:pPr>
            <w:r w:rsidRPr="009008B4">
              <w:rPr>
                <w:sz w:val="16"/>
                <w:szCs w:val="16"/>
              </w:rPr>
              <w:t>Monolithic LU</w:t>
            </w:r>
          </w:p>
        </w:tc>
        <w:tc>
          <w:tcPr>
            <w:tcW w:w="799" w:type="dxa"/>
            <w:tcBorders>
              <w:top w:val="single" w:sz="4" w:space="0" w:color="BFBFBF"/>
              <w:left w:val="single" w:sz="4" w:space="0" w:color="BFBFBF"/>
              <w:bottom w:val="single" w:sz="4" w:space="0" w:color="BFBFBF"/>
              <w:right w:val="single" w:sz="4" w:space="0" w:color="BFBFBF"/>
            </w:tcBorders>
            <w:shd w:val="clear" w:color="auto" w:fill="D9EAF7"/>
            <w:tcMar>
              <w:top w:w="40" w:type="dxa"/>
              <w:left w:w="40" w:type="dxa"/>
              <w:bottom w:w="40" w:type="dxa"/>
              <w:right w:w="40" w:type="dxa"/>
            </w:tcMar>
            <w:vAlign w:val="center"/>
          </w:tcPr>
          <w:p w14:paraId="1ECC3D43" w14:textId="77777777" w:rsidR="003A6AA0" w:rsidRPr="009008B4" w:rsidRDefault="003A6AA0" w:rsidP="00BC77CB">
            <w:pPr>
              <w:jc w:val="left"/>
              <w:rPr>
                <w:sz w:val="16"/>
                <w:szCs w:val="16"/>
              </w:rPr>
            </w:pPr>
            <w:r w:rsidRPr="009008B4">
              <w:rPr>
                <w:sz w:val="16"/>
                <w:szCs w:val="16"/>
              </w:rPr>
              <w:t>Trails</w:t>
            </w:r>
          </w:p>
        </w:tc>
        <w:tc>
          <w:tcPr>
            <w:tcW w:w="964" w:type="dxa"/>
            <w:tcBorders>
              <w:top w:val="single" w:sz="4" w:space="0" w:color="BFBFBF"/>
              <w:left w:val="single" w:sz="4" w:space="0" w:color="BFBFBF"/>
              <w:bottom w:val="single" w:sz="4" w:space="0" w:color="BFBFBF"/>
              <w:right w:val="single" w:sz="4" w:space="0" w:color="BFBFBF"/>
            </w:tcBorders>
            <w:shd w:val="clear" w:color="auto" w:fill="D9EAF7"/>
            <w:vAlign w:val="center"/>
          </w:tcPr>
          <w:p w14:paraId="1C56E65E" w14:textId="77777777" w:rsidR="003A6AA0" w:rsidRPr="009008B4" w:rsidRDefault="003A6AA0" w:rsidP="00BC77CB">
            <w:pPr>
              <w:jc w:val="left"/>
              <w:rPr>
                <w:sz w:val="16"/>
                <w:szCs w:val="16"/>
              </w:rPr>
            </w:pPr>
            <w:r w:rsidRPr="009008B4">
              <w:rPr>
                <w:sz w:val="16"/>
                <w:szCs w:val="16"/>
              </w:rPr>
              <w:t>Monolithic LU</w:t>
            </w:r>
          </w:p>
        </w:tc>
        <w:tc>
          <w:tcPr>
            <w:tcW w:w="964" w:type="dxa"/>
            <w:tcBorders>
              <w:top w:val="single" w:sz="4" w:space="0" w:color="BFBFBF"/>
              <w:left w:val="single" w:sz="4" w:space="0" w:color="BFBFBF"/>
              <w:bottom w:val="single" w:sz="4" w:space="0" w:color="BFBFBF"/>
              <w:right w:val="single" w:sz="4" w:space="0" w:color="BFBFBF"/>
            </w:tcBorders>
            <w:shd w:val="clear" w:color="auto" w:fill="D9EAF7"/>
            <w:vAlign w:val="center"/>
          </w:tcPr>
          <w:p w14:paraId="4CD07260" w14:textId="77777777" w:rsidR="003A6AA0" w:rsidRPr="009008B4" w:rsidRDefault="003A6AA0" w:rsidP="00BC77CB">
            <w:pPr>
              <w:jc w:val="left"/>
              <w:rPr>
                <w:sz w:val="16"/>
                <w:szCs w:val="16"/>
              </w:rPr>
            </w:pPr>
            <w:r w:rsidRPr="009008B4">
              <w:rPr>
                <w:sz w:val="16"/>
                <w:szCs w:val="16"/>
              </w:rPr>
              <w:t>Trails</w:t>
            </w:r>
          </w:p>
        </w:tc>
        <w:tc>
          <w:tcPr>
            <w:tcW w:w="964" w:type="dxa"/>
            <w:tcBorders>
              <w:top w:val="single" w:sz="4" w:space="0" w:color="BFBFBF"/>
              <w:left w:val="single" w:sz="4" w:space="0" w:color="BFBFBF"/>
              <w:bottom w:val="single" w:sz="4" w:space="0" w:color="BFBFBF"/>
              <w:right w:val="single" w:sz="4" w:space="0" w:color="BFBFBF"/>
            </w:tcBorders>
            <w:shd w:val="clear" w:color="auto" w:fill="D9EAF7"/>
            <w:tcMar>
              <w:top w:w="40" w:type="dxa"/>
              <w:left w:w="40" w:type="dxa"/>
              <w:bottom w:w="40" w:type="dxa"/>
              <w:right w:w="40" w:type="dxa"/>
            </w:tcMar>
            <w:vAlign w:val="center"/>
          </w:tcPr>
          <w:p w14:paraId="73C098A0" w14:textId="77777777" w:rsidR="003A6AA0" w:rsidRPr="009008B4" w:rsidRDefault="003A6AA0" w:rsidP="00BC77CB">
            <w:pPr>
              <w:jc w:val="left"/>
              <w:rPr>
                <w:sz w:val="16"/>
                <w:szCs w:val="16"/>
              </w:rPr>
            </w:pPr>
            <w:r w:rsidRPr="009008B4">
              <w:rPr>
                <w:sz w:val="16"/>
                <w:szCs w:val="16"/>
              </w:rPr>
              <w:t>Monolithic LU</w:t>
            </w:r>
          </w:p>
        </w:tc>
        <w:tc>
          <w:tcPr>
            <w:tcW w:w="964" w:type="dxa"/>
            <w:tcBorders>
              <w:top w:val="single" w:sz="4" w:space="0" w:color="BFBFBF"/>
              <w:left w:val="single" w:sz="4" w:space="0" w:color="BFBFBF"/>
              <w:bottom w:val="single" w:sz="4" w:space="0" w:color="BFBFBF"/>
              <w:right w:val="single" w:sz="4" w:space="0" w:color="BFBFBF"/>
            </w:tcBorders>
            <w:shd w:val="clear" w:color="auto" w:fill="D9EAF7"/>
            <w:tcMar>
              <w:top w:w="40" w:type="dxa"/>
              <w:left w:w="40" w:type="dxa"/>
              <w:bottom w:w="40" w:type="dxa"/>
              <w:right w:w="40" w:type="dxa"/>
            </w:tcMar>
            <w:vAlign w:val="center"/>
          </w:tcPr>
          <w:p w14:paraId="3EAC2477" w14:textId="77777777" w:rsidR="003A6AA0" w:rsidRPr="009008B4" w:rsidRDefault="003A6AA0" w:rsidP="00BC77CB">
            <w:pPr>
              <w:jc w:val="left"/>
              <w:rPr>
                <w:sz w:val="16"/>
                <w:szCs w:val="16"/>
              </w:rPr>
            </w:pPr>
            <w:r w:rsidRPr="009008B4">
              <w:rPr>
                <w:sz w:val="16"/>
                <w:szCs w:val="16"/>
              </w:rPr>
              <w:t>Trails</w:t>
            </w:r>
          </w:p>
        </w:tc>
      </w:tr>
      <w:tr w:rsidR="003A6AA0" w:rsidRPr="009008B4" w14:paraId="0CCE84F1" w14:textId="77777777" w:rsidTr="000F019F">
        <w:trPr>
          <w:jc w:val="center"/>
        </w:trPr>
        <w:tc>
          <w:tcPr>
            <w:tcW w:w="964" w:type="dxa"/>
            <w:tcBorders>
              <w:top w:val="nil"/>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6CFFCA1C" w14:textId="77777777" w:rsidR="003A6AA0" w:rsidRPr="009008B4" w:rsidRDefault="003A6AA0" w:rsidP="00BC77CB">
            <w:pPr>
              <w:jc w:val="left"/>
              <w:rPr>
                <w:sz w:val="16"/>
                <w:szCs w:val="16"/>
              </w:rPr>
            </w:pPr>
            <w:r w:rsidRPr="009008B4">
              <w:rPr>
                <w:sz w:val="16"/>
                <w:szCs w:val="16"/>
              </w:rPr>
              <w:t>Years</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2BF98F0E" w14:textId="77777777" w:rsidR="003A6AA0" w:rsidRPr="009008B4" w:rsidRDefault="003A6AA0" w:rsidP="00BC77CB">
            <w:pPr>
              <w:jc w:val="left"/>
              <w:rPr>
                <w:sz w:val="16"/>
                <w:szCs w:val="16"/>
              </w:rPr>
            </w:pPr>
            <w:r w:rsidRPr="009008B4">
              <w:rPr>
                <w:sz w:val="16"/>
                <w:szCs w:val="16"/>
              </w:rPr>
              <w:t>2025</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1FF1E1BB" w14:textId="77777777" w:rsidR="003A6AA0" w:rsidRPr="009008B4" w:rsidRDefault="003A6AA0" w:rsidP="00BC77CB">
            <w:pPr>
              <w:jc w:val="left"/>
              <w:rPr>
                <w:sz w:val="16"/>
                <w:szCs w:val="16"/>
              </w:rPr>
            </w:pPr>
            <w:r w:rsidRPr="009008B4">
              <w:rPr>
                <w:sz w:val="16"/>
                <w:szCs w:val="16"/>
              </w:rPr>
              <w:t>2025</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1D6D8E04" w14:textId="77777777" w:rsidR="003A6AA0" w:rsidRPr="009008B4" w:rsidRDefault="003A6AA0" w:rsidP="00BC77CB">
            <w:pPr>
              <w:jc w:val="left"/>
              <w:rPr>
                <w:sz w:val="16"/>
                <w:szCs w:val="16"/>
              </w:rPr>
            </w:pPr>
            <w:r w:rsidRPr="009008B4">
              <w:rPr>
                <w:sz w:val="16"/>
                <w:szCs w:val="16"/>
              </w:rPr>
              <w:t>2024–2025</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0EEDE315" w14:textId="77777777" w:rsidR="003A6AA0" w:rsidRPr="009008B4" w:rsidRDefault="003A6AA0" w:rsidP="00BC77CB">
            <w:pPr>
              <w:jc w:val="left"/>
              <w:rPr>
                <w:sz w:val="16"/>
                <w:szCs w:val="16"/>
              </w:rPr>
            </w:pPr>
            <w:r w:rsidRPr="009008B4">
              <w:rPr>
                <w:sz w:val="16"/>
                <w:szCs w:val="16"/>
              </w:rPr>
              <w:t>2024–2025</w:t>
            </w:r>
          </w:p>
        </w:tc>
        <w:tc>
          <w:tcPr>
            <w:tcW w:w="1129"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572D55DF" w14:textId="77777777" w:rsidR="003A6AA0" w:rsidRPr="009008B4" w:rsidRDefault="003A6AA0" w:rsidP="00BC77CB">
            <w:pPr>
              <w:jc w:val="left"/>
              <w:rPr>
                <w:sz w:val="16"/>
                <w:szCs w:val="16"/>
              </w:rPr>
            </w:pPr>
            <w:r w:rsidRPr="009008B4">
              <w:rPr>
                <w:sz w:val="16"/>
                <w:szCs w:val="16"/>
              </w:rPr>
              <w:t>2023–2025</w:t>
            </w:r>
          </w:p>
        </w:tc>
        <w:tc>
          <w:tcPr>
            <w:tcW w:w="799"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01444387" w14:textId="77777777" w:rsidR="003A6AA0" w:rsidRPr="009008B4" w:rsidRDefault="003A6AA0" w:rsidP="00BC77CB">
            <w:pPr>
              <w:jc w:val="left"/>
              <w:rPr>
                <w:sz w:val="16"/>
                <w:szCs w:val="16"/>
              </w:rPr>
            </w:pPr>
            <w:r w:rsidRPr="009008B4">
              <w:rPr>
                <w:sz w:val="16"/>
                <w:szCs w:val="16"/>
              </w:rPr>
              <w:t>2023–2025</w:t>
            </w:r>
          </w:p>
        </w:tc>
        <w:tc>
          <w:tcPr>
            <w:tcW w:w="964" w:type="dxa"/>
            <w:tcBorders>
              <w:top w:val="single" w:sz="4" w:space="0" w:color="BFBFBF"/>
              <w:left w:val="single" w:sz="4" w:space="0" w:color="BFBFBF"/>
              <w:bottom w:val="single" w:sz="4" w:space="0" w:color="BFBFBF"/>
              <w:right w:val="single" w:sz="4" w:space="0" w:color="BFBFBF"/>
            </w:tcBorders>
            <w:shd w:val="clear" w:color="auto" w:fill="F7F7F7"/>
            <w:vAlign w:val="center"/>
          </w:tcPr>
          <w:p w14:paraId="32DF3AA8" w14:textId="77777777" w:rsidR="003A6AA0" w:rsidRPr="009008B4" w:rsidRDefault="003A6AA0" w:rsidP="00BC77CB">
            <w:pPr>
              <w:jc w:val="left"/>
              <w:rPr>
                <w:sz w:val="16"/>
                <w:szCs w:val="16"/>
              </w:rPr>
            </w:pPr>
            <w:r w:rsidRPr="009008B4">
              <w:rPr>
                <w:sz w:val="16"/>
                <w:szCs w:val="16"/>
              </w:rPr>
              <w:t>2022–2025</w:t>
            </w:r>
          </w:p>
        </w:tc>
        <w:tc>
          <w:tcPr>
            <w:tcW w:w="964" w:type="dxa"/>
            <w:tcBorders>
              <w:top w:val="single" w:sz="4" w:space="0" w:color="BFBFBF"/>
              <w:left w:val="single" w:sz="4" w:space="0" w:color="BFBFBF"/>
              <w:bottom w:val="single" w:sz="4" w:space="0" w:color="BFBFBF"/>
              <w:right w:val="single" w:sz="4" w:space="0" w:color="BFBFBF"/>
            </w:tcBorders>
            <w:shd w:val="clear" w:color="auto" w:fill="F7F7F7"/>
            <w:vAlign w:val="center"/>
          </w:tcPr>
          <w:p w14:paraId="38DA03BE" w14:textId="77777777" w:rsidR="003A6AA0" w:rsidRPr="009008B4" w:rsidRDefault="003A6AA0" w:rsidP="00BC77CB">
            <w:pPr>
              <w:jc w:val="left"/>
              <w:rPr>
                <w:sz w:val="16"/>
                <w:szCs w:val="16"/>
              </w:rPr>
            </w:pPr>
            <w:r w:rsidRPr="009008B4">
              <w:rPr>
                <w:sz w:val="16"/>
                <w:szCs w:val="16"/>
              </w:rPr>
              <w:t>2022–2025</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1ECE64A8" w14:textId="77777777" w:rsidR="003A6AA0" w:rsidRPr="009008B4" w:rsidRDefault="003A6AA0" w:rsidP="00BC77CB">
            <w:pPr>
              <w:jc w:val="left"/>
              <w:rPr>
                <w:sz w:val="16"/>
                <w:szCs w:val="16"/>
              </w:rPr>
            </w:pPr>
            <w:r w:rsidRPr="009008B4">
              <w:rPr>
                <w:sz w:val="16"/>
                <w:szCs w:val="16"/>
              </w:rPr>
              <w:t>2004–2101</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6EF84DFB" w14:textId="77777777" w:rsidR="003A6AA0" w:rsidRPr="009008B4" w:rsidRDefault="003A6AA0" w:rsidP="00BC77CB">
            <w:pPr>
              <w:jc w:val="left"/>
              <w:rPr>
                <w:sz w:val="16"/>
                <w:szCs w:val="16"/>
              </w:rPr>
            </w:pPr>
            <w:r w:rsidRPr="009008B4">
              <w:rPr>
                <w:sz w:val="16"/>
                <w:szCs w:val="16"/>
              </w:rPr>
              <w:t>2004–2101</w:t>
            </w:r>
          </w:p>
        </w:tc>
      </w:tr>
      <w:tr w:rsidR="003A6AA0" w:rsidRPr="009008B4" w14:paraId="3552B2B8" w14:textId="77777777" w:rsidTr="00BC77CB">
        <w:trPr>
          <w:jc w:val="center"/>
        </w:trPr>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46D484ED" w14:textId="77777777" w:rsidR="003A6AA0" w:rsidRPr="009008B4" w:rsidRDefault="003A6AA0" w:rsidP="00BC77CB">
            <w:pPr>
              <w:jc w:val="left"/>
              <w:rPr>
                <w:sz w:val="16"/>
                <w:szCs w:val="16"/>
              </w:rPr>
            </w:pPr>
            <w:r w:rsidRPr="009008B4">
              <w:rPr>
                <w:sz w:val="16"/>
                <w:szCs w:val="16"/>
              </w:rPr>
              <w:t>Matrix / solve size</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61FC63C5" w14:textId="77777777" w:rsidR="003A6AA0" w:rsidRPr="009008B4" w:rsidRDefault="003A6AA0" w:rsidP="00BC77CB">
            <w:pPr>
              <w:jc w:val="left"/>
              <w:rPr>
                <w:sz w:val="16"/>
                <w:szCs w:val="16"/>
              </w:rPr>
            </w:pPr>
            <w:r w:rsidRPr="009008B4">
              <w:rPr>
                <w:sz w:val="16"/>
                <w:szCs w:val="16"/>
              </w:rPr>
              <w:t>42,300 × 42,300; 482,387 nnz</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2A8C5715" w14:textId="77777777" w:rsidR="003A6AA0" w:rsidRPr="009008B4" w:rsidRDefault="003A6AA0" w:rsidP="00BC77CB">
            <w:pPr>
              <w:jc w:val="left"/>
              <w:rPr>
                <w:sz w:val="16"/>
                <w:szCs w:val="16"/>
              </w:rPr>
            </w:pPr>
            <w:r w:rsidRPr="009008B4">
              <w:rPr>
                <w:sz w:val="16"/>
                <w:szCs w:val="16"/>
              </w:rPr>
              <w:t>42,300 × 42,300</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64F5844A" w14:textId="77777777" w:rsidR="003A6AA0" w:rsidRPr="009008B4" w:rsidRDefault="003A6AA0" w:rsidP="00BC77CB">
            <w:pPr>
              <w:jc w:val="left"/>
              <w:rPr>
                <w:sz w:val="16"/>
                <w:szCs w:val="16"/>
              </w:rPr>
            </w:pPr>
            <w:r w:rsidRPr="009008B4">
              <w:rPr>
                <w:sz w:val="16"/>
                <w:szCs w:val="16"/>
              </w:rPr>
              <w:t>84,600 × 84,600; 997,882 nnz</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39E0E58C" w14:textId="77777777" w:rsidR="003A6AA0" w:rsidRPr="009008B4" w:rsidRDefault="003A6AA0" w:rsidP="00BC77CB">
            <w:pPr>
              <w:jc w:val="left"/>
              <w:rPr>
                <w:sz w:val="16"/>
                <w:szCs w:val="16"/>
              </w:rPr>
            </w:pPr>
            <w:r w:rsidRPr="009008B4">
              <w:rPr>
                <w:sz w:val="16"/>
                <w:szCs w:val="16"/>
              </w:rPr>
              <w:t>42,300 × 42,300</w:t>
            </w:r>
          </w:p>
        </w:tc>
        <w:tc>
          <w:tcPr>
            <w:tcW w:w="1129"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03D2FD76" w14:textId="77777777" w:rsidR="003A6AA0" w:rsidRPr="009008B4" w:rsidRDefault="003A6AA0" w:rsidP="00BC77CB">
            <w:pPr>
              <w:jc w:val="left"/>
              <w:rPr>
                <w:sz w:val="16"/>
                <w:szCs w:val="16"/>
              </w:rPr>
            </w:pPr>
            <w:r w:rsidRPr="009008B4">
              <w:rPr>
                <w:sz w:val="16"/>
                <w:szCs w:val="16"/>
              </w:rPr>
              <w:t>126,900 × 126,900; 1,517,500 nnz</w:t>
            </w:r>
          </w:p>
        </w:tc>
        <w:tc>
          <w:tcPr>
            <w:tcW w:w="799"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505243ED" w14:textId="77777777" w:rsidR="003A6AA0" w:rsidRPr="009008B4" w:rsidRDefault="003A6AA0" w:rsidP="00BC77CB">
            <w:pPr>
              <w:jc w:val="left"/>
              <w:rPr>
                <w:sz w:val="16"/>
                <w:szCs w:val="16"/>
              </w:rPr>
            </w:pPr>
            <w:r w:rsidRPr="009008B4">
              <w:rPr>
                <w:sz w:val="16"/>
                <w:szCs w:val="16"/>
              </w:rPr>
              <w:t>42,300 × 42,300</w:t>
            </w:r>
          </w:p>
        </w:tc>
        <w:tc>
          <w:tcPr>
            <w:tcW w:w="964" w:type="dxa"/>
            <w:tcBorders>
              <w:top w:val="single" w:sz="4" w:space="0" w:color="BFBFBF"/>
              <w:left w:val="single" w:sz="4" w:space="0" w:color="BFBFBF"/>
              <w:bottom w:val="single" w:sz="4" w:space="0" w:color="BFBFBF"/>
              <w:right w:val="single" w:sz="4" w:space="0" w:color="BFBFBF"/>
            </w:tcBorders>
            <w:vAlign w:val="center"/>
          </w:tcPr>
          <w:p w14:paraId="7F04AD71" w14:textId="77777777" w:rsidR="003A6AA0" w:rsidRPr="009008B4" w:rsidRDefault="003A6AA0" w:rsidP="00BC77CB">
            <w:pPr>
              <w:jc w:val="left"/>
              <w:rPr>
                <w:sz w:val="16"/>
                <w:szCs w:val="16"/>
              </w:rPr>
            </w:pPr>
            <w:r w:rsidRPr="009008B4">
              <w:rPr>
                <w:sz w:val="16"/>
                <w:szCs w:val="16"/>
              </w:rPr>
              <w:t>169,200 × 169,200; 2,037,270 nnz</w:t>
            </w:r>
          </w:p>
        </w:tc>
        <w:tc>
          <w:tcPr>
            <w:tcW w:w="964" w:type="dxa"/>
            <w:tcBorders>
              <w:top w:val="single" w:sz="4" w:space="0" w:color="BFBFBF"/>
              <w:left w:val="single" w:sz="4" w:space="0" w:color="BFBFBF"/>
              <w:bottom w:val="single" w:sz="4" w:space="0" w:color="BFBFBF"/>
              <w:right w:val="single" w:sz="4" w:space="0" w:color="BFBFBF"/>
            </w:tcBorders>
            <w:vAlign w:val="center"/>
          </w:tcPr>
          <w:p w14:paraId="717EB9CA" w14:textId="77777777" w:rsidR="003A6AA0" w:rsidRPr="009008B4" w:rsidRDefault="003A6AA0" w:rsidP="00BC77CB">
            <w:pPr>
              <w:jc w:val="left"/>
              <w:rPr>
                <w:sz w:val="16"/>
                <w:szCs w:val="16"/>
              </w:rPr>
            </w:pPr>
            <w:r w:rsidRPr="009008B4">
              <w:rPr>
                <w:sz w:val="16"/>
                <w:szCs w:val="16"/>
              </w:rPr>
              <w:t>42,300 × 42,300</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25AA703F" w14:textId="77777777" w:rsidR="003A6AA0" w:rsidRPr="009008B4" w:rsidRDefault="003A6AA0" w:rsidP="00BC77CB">
            <w:pPr>
              <w:jc w:val="left"/>
              <w:rPr>
                <w:sz w:val="16"/>
                <w:szCs w:val="16"/>
              </w:rPr>
            </w:pPr>
            <w:r w:rsidRPr="009008B4">
              <w:rPr>
                <w:sz w:val="16"/>
                <w:szCs w:val="16"/>
              </w:rPr>
              <w:t>4,145,400 × 4,145,400; 56,222,969 nnz</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16A0F017" w14:textId="77777777" w:rsidR="003A6AA0" w:rsidRPr="009008B4" w:rsidRDefault="003A6AA0" w:rsidP="00BC77CB">
            <w:pPr>
              <w:jc w:val="left"/>
              <w:rPr>
                <w:sz w:val="16"/>
                <w:szCs w:val="16"/>
              </w:rPr>
            </w:pPr>
            <w:r w:rsidRPr="009008B4">
              <w:rPr>
                <w:sz w:val="16"/>
                <w:szCs w:val="16"/>
              </w:rPr>
              <w:t>98 systems; 49,162,344 nnz in the Trails A tensor</w:t>
            </w:r>
          </w:p>
        </w:tc>
      </w:tr>
      <w:tr w:rsidR="003A6AA0" w:rsidRPr="009008B4" w14:paraId="7DD23F92" w14:textId="77777777" w:rsidTr="00BC77CB">
        <w:trPr>
          <w:jc w:val="center"/>
        </w:trPr>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3727559B" w14:textId="77777777" w:rsidR="003A6AA0" w:rsidRPr="009008B4" w:rsidRDefault="003A6AA0" w:rsidP="00BC77CB">
            <w:pPr>
              <w:jc w:val="left"/>
              <w:rPr>
                <w:sz w:val="16"/>
                <w:szCs w:val="16"/>
              </w:rPr>
            </w:pPr>
            <w:r w:rsidRPr="009008B4">
              <w:rPr>
                <w:sz w:val="16"/>
                <w:szCs w:val="16"/>
              </w:rPr>
              <w:t>Cross-year temporal entries</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7B0BFE6F" w14:textId="77777777" w:rsidR="003A6AA0" w:rsidRPr="009008B4" w:rsidRDefault="003A6AA0" w:rsidP="00BC77CB">
            <w:pPr>
              <w:jc w:val="left"/>
              <w:rPr>
                <w:sz w:val="16"/>
                <w:szCs w:val="16"/>
              </w:rPr>
            </w:pPr>
            <w:r w:rsidRPr="009008B4">
              <w:rPr>
                <w:sz w:val="16"/>
                <w:szCs w:val="16"/>
              </w:rPr>
              <w:t>0</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162CF471" w14:textId="77777777" w:rsidR="003A6AA0" w:rsidRPr="009008B4" w:rsidRDefault="003A6AA0" w:rsidP="00BC77CB">
            <w:pPr>
              <w:jc w:val="left"/>
              <w:rPr>
                <w:sz w:val="16"/>
                <w:szCs w:val="16"/>
              </w:rPr>
            </w:pPr>
            <w:r w:rsidRPr="009008B4">
              <w:rPr>
                <w:sz w:val="16"/>
                <w:szCs w:val="16"/>
              </w:rPr>
              <w:t>0</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55AA6027" w14:textId="77777777" w:rsidR="003A6AA0" w:rsidRPr="009008B4" w:rsidRDefault="003A6AA0" w:rsidP="00BC77CB">
            <w:pPr>
              <w:jc w:val="left"/>
              <w:rPr>
                <w:sz w:val="16"/>
                <w:szCs w:val="16"/>
              </w:rPr>
            </w:pPr>
            <w:r w:rsidRPr="009008B4">
              <w:rPr>
                <w:sz w:val="16"/>
                <w:szCs w:val="16"/>
              </w:rPr>
              <w:t>13,834</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04378E7D" w14:textId="77777777" w:rsidR="003A6AA0" w:rsidRPr="009008B4" w:rsidRDefault="003A6AA0" w:rsidP="00BC77CB">
            <w:pPr>
              <w:jc w:val="left"/>
              <w:rPr>
                <w:sz w:val="16"/>
                <w:szCs w:val="16"/>
              </w:rPr>
            </w:pPr>
            <w:r w:rsidRPr="009008B4">
              <w:rPr>
                <w:sz w:val="16"/>
                <w:szCs w:val="16"/>
              </w:rPr>
              <w:t>13,834</w:t>
            </w:r>
          </w:p>
        </w:tc>
        <w:tc>
          <w:tcPr>
            <w:tcW w:w="1129"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62620E7A" w14:textId="77777777" w:rsidR="003A6AA0" w:rsidRPr="009008B4" w:rsidRDefault="003A6AA0" w:rsidP="00BC77CB">
            <w:pPr>
              <w:jc w:val="left"/>
              <w:rPr>
                <w:sz w:val="16"/>
                <w:szCs w:val="16"/>
              </w:rPr>
            </w:pPr>
            <w:r w:rsidRPr="009008B4">
              <w:rPr>
                <w:sz w:val="16"/>
                <w:szCs w:val="16"/>
              </w:rPr>
              <w:t>31,791</w:t>
            </w:r>
          </w:p>
        </w:tc>
        <w:tc>
          <w:tcPr>
            <w:tcW w:w="799"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66D23995" w14:textId="77777777" w:rsidR="003A6AA0" w:rsidRPr="009008B4" w:rsidRDefault="003A6AA0" w:rsidP="00BC77CB">
            <w:pPr>
              <w:jc w:val="left"/>
              <w:rPr>
                <w:sz w:val="16"/>
                <w:szCs w:val="16"/>
              </w:rPr>
            </w:pPr>
            <w:r w:rsidRPr="009008B4">
              <w:rPr>
                <w:sz w:val="16"/>
                <w:szCs w:val="16"/>
              </w:rPr>
              <w:t>31,791</w:t>
            </w:r>
          </w:p>
        </w:tc>
        <w:tc>
          <w:tcPr>
            <w:tcW w:w="964" w:type="dxa"/>
            <w:tcBorders>
              <w:top w:val="single" w:sz="4" w:space="0" w:color="BFBFBF"/>
              <w:left w:val="single" w:sz="4" w:space="0" w:color="BFBFBF"/>
              <w:bottom w:val="single" w:sz="4" w:space="0" w:color="BFBFBF"/>
              <w:right w:val="single" w:sz="4" w:space="0" w:color="BFBFBF"/>
            </w:tcBorders>
            <w:shd w:val="clear" w:color="auto" w:fill="F7F7F7"/>
            <w:vAlign w:val="center"/>
          </w:tcPr>
          <w:p w14:paraId="29F7EC1C" w14:textId="77777777" w:rsidR="003A6AA0" w:rsidRPr="009008B4" w:rsidRDefault="003A6AA0" w:rsidP="00BC77CB">
            <w:pPr>
              <w:jc w:val="left"/>
              <w:rPr>
                <w:sz w:val="16"/>
                <w:szCs w:val="16"/>
              </w:rPr>
            </w:pPr>
            <w:r w:rsidRPr="009008B4">
              <w:rPr>
                <w:sz w:val="16"/>
                <w:szCs w:val="16"/>
              </w:rPr>
              <w:t>49,900</w:t>
            </w:r>
          </w:p>
        </w:tc>
        <w:tc>
          <w:tcPr>
            <w:tcW w:w="964" w:type="dxa"/>
            <w:tcBorders>
              <w:top w:val="single" w:sz="4" w:space="0" w:color="BFBFBF"/>
              <w:left w:val="single" w:sz="4" w:space="0" w:color="BFBFBF"/>
              <w:bottom w:val="single" w:sz="4" w:space="0" w:color="BFBFBF"/>
              <w:right w:val="single" w:sz="4" w:space="0" w:color="BFBFBF"/>
            </w:tcBorders>
            <w:shd w:val="clear" w:color="auto" w:fill="F7F7F7"/>
            <w:vAlign w:val="center"/>
          </w:tcPr>
          <w:p w14:paraId="2729C5FD" w14:textId="77777777" w:rsidR="003A6AA0" w:rsidRPr="009008B4" w:rsidRDefault="003A6AA0" w:rsidP="00BC77CB">
            <w:pPr>
              <w:jc w:val="left"/>
              <w:rPr>
                <w:sz w:val="16"/>
                <w:szCs w:val="16"/>
              </w:rPr>
            </w:pPr>
            <w:r w:rsidRPr="009008B4">
              <w:rPr>
                <w:sz w:val="16"/>
                <w:szCs w:val="16"/>
              </w:rPr>
              <w:t>49,900</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089D5042" w14:textId="77777777" w:rsidR="003A6AA0" w:rsidRPr="009008B4" w:rsidRDefault="003A6AA0" w:rsidP="00BC77CB">
            <w:pPr>
              <w:jc w:val="left"/>
              <w:rPr>
                <w:sz w:val="16"/>
                <w:szCs w:val="16"/>
              </w:rPr>
            </w:pPr>
            <w:r w:rsidRPr="009008B4">
              <w:rPr>
                <w:sz w:val="16"/>
                <w:szCs w:val="16"/>
              </w:rPr>
              <w:t>10,422,112</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161CA32F" w14:textId="77777777" w:rsidR="003A6AA0" w:rsidRPr="009008B4" w:rsidRDefault="003A6AA0" w:rsidP="00BC77CB">
            <w:pPr>
              <w:jc w:val="left"/>
              <w:rPr>
                <w:sz w:val="16"/>
                <w:szCs w:val="16"/>
              </w:rPr>
            </w:pPr>
            <w:r w:rsidRPr="009008B4">
              <w:rPr>
                <w:sz w:val="16"/>
                <w:szCs w:val="16"/>
              </w:rPr>
              <w:t>10,422,112</w:t>
            </w:r>
          </w:p>
        </w:tc>
      </w:tr>
      <w:tr w:rsidR="003A6AA0" w:rsidRPr="009008B4" w14:paraId="583CD4DE" w14:textId="77777777" w:rsidTr="00BC77CB">
        <w:trPr>
          <w:jc w:val="center"/>
        </w:trPr>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63AD062F" w14:textId="77777777" w:rsidR="003A6AA0" w:rsidRPr="009008B4" w:rsidRDefault="003A6AA0" w:rsidP="00BC77CB">
            <w:pPr>
              <w:jc w:val="left"/>
              <w:rPr>
                <w:sz w:val="16"/>
                <w:szCs w:val="16"/>
              </w:rPr>
            </w:pPr>
            <w:r w:rsidRPr="009008B4">
              <w:rPr>
                <w:sz w:val="16"/>
                <w:szCs w:val="16"/>
              </w:rPr>
              <w:t>Sparse matrix storage</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7FD3172E" w14:textId="77777777" w:rsidR="003A6AA0" w:rsidRPr="009008B4" w:rsidRDefault="003A6AA0" w:rsidP="00BC77CB">
            <w:pPr>
              <w:jc w:val="left"/>
              <w:rPr>
                <w:sz w:val="16"/>
                <w:szCs w:val="16"/>
              </w:rPr>
            </w:pPr>
            <w:r w:rsidRPr="009008B4">
              <w:rPr>
                <w:sz w:val="16"/>
                <w:szCs w:val="16"/>
              </w:rPr>
              <w:t>5.68 MiB</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602D454E" w14:textId="77777777" w:rsidR="003A6AA0" w:rsidRPr="009008B4" w:rsidRDefault="003A6AA0" w:rsidP="00BC77CB">
            <w:pPr>
              <w:jc w:val="left"/>
              <w:rPr>
                <w:sz w:val="16"/>
                <w:szCs w:val="16"/>
              </w:rPr>
            </w:pPr>
            <w:r w:rsidRPr="009008B4">
              <w:rPr>
                <w:sz w:val="16"/>
                <w:szCs w:val="16"/>
              </w:rPr>
              <w:t>5.90 MiB</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43C8BC71" w14:textId="77777777" w:rsidR="003A6AA0" w:rsidRPr="009008B4" w:rsidRDefault="003A6AA0" w:rsidP="00BC77CB">
            <w:pPr>
              <w:jc w:val="left"/>
              <w:rPr>
                <w:sz w:val="16"/>
                <w:szCs w:val="16"/>
              </w:rPr>
            </w:pPr>
            <w:r w:rsidRPr="009008B4">
              <w:rPr>
                <w:sz w:val="16"/>
                <w:szCs w:val="16"/>
              </w:rPr>
              <w:t>11.74 MiB</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06F2259A" w14:textId="77777777" w:rsidR="003A6AA0" w:rsidRPr="009008B4" w:rsidRDefault="003A6AA0" w:rsidP="00BC77CB">
            <w:pPr>
              <w:jc w:val="left"/>
              <w:rPr>
                <w:sz w:val="16"/>
                <w:szCs w:val="16"/>
              </w:rPr>
            </w:pPr>
            <w:r w:rsidRPr="009008B4">
              <w:rPr>
                <w:sz w:val="16"/>
                <w:szCs w:val="16"/>
              </w:rPr>
              <w:t>5.90 MiB</w:t>
            </w:r>
          </w:p>
        </w:tc>
        <w:tc>
          <w:tcPr>
            <w:tcW w:w="1129"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129943AA" w14:textId="77777777" w:rsidR="003A6AA0" w:rsidRPr="009008B4" w:rsidRDefault="003A6AA0" w:rsidP="00BC77CB">
            <w:pPr>
              <w:jc w:val="left"/>
              <w:rPr>
                <w:sz w:val="16"/>
                <w:szCs w:val="16"/>
              </w:rPr>
            </w:pPr>
            <w:r w:rsidRPr="009008B4">
              <w:rPr>
                <w:sz w:val="16"/>
                <w:szCs w:val="16"/>
              </w:rPr>
              <w:t>17.85 MiB</w:t>
            </w:r>
          </w:p>
        </w:tc>
        <w:tc>
          <w:tcPr>
            <w:tcW w:w="799"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1CC58583" w14:textId="77777777" w:rsidR="003A6AA0" w:rsidRPr="009008B4" w:rsidRDefault="003A6AA0" w:rsidP="00BC77CB">
            <w:pPr>
              <w:jc w:val="left"/>
              <w:rPr>
                <w:sz w:val="16"/>
                <w:szCs w:val="16"/>
              </w:rPr>
            </w:pPr>
            <w:r w:rsidRPr="009008B4">
              <w:rPr>
                <w:sz w:val="16"/>
                <w:szCs w:val="16"/>
              </w:rPr>
              <w:t>5.90 MiB</w:t>
            </w:r>
          </w:p>
        </w:tc>
        <w:tc>
          <w:tcPr>
            <w:tcW w:w="964" w:type="dxa"/>
            <w:tcBorders>
              <w:top w:val="single" w:sz="4" w:space="0" w:color="BFBFBF"/>
              <w:left w:val="single" w:sz="4" w:space="0" w:color="BFBFBF"/>
              <w:bottom w:val="single" w:sz="4" w:space="0" w:color="BFBFBF"/>
              <w:right w:val="single" w:sz="4" w:space="0" w:color="BFBFBF"/>
            </w:tcBorders>
            <w:vAlign w:val="center"/>
          </w:tcPr>
          <w:p w14:paraId="609FA145" w14:textId="77777777" w:rsidR="003A6AA0" w:rsidRPr="009008B4" w:rsidRDefault="003A6AA0" w:rsidP="00BC77CB">
            <w:pPr>
              <w:jc w:val="left"/>
              <w:rPr>
                <w:sz w:val="16"/>
                <w:szCs w:val="16"/>
              </w:rPr>
            </w:pPr>
            <w:r w:rsidRPr="009008B4">
              <w:rPr>
                <w:sz w:val="16"/>
                <w:szCs w:val="16"/>
              </w:rPr>
              <w:t>23.96 MiB</w:t>
            </w:r>
          </w:p>
        </w:tc>
        <w:tc>
          <w:tcPr>
            <w:tcW w:w="964" w:type="dxa"/>
            <w:tcBorders>
              <w:top w:val="single" w:sz="4" w:space="0" w:color="BFBFBF"/>
              <w:left w:val="single" w:sz="4" w:space="0" w:color="BFBFBF"/>
              <w:bottom w:val="single" w:sz="4" w:space="0" w:color="BFBFBF"/>
              <w:right w:val="single" w:sz="4" w:space="0" w:color="BFBFBF"/>
            </w:tcBorders>
            <w:vAlign w:val="center"/>
          </w:tcPr>
          <w:p w14:paraId="66FAB41F" w14:textId="77777777" w:rsidR="003A6AA0" w:rsidRPr="009008B4" w:rsidRDefault="003A6AA0" w:rsidP="00BC77CB">
            <w:pPr>
              <w:jc w:val="left"/>
              <w:rPr>
                <w:sz w:val="16"/>
                <w:szCs w:val="16"/>
              </w:rPr>
            </w:pPr>
            <w:r w:rsidRPr="009008B4">
              <w:rPr>
                <w:sz w:val="16"/>
                <w:szCs w:val="16"/>
              </w:rPr>
              <w:t>5.90 MiB</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3ADD0438" w14:textId="77777777" w:rsidR="003A6AA0" w:rsidRPr="009008B4" w:rsidRDefault="003A6AA0" w:rsidP="00BC77CB">
            <w:pPr>
              <w:jc w:val="left"/>
              <w:rPr>
                <w:sz w:val="16"/>
                <w:szCs w:val="16"/>
              </w:rPr>
            </w:pPr>
            <w:r w:rsidRPr="009008B4">
              <w:rPr>
                <w:sz w:val="16"/>
                <w:szCs w:val="16"/>
              </w:rPr>
              <w:t>659.23 MiB</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4BF7B4F4" w14:textId="77777777" w:rsidR="003A6AA0" w:rsidRPr="009008B4" w:rsidRDefault="003A6AA0" w:rsidP="00BC77CB">
            <w:pPr>
              <w:jc w:val="left"/>
              <w:rPr>
                <w:sz w:val="16"/>
                <w:szCs w:val="16"/>
              </w:rPr>
            </w:pPr>
            <w:r w:rsidRPr="009008B4">
              <w:rPr>
                <w:sz w:val="16"/>
                <w:szCs w:val="16"/>
              </w:rPr>
              <w:t>1.28 GiB</w:t>
            </w:r>
          </w:p>
        </w:tc>
      </w:tr>
      <w:tr w:rsidR="003A6AA0" w:rsidRPr="009008B4" w14:paraId="6619A380" w14:textId="77777777" w:rsidTr="00BC77CB">
        <w:trPr>
          <w:jc w:val="center"/>
        </w:trPr>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78E5E1F5" w14:textId="77777777" w:rsidR="003A6AA0" w:rsidRPr="009008B4" w:rsidRDefault="003A6AA0" w:rsidP="00BC77CB">
            <w:pPr>
              <w:jc w:val="left"/>
              <w:rPr>
                <w:sz w:val="16"/>
                <w:szCs w:val="16"/>
              </w:rPr>
            </w:pPr>
            <w:r w:rsidRPr="009008B4">
              <w:rPr>
                <w:sz w:val="16"/>
                <w:szCs w:val="16"/>
              </w:rPr>
              <w:t>LU / memory footprint</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261A74BC" w14:textId="77777777" w:rsidR="003A6AA0" w:rsidRPr="009008B4" w:rsidRDefault="003A6AA0" w:rsidP="00BC77CB">
            <w:pPr>
              <w:jc w:val="left"/>
              <w:rPr>
                <w:sz w:val="16"/>
                <w:szCs w:val="16"/>
              </w:rPr>
            </w:pPr>
            <w:r w:rsidRPr="009008B4">
              <w:rPr>
                <w:sz w:val="16"/>
                <w:szCs w:val="16"/>
              </w:rPr>
              <w:t>62.10 MiB / 222.99 MiB</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5FFD0605" w14:textId="77777777" w:rsidR="003A6AA0" w:rsidRPr="009008B4" w:rsidRDefault="003A6AA0" w:rsidP="00BC77CB">
            <w:pPr>
              <w:jc w:val="left"/>
              <w:rPr>
                <w:sz w:val="16"/>
                <w:szCs w:val="16"/>
              </w:rPr>
            </w:pPr>
            <w:r w:rsidRPr="009008B4">
              <w:rPr>
                <w:sz w:val="16"/>
                <w:szCs w:val="16"/>
              </w:rPr>
              <w:t>88.16 MiB / 457.68 MiB</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08DCD0BA" w14:textId="77777777" w:rsidR="003A6AA0" w:rsidRPr="009008B4" w:rsidRDefault="003A6AA0" w:rsidP="00BC77CB">
            <w:pPr>
              <w:jc w:val="left"/>
              <w:rPr>
                <w:sz w:val="16"/>
                <w:szCs w:val="16"/>
              </w:rPr>
            </w:pPr>
            <w:r w:rsidRPr="009008B4">
              <w:rPr>
                <w:sz w:val="16"/>
                <w:szCs w:val="16"/>
              </w:rPr>
              <w:t>206.18 MiB / 731.73 MiB</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1A401A0F" w14:textId="77777777" w:rsidR="003A6AA0" w:rsidRPr="009008B4" w:rsidRDefault="003A6AA0" w:rsidP="00BC77CB">
            <w:pPr>
              <w:jc w:val="left"/>
              <w:rPr>
                <w:sz w:val="16"/>
                <w:szCs w:val="16"/>
              </w:rPr>
            </w:pPr>
            <w:r w:rsidRPr="009008B4">
              <w:rPr>
                <w:sz w:val="16"/>
                <w:szCs w:val="16"/>
              </w:rPr>
              <w:t>98.65 MiB / 477.38 MiB</w:t>
            </w:r>
          </w:p>
        </w:tc>
        <w:tc>
          <w:tcPr>
            <w:tcW w:w="1129"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2834648D" w14:textId="77777777" w:rsidR="003A6AA0" w:rsidRPr="009008B4" w:rsidRDefault="003A6AA0" w:rsidP="00BC77CB">
            <w:pPr>
              <w:jc w:val="left"/>
              <w:rPr>
                <w:sz w:val="16"/>
                <w:szCs w:val="16"/>
              </w:rPr>
            </w:pPr>
            <w:r w:rsidRPr="009008B4">
              <w:rPr>
                <w:sz w:val="16"/>
                <w:szCs w:val="16"/>
              </w:rPr>
              <w:t>383.30 MiB / 1.78 GiB</w:t>
            </w:r>
          </w:p>
        </w:tc>
        <w:tc>
          <w:tcPr>
            <w:tcW w:w="799"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7D024A6A" w14:textId="77777777" w:rsidR="003A6AA0" w:rsidRPr="009008B4" w:rsidRDefault="003A6AA0" w:rsidP="00BC77CB">
            <w:pPr>
              <w:jc w:val="left"/>
              <w:rPr>
                <w:sz w:val="16"/>
                <w:szCs w:val="16"/>
              </w:rPr>
            </w:pPr>
            <w:r w:rsidRPr="009008B4">
              <w:rPr>
                <w:sz w:val="16"/>
                <w:szCs w:val="16"/>
              </w:rPr>
              <w:t>98.65 MiB / 477.63 MiB</w:t>
            </w:r>
          </w:p>
        </w:tc>
        <w:tc>
          <w:tcPr>
            <w:tcW w:w="964" w:type="dxa"/>
            <w:tcBorders>
              <w:top w:val="single" w:sz="4" w:space="0" w:color="BFBFBF"/>
              <w:left w:val="single" w:sz="4" w:space="0" w:color="BFBFBF"/>
              <w:bottom w:val="single" w:sz="4" w:space="0" w:color="BFBFBF"/>
              <w:right w:val="single" w:sz="4" w:space="0" w:color="BFBFBF"/>
            </w:tcBorders>
            <w:shd w:val="clear" w:color="auto" w:fill="F7F7F7"/>
            <w:vAlign w:val="center"/>
          </w:tcPr>
          <w:p w14:paraId="5BEDB280" w14:textId="77777777" w:rsidR="003A6AA0" w:rsidRPr="009008B4" w:rsidRDefault="003A6AA0" w:rsidP="00BC77CB">
            <w:pPr>
              <w:jc w:val="left"/>
              <w:rPr>
                <w:sz w:val="16"/>
                <w:szCs w:val="16"/>
              </w:rPr>
            </w:pPr>
            <w:r w:rsidRPr="009008B4">
              <w:rPr>
                <w:sz w:val="16"/>
                <w:szCs w:val="16"/>
              </w:rPr>
              <w:t>15.31 GiB / 19.51 GiB estimate</w:t>
            </w:r>
          </w:p>
        </w:tc>
        <w:tc>
          <w:tcPr>
            <w:tcW w:w="964" w:type="dxa"/>
            <w:tcBorders>
              <w:top w:val="single" w:sz="4" w:space="0" w:color="BFBFBF"/>
              <w:left w:val="single" w:sz="4" w:space="0" w:color="BFBFBF"/>
              <w:bottom w:val="single" w:sz="4" w:space="0" w:color="BFBFBF"/>
              <w:right w:val="single" w:sz="4" w:space="0" w:color="BFBFBF"/>
            </w:tcBorders>
            <w:shd w:val="clear" w:color="auto" w:fill="F7F7F7"/>
            <w:vAlign w:val="center"/>
          </w:tcPr>
          <w:p w14:paraId="48E5CB37" w14:textId="77777777" w:rsidR="003A6AA0" w:rsidRPr="009008B4" w:rsidRDefault="003A6AA0" w:rsidP="00BC77CB">
            <w:pPr>
              <w:jc w:val="left"/>
              <w:rPr>
                <w:sz w:val="16"/>
                <w:szCs w:val="16"/>
              </w:rPr>
            </w:pPr>
            <w:r w:rsidRPr="009008B4">
              <w:rPr>
                <w:sz w:val="16"/>
                <w:szCs w:val="16"/>
              </w:rPr>
              <w:t>98.76 MiB / 477.63 MiB</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32B1DA58" w14:textId="77777777" w:rsidR="003A6AA0" w:rsidRPr="009008B4" w:rsidRDefault="003A6AA0" w:rsidP="00BC77CB">
            <w:pPr>
              <w:jc w:val="left"/>
              <w:rPr>
                <w:sz w:val="16"/>
                <w:szCs w:val="16"/>
              </w:rPr>
            </w:pPr>
            <w:r w:rsidRPr="009008B4">
              <w:rPr>
                <w:sz w:val="16"/>
                <w:szCs w:val="16"/>
              </w:rPr>
              <w:t>≥375 GiB / ≥478 GiB estimate</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6C1221E1" w14:textId="64454582" w:rsidR="003A6AA0" w:rsidRPr="009008B4" w:rsidRDefault="003A6AA0" w:rsidP="00BC77CB">
            <w:pPr>
              <w:jc w:val="left"/>
              <w:rPr>
                <w:sz w:val="16"/>
                <w:szCs w:val="16"/>
              </w:rPr>
            </w:pPr>
            <w:r w:rsidRPr="009008B4">
              <w:rPr>
                <w:sz w:val="16"/>
                <w:szCs w:val="16"/>
              </w:rPr>
              <w:t>99 MiB / 478 MiB</w:t>
            </w:r>
          </w:p>
        </w:tc>
      </w:tr>
      <w:tr w:rsidR="003A6AA0" w:rsidRPr="009008B4" w14:paraId="3E4DE1F7" w14:textId="77777777" w:rsidTr="00BC77CB">
        <w:trPr>
          <w:jc w:val="center"/>
        </w:trPr>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0EAAB29F" w14:textId="77777777" w:rsidR="003A6AA0" w:rsidRPr="009008B4" w:rsidRDefault="003A6AA0" w:rsidP="00BC77CB">
            <w:pPr>
              <w:jc w:val="left"/>
              <w:rPr>
                <w:sz w:val="16"/>
                <w:szCs w:val="16"/>
              </w:rPr>
            </w:pPr>
            <w:r w:rsidRPr="009008B4">
              <w:rPr>
                <w:sz w:val="16"/>
                <w:szCs w:val="16"/>
              </w:rPr>
              <w:lastRenderedPageBreak/>
              <w:t>Routing time</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4593373B" w14:textId="77777777" w:rsidR="003A6AA0" w:rsidRPr="009008B4" w:rsidRDefault="003A6AA0" w:rsidP="00BC77CB">
            <w:pPr>
              <w:jc w:val="left"/>
              <w:rPr>
                <w:sz w:val="16"/>
                <w:szCs w:val="16"/>
              </w:rPr>
            </w:pPr>
            <w:r w:rsidRPr="009008B4">
              <w:rPr>
                <w:sz w:val="16"/>
                <w:szCs w:val="16"/>
              </w:rPr>
              <w:t>not applicable</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3BBAB87D" w14:textId="77777777" w:rsidR="003A6AA0" w:rsidRPr="009008B4" w:rsidRDefault="003A6AA0" w:rsidP="00BC77CB">
            <w:pPr>
              <w:jc w:val="left"/>
              <w:rPr>
                <w:sz w:val="16"/>
                <w:szCs w:val="16"/>
              </w:rPr>
            </w:pPr>
            <w:r w:rsidRPr="009008B4">
              <w:rPr>
                <w:sz w:val="16"/>
                <w:szCs w:val="16"/>
              </w:rPr>
              <w:t>62.86 s; 1,562 nodes</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05445606" w14:textId="77777777" w:rsidR="003A6AA0" w:rsidRPr="009008B4" w:rsidRDefault="003A6AA0" w:rsidP="00BC77CB">
            <w:pPr>
              <w:jc w:val="left"/>
              <w:rPr>
                <w:sz w:val="16"/>
                <w:szCs w:val="16"/>
              </w:rPr>
            </w:pPr>
            <w:r w:rsidRPr="009008B4">
              <w:rPr>
                <w:sz w:val="16"/>
                <w:szCs w:val="16"/>
              </w:rPr>
              <w:t>not applicable</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29A4EA04" w14:textId="77777777" w:rsidR="003A6AA0" w:rsidRPr="009008B4" w:rsidRDefault="003A6AA0" w:rsidP="00BC77CB">
            <w:pPr>
              <w:jc w:val="left"/>
              <w:rPr>
                <w:sz w:val="16"/>
                <w:szCs w:val="16"/>
              </w:rPr>
            </w:pPr>
            <w:r w:rsidRPr="009008B4">
              <w:rPr>
                <w:sz w:val="16"/>
                <w:szCs w:val="16"/>
              </w:rPr>
              <w:t>0.23 s; 1,562 nodes</w:t>
            </w:r>
          </w:p>
        </w:tc>
        <w:tc>
          <w:tcPr>
            <w:tcW w:w="1129"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36B25A05" w14:textId="77777777" w:rsidR="003A6AA0" w:rsidRPr="009008B4" w:rsidRDefault="003A6AA0" w:rsidP="00BC77CB">
            <w:pPr>
              <w:jc w:val="left"/>
              <w:rPr>
                <w:sz w:val="16"/>
                <w:szCs w:val="16"/>
              </w:rPr>
            </w:pPr>
            <w:r w:rsidRPr="009008B4">
              <w:rPr>
                <w:sz w:val="16"/>
                <w:szCs w:val="16"/>
              </w:rPr>
              <w:t>not applicable</w:t>
            </w:r>
          </w:p>
        </w:tc>
        <w:tc>
          <w:tcPr>
            <w:tcW w:w="799"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73343EFD" w14:textId="77777777" w:rsidR="003A6AA0" w:rsidRPr="009008B4" w:rsidRDefault="003A6AA0" w:rsidP="00BC77CB">
            <w:pPr>
              <w:jc w:val="left"/>
              <w:rPr>
                <w:sz w:val="16"/>
                <w:szCs w:val="16"/>
              </w:rPr>
            </w:pPr>
            <w:r w:rsidRPr="009008B4">
              <w:rPr>
                <w:sz w:val="16"/>
                <w:szCs w:val="16"/>
              </w:rPr>
              <w:t>0.04 s; 1,562 nodes</w:t>
            </w:r>
          </w:p>
        </w:tc>
        <w:tc>
          <w:tcPr>
            <w:tcW w:w="964" w:type="dxa"/>
            <w:tcBorders>
              <w:top w:val="single" w:sz="4" w:space="0" w:color="BFBFBF"/>
              <w:left w:val="single" w:sz="4" w:space="0" w:color="BFBFBF"/>
              <w:bottom w:val="single" w:sz="4" w:space="0" w:color="BFBFBF"/>
              <w:right w:val="single" w:sz="4" w:space="0" w:color="BFBFBF"/>
            </w:tcBorders>
            <w:vAlign w:val="center"/>
          </w:tcPr>
          <w:p w14:paraId="3661738F" w14:textId="77777777" w:rsidR="003A6AA0" w:rsidRPr="009008B4" w:rsidRDefault="003A6AA0" w:rsidP="00BC77CB">
            <w:pPr>
              <w:jc w:val="left"/>
              <w:rPr>
                <w:sz w:val="16"/>
                <w:szCs w:val="16"/>
              </w:rPr>
            </w:pPr>
            <w:r w:rsidRPr="009008B4">
              <w:rPr>
                <w:sz w:val="16"/>
                <w:szCs w:val="16"/>
              </w:rPr>
              <w:t>not applicable</w:t>
            </w:r>
          </w:p>
        </w:tc>
        <w:tc>
          <w:tcPr>
            <w:tcW w:w="964" w:type="dxa"/>
            <w:tcBorders>
              <w:top w:val="single" w:sz="4" w:space="0" w:color="BFBFBF"/>
              <w:left w:val="single" w:sz="4" w:space="0" w:color="BFBFBF"/>
              <w:bottom w:val="single" w:sz="4" w:space="0" w:color="BFBFBF"/>
              <w:right w:val="single" w:sz="4" w:space="0" w:color="BFBFBF"/>
            </w:tcBorders>
            <w:vAlign w:val="center"/>
          </w:tcPr>
          <w:p w14:paraId="539B1455" w14:textId="77777777" w:rsidR="003A6AA0" w:rsidRPr="009008B4" w:rsidRDefault="003A6AA0" w:rsidP="00BC77CB">
            <w:pPr>
              <w:jc w:val="left"/>
              <w:rPr>
                <w:sz w:val="16"/>
                <w:szCs w:val="16"/>
              </w:rPr>
            </w:pPr>
            <w:r w:rsidRPr="009008B4">
              <w:rPr>
                <w:sz w:val="16"/>
                <w:szCs w:val="16"/>
              </w:rPr>
              <w:t>7.62 s; 1,562 nodes</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7F67E37B" w14:textId="77777777" w:rsidR="003A6AA0" w:rsidRPr="009008B4" w:rsidRDefault="003A6AA0" w:rsidP="00BC77CB">
            <w:pPr>
              <w:jc w:val="left"/>
              <w:rPr>
                <w:sz w:val="16"/>
                <w:szCs w:val="16"/>
              </w:rPr>
            </w:pPr>
            <w:r w:rsidRPr="009008B4">
              <w:rPr>
                <w:sz w:val="16"/>
                <w:szCs w:val="16"/>
              </w:rPr>
              <w:t>not applicable</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4F8EE762" w14:textId="77777777" w:rsidR="003A6AA0" w:rsidRPr="009008B4" w:rsidRDefault="003A6AA0" w:rsidP="00BC77CB">
            <w:pPr>
              <w:jc w:val="left"/>
              <w:rPr>
                <w:sz w:val="16"/>
                <w:szCs w:val="16"/>
              </w:rPr>
            </w:pPr>
            <w:r w:rsidRPr="009008B4">
              <w:rPr>
                <w:sz w:val="16"/>
                <w:szCs w:val="16"/>
              </w:rPr>
              <w:t>0.03 s; 1,562 nodes</w:t>
            </w:r>
          </w:p>
        </w:tc>
      </w:tr>
      <w:tr w:rsidR="003A6AA0" w:rsidRPr="009008B4" w14:paraId="28A673D3" w14:textId="77777777" w:rsidTr="00BC77CB">
        <w:trPr>
          <w:jc w:val="center"/>
        </w:trPr>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384F84A0" w14:textId="77777777" w:rsidR="003A6AA0" w:rsidRPr="009008B4" w:rsidRDefault="003A6AA0" w:rsidP="00BC77CB">
            <w:pPr>
              <w:jc w:val="left"/>
              <w:rPr>
                <w:sz w:val="16"/>
                <w:szCs w:val="16"/>
              </w:rPr>
            </w:pPr>
            <w:r w:rsidRPr="009008B4">
              <w:rPr>
                <w:sz w:val="16"/>
                <w:szCs w:val="16"/>
              </w:rPr>
              <w:t>Solving time</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5D9FC8C9" w14:textId="77777777" w:rsidR="003A6AA0" w:rsidRPr="009008B4" w:rsidRDefault="003A6AA0" w:rsidP="00BC77CB">
            <w:pPr>
              <w:jc w:val="left"/>
              <w:rPr>
                <w:sz w:val="16"/>
                <w:szCs w:val="16"/>
              </w:rPr>
            </w:pPr>
            <w:r w:rsidRPr="009008B4">
              <w:rPr>
                <w:sz w:val="16"/>
                <w:szCs w:val="16"/>
              </w:rPr>
              <w:t>1.65 s</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55E6BEFB" w14:textId="77777777" w:rsidR="003A6AA0" w:rsidRPr="009008B4" w:rsidRDefault="003A6AA0" w:rsidP="00BC77CB">
            <w:pPr>
              <w:jc w:val="left"/>
              <w:rPr>
                <w:sz w:val="16"/>
                <w:szCs w:val="16"/>
              </w:rPr>
            </w:pPr>
            <w:r w:rsidRPr="009008B4">
              <w:rPr>
                <w:sz w:val="16"/>
                <w:szCs w:val="16"/>
              </w:rPr>
              <w:t>3.56 s</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1039759C" w14:textId="77777777" w:rsidR="003A6AA0" w:rsidRPr="009008B4" w:rsidRDefault="003A6AA0" w:rsidP="00BC77CB">
            <w:pPr>
              <w:jc w:val="left"/>
              <w:rPr>
                <w:sz w:val="16"/>
                <w:szCs w:val="16"/>
              </w:rPr>
            </w:pPr>
            <w:r w:rsidRPr="009008B4">
              <w:rPr>
                <w:sz w:val="16"/>
                <w:szCs w:val="16"/>
              </w:rPr>
              <w:t>12.50 s</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07618DA9" w14:textId="77777777" w:rsidR="003A6AA0" w:rsidRPr="009008B4" w:rsidRDefault="003A6AA0" w:rsidP="00BC77CB">
            <w:pPr>
              <w:jc w:val="left"/>
              <w:rPr>
                <w:sz w:val="16"/>
                <w:szCs w:val="16"/>
              </w:rPr>
            </w:pPr>
            <w:r w:rsidRPr="009008B4">
              <w:rPr>
                <w:sz w:val="16"/>
                <w:szCs w:val="16"/>
              </w:rPr>
              <w:t>7.68 s</w:t>
            </w:r>
          </w:p>
        </w:tc>
        <w:tc>
          <w:tcPr>
            <w:tcW w:w="1129"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44843169" w14:textId="77777777" w:rsidR="003A6AA0" w:rsidRPr="009008B4" w:rsidRDefault="003A6AA0" w:rsidP="00BC77CB">
            <w:pPr>
              <w:jc w:val="left"/>
              <w:rPr>
                <w:sz w:val="16"/>
                <w:szCs w:val="16"/>
              </w:rPr>
            </w:pPr>
            <w:r w:rsidRPr="009008B4">
              <w:rPr>
                <w:sz w:val="16"/>
                <w:szCs w:val="16"/>
              </w:rPr>
              <w:t>29.66 s</w:t>
            </w:r>
          </w:p>
        </w:tc>
        <w:tc>
          <w:tcPr>
            <w:tcW w:w="799"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1E6858A5" w14:textId="77777777" w:rsidR="003A6AA0" w:rsidRPr="009008B4" w:rsidRDefault="003A6AA0" w:rsidP="00BC77CB">
            <w:pPr>
              <w:jc w:val="left"/>
              <w:rPr>
                <w:sz w:val="16"/>
                <w:szCs w:val="16"/>
              </w:rPr>
            </w:pPr>
            <w:r w:rsidRPr="009008B4">
              <w:rPr>
                <w:sz w:val="16"/>
                <w:szCs w:val="16"/>
              </w:rPr>
              <w:t>10.20 s</w:t>
            </w:r>
          </w:p>
        </w:tc>
        <w:tc>
          <w:tcPr>
            <w:tcW w:w="964" w:type="dxa"/>
            <w:tcBorders>
              <w:top w:val="single" w:sz="4" w:space="0" w:color="BFBFBF"/>
              <w:left w:val="single" w:sz="4" w:space="0" w:color="BFBFBF"/>
              <w:bottom w:val="single" w:sz="4" w:space="0" w:color="BFBFBF"/>
              <w:right w:val="single" w:sz="4" w:space="0" w:color="BFBFBF"/>
            </w:tcBorders>
            <w:shd w:val="clear" w:color="auto" w:fill="F7F7F7"/>
            <w:vAlign w:val="center"/>
          </w:tcPr>
          <w:p w14:paraId="241D8111" w14:textId="77777777" w:rsidR="003A6AA0" w:rsidRPr="009008B4" w:rsidRDefault="003A6AA0" w:rsidP="00BC77CB">
            <w:pPr>
              <w:jc w:val="left"/>
              <w:rPr>
                <w:sz w:val="16"/>
                <w:szCs w:val="16"/>
              </w:rPr>
            </w:pPr>
            <w:r w:rsidRPr="009008B4">
              <w:rPr>
                <w:sz w:val="16"/>
                <w:szCs w:val="16"/>
              </w:rPr>
              <w:t>failed during numeric factorisation</w:t>
            </w:r>
          </w:p>
        </w:tc>
        <w:tc>
          <w:tcPr>
            <w:tcW w:w="964" w:type="dxa"/>
            <w:tcBorders>
              <w:top w:val="single" w:sz="4" w:space="0" w:color="BFBFBF"/>
              <w:left w:val="single" w:sz="4" w:space="0" w:color="BFBFBF"/>
              <w:bottom w:val="single" w:sz="4" w:space="0" w:color="BFBFBF"/>
              <w:right w:val="single" w:sz="4" w:space="0" w:color="BFBFBF"/>
            </w:tcBorders>
            <w:shd w:val="clear" w:color="auto" w:fill="F7F7F7"/>
            <w:vAlign w:val="center"/>
          </w:tcPr>
          <w:p w14:paraId="1AED3BD3" w14:textId="77777777" w:rsidR="003A6AA0" w:rsidRPr="009008B4" w:rsidRDefault="003A6AA0" w:rsidP="00BC77CB">
            <w:pPr>
              <w:jc w:val="left"/>
              <w:rPr>
                <w:sz w:val="16"/>
                <w:szCs w:val="16"/>
              </w:rPr>
            </w:pPr>
            <w:r w:rsidRPr="009008B4">
              <w:rPr>
                <w:sz w:val="16"/>
                <w:szCs w:val="16"/>
              </w:rPr>
              <w:t>11.83 s</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1A1CCE8B" w14:textId="77777777" w:rsidR="003A6AA0" w:rsidRPr="009008B4" w:rsidRDefault="003A6AA0" w:rsidP="00BC77CB">
            <w:pPr>
              <w:jc w:val="left"/>
              <w:rPr>
                <w:sz w:val="16"/>
                <w:szCs w:val="16"/>
              </w:rPr>
            </w:pPr>
            <w:r w:rsidRPr="009008B4">
              <w:rPr>
                <w:sz w:val="16"/>
                <w:szCs w:val="16"/>
              </w:rPr>
              <w:t>not attempted</w:t>
            </w:r>
          </w:p>
        </w:tc>
        <w:tc>
          <w:tcPr>
            <w:tcW w:w="964" w:type="dxa"/>
            <w:tcBorders>
              <w:top w:val="single" w:sz="4" w:space="0" w:color="BFBFBF"/>
              <w:left w:val="single" w:sz="4" w:space="0" w:color="BFBFBF"/>
              <w:bottom w:val="single" w:sz="4" w:space="0" w:color="BFBFBF"/>
              <w:right w:val="single" w:sz="4" w:space="0" w:color="BFBFBF"/>
            </w:tcBorders>
            <w:shd w:val="clear" w:color="auto" w:fill="F7F7F7"/>
            <w:tcMar>
              <w:top w:w="40" w:type="dxa"/>
              <w:left w:w="40" w:type="dxa"/>
              <w:bottom w:w="40" w:type="dxa"/>
              <w:right w:w="40" w:type="dxa"/>
            </w:tcMar>
            <w:vAlign w:val="center"/>
          </w:tcPr>
          <w:p w14:paraId="5E2C6982" w14:textId="77777777" w:rsidR="003A6AA0" w:rsidRPr="009008B4" w:rsidRDefault="003A6AA0" w:rsidP="00BC77CB">
            <w:pPr>
              <w:jc w:val="left"/>
              <w:rPr>
                <w:sz w:val="16"/>
                <w:szCs w:val="16"/>
              </w:rPr>
            </w:pPr>
            <w:r w:rsidRPr="009008B4">
              <w:rPr>
                <w:sz w:val="16"/>
                <w:szCs w:val="16"/>
              </w:rPr>
              <w:t>64.20 s</w:t>
            </w:r>
          </w:p>
        </w:tc>
      </w:tr>
      <w:tr w:rsidR="003A6AA0" w:rsidRPr="009008B4" w14:paraId="2A2D0EB2" w14:textId="77777777" w:rsidTr="00BC77CB">
        <w:trPr>
          <w:jc w:val="center"/>
        </w:trPr>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68D89736" w14:textId="77777777" w:rsidR="003A6AA0" w:rsidRPr="009008B4" w:rsidRDefault="003A6AA0" w:rsidP="00BC77CB">
            <w:pPr>
              <w:jc w:val="left"/>
              <w:rPr>
                <w:sz w:val="16"/>
                <w:szCs w:val="16"/>
              </w:rPr>
            </w:pPr>
            <w:r w:rsidRPr="009008B4">
              <w:rPr>
                <w:sz w:val="16"/>
                <w:szCs w:val="16"/>
              </w:rPr>
              <w:t>Outcome</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582DDD8A" w14:textId="77777777" w:rsidR="003A6AA0" w:rsidRPr="009008B4" w:rsidRDefault="003A6AA0" w:rsidP="00BC77CB">
            <w:pPr>
              <w:jc w:val="left"/>
              <w:rPr>
                <w:sz w:val="16"/>
                <w:szCs w:val="16"/>
              </w:rPr>
            </w:pPr>
            <w:r w:rsidRPr="009008B4">
              <w:rPr>
                <w:sz w:val="16"/>
                <w:szCs w:val="16"/>
              </w:rPr>
              <w:t>solved</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7298D8B0" w14:textId="77777777" w:rsidR="003A6AA0" w:rsidRPr="009008B4" w:rsidRDefault="003A6AA0" w:rsidP="00BC77CB">
            <w:pPr>
              <w:jc w:val="left"/>
              <w:rPr>
                <w:sz w:val="16"/>
                <w:szCs w:val="16"/>
              </w:rPr>
            </w:pPr>
            <w:r w:rsidRPr="009008B4">
              <w:rPr>
                <w:sz w:val="16"/>
                <w:szCs w:val="16"/>
              </w:rPr>
              <w:t>solved</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6CBDC4CE" w14:textId="77777777" w:rsidR="003A6AA0" w:rsidRPr="009008B4" w:rsidRDefault="003A6AA0" w:rsidP="00BC77CB">
            <w:pPr>
              <w:jc w:val="left"/>
              <w:rPr>
                <w:sz w:val="16"/>
                <w:szCs w:val="16"/>
              </w:rPr>
            </w:pPr>
            <w:r w:rsidRPr="009008B4">
              <w:rPr>
                <w:sz w:val="16"/>
                <w:szCs w:val="16"/>
              </w:rPr>
              <w:t>solved</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47341031" w14:textId="77777777" w:rsidR="003A6AA0" w:rsidRPr="009008B4" w:rsidRDefault="003A6AA0" w:rsidP="00BC77CB">
            <w:pPr>
              <w:jc w:val="left"/>
              <w:rPr>
                <w:sz w:val="16"/>
                <w:szCs w:val="16"/>
              </w:rPr>
            </w:pPr>
            <w:r w:rsidRPr="009008B4">
              <w:rPr>
                <w:sz w:val="16"/>
                <w:szCs w:val="16"/>
              </w:rPr>
              <w:t>solved</w:t>
            </w:r>
          </w:p>
        </w:tc>
        <w:tc>
          <w:tcPr>
            <w:tcW w:w="1129"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335DFD4C" w14:textId="77777777" w:rsidR="003A6AA0" w:rsidRPr="009008B4" w:rsidRDefault="003A6AA0" w:rsidP="00BC77CB">
            <w:pPr>
              <w:jc w:val="left"/>
              <w:rPr>
                <w:sz w:val="16"/>
                <w:szCs w:val="16"/>
              </w:rPr>
            </w:pPr>
            <w:r w:rsidRPr="009008B4">
              <w:rPr>
                <w:sz w:val="16"/>
                <w:szCs w:val="16"/>
              </w:rPr>
              <w:t>solved</w:t>
            </w:r>
          </w:p>
        </w:tc>
        <w:tc>
          <w:tcPr>
            <w:tcW w:w="799"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37CB09C0" w14:textId="77777777" w:rsidR="003A6AA0" w:rsidRPr="009008B4" w:rsidRDefault="003A6AA0" w:rsidP="00BC77CB">
            <w:pPr>
              <w:jc w:val="left"/>
              <w:rPr>
                <w:sz w:val="16"/>
                <w:szCs w:val="16"/>
              </w:rPr>
            </w:pPr>
            <w:r w:rsidRPr="009008B4">
              <w:rPr>
                <w:sz w:val="16"/>
                <w:szCs w:val="16"/>
              </w:rPr>
              <w:t>solved</w:t>
            </w:r>
          </w:p>
        </w:tc>
        <w:tc>
          <w:tcPr>
            <w:tcW w:w="964" w:type="dxa"/>
            <w:tcBorders>
              <w:top w:val="single" w:sz="4" w:space="0" w:color="BFBFBF"/>
              <w:left w:val="single" w:sz="4" w:space="0" w:color="BFBFBF"/>
              <w:bottom w:val="single" w:sz="4" w:space="0" w:color="BFBFBF"/>
              <w:right w:val="single" w:sz="4" w:space="0" w:color="BFBFBF"/>
            </w:tcBorders>
            <w:vAlign w:val="center"/>
          </w:tcPr>
          <w:p w14:paraId="0341ECFC" w14:textId="77777777" w:rsidR="003A6AA0" w:rsidRPr="009008B4" w:rsidRDefault="003A6AA0" w:rsidP="00BC77CB">
            <w:pPr>
              <w:jc w:val="left"/>
              <w:rPr>
                <w:sz w:val="16"/>
                <w:szCs w:val="16"/>
              </w:rPr>
            </w:pPr>
            <w:r w:rsidRPr="009008B4">
              <w:rPr>
                <w:sz w:val="16"/>
                <w:szCs w:val="16"/>
              </w:rPr>
              <w:t>failed</w:t>
            </w:r>
          </w:p>
        </w:tc>
        <w:tc>
          <w:tcPr>
            <w:tcW w:w="964" w:type="dxa"/>
            <w:tcBorders>
              <w:top w:val="single" w:sz="4" w:space="0" w:color="BFBFBF"/>
              <w:left w:val="single" w:sz="4" w:space="0" w:color="BFBFBF"/>
              <w:bottom w:val="single" w:sz="4" w:space="0" w:color="BFBFBF"/>
              <w:right w:val="single" w:sz="4" w:space="0" w:color="BFBFBF"/>
            </w:tcBorders>
            <w:vAlign w:val="center"/>
          </w:tcPr>
          <w:p w14:paraId="132D380C" w14:textId="77777777" w:rsidR="003A6AA0" w:rsidRPr="009008B4" w:rsidRDefault="003A6AA0" w:rsidP="00BC77CB">
            <w:pPr>
              <w:jc w:val="left"/>
              <w:rPr>
                <w:sz w:val="16"/>
                <w:szCs w:val="16"/>
              </w:rPr>
            </w:pPr>
            <w:r w:rsidRPr="009008B4">
              <w:rPr>
                <w:sz w:val="16"/>
                <w:szCs w:val="16"/>
              </w:rPr>
              <w:t>solved</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48CBD630" w14:textId="77777777" w:rsidR="003A6AA0" w:rsidRPr="009008B4" w:rsidRDefault="003A6AA0" w:rsidP="00BC77CB">
            <w:pPr>
              <w:jc w:val="left"/>
              <w:rPr>
                <w:sz w:val="16"/>
                <w:szCs w:val="16"/>
              </w:rPr>
            </w:pPr>
            <w:r w:rsidRPr="009008B4">
              <w:rPr>
                <w:sz w:val="16"/>
                <w:szCs w:val="16"/>
              </w:rPr>
              <w:t>estimated impractical</w:t>
            </w:r>
          </w:p>
        </w:tc>
        <w:tc>
          <w:tcPr>
            <w:tcW w:w="964" w:type="dxa"/>
            <w:tcBorders>
              <w:top w:val="single" w:sz="4" w:space="0" w:color="BFBFBF"/>
              <w:left w:val="single" w:sz="4" w:space="0" w:color="BFBFBF"/>
              <w:bottom w:val="single" w:sz="4" w:space="0" w:color="BFBFBF"/>
              <w:right w:val="single" w:sz="4" w:space="0" w:color="BFBFBF"/>
            </w:tcBorders>
            <w:tcMar>
              <w:top w:w="40" w:type="dxa"/>
              <w:left w:w="40" w:type="dxa"/>
              <w:bottom w:w="40" w:type="dxa"/>
              <w:right w:w="40" w:type="dxa"/>
            </w:tcMar>
            <w:vAlign w:val="center"/>
          </w:tcPr>
          <w:p w14:paraId="4EE4D843" w14:textId="77777777" w:rsidR="003A6AA0" w:rsidRPr="009008B4" w:rsidRDefault="003A6AA0" w:rsidP="00BC77CB">
            <w:pPr>
              <w:jc w:val="left"/>
              <w:rPr>
                <w:sz w:val="16"/>
                <w:szCs w:val="16"/>
              </w:rPr>
            </w:pPr>
            <w:r w:rsidRPr="009008B4">
              <w:rPr>
                <w:sz w:val="16"/>
                <w:szCs w:val="16"/>
              </w:rPr>
              <w:t>solved</w:t>
            </w:r>
          </w:p>
        </w:tc>
      </w:tr>
    </w:tbl>
    <w:p w14:paraId="3BD18C7F" w14:textId="4BD4F6AE" w:rsidR="0074042E" w:rsidRPr="006C3C06" w:rsidRDefault="006C3C06" w:rsidP="002C4B39">
      <w:pPr>
        <w:rPr>
          <w:sz w:val="17"/>
          <w:szCs w:val="17"/>
        </w:rPr>
      </w:pPr>
      <w:r w:rsidRPr="00321DE6">
        <w:rPr>
          <w:b/>
          <w:bCs/>
          <w:sz w:val="17"/>
          <w:szCs w:val="17"/>
        </w:rPr>
        <w:t xml:space="preserve">Table </w:t>
      </w:r>
      <w:r>
        <w:rPr>
          <w:b/>
          <w:bCs/>
          <w:sz w:val="17"/>
          <w:szCs w:val="17"/>
        </w:rPr>
        <w:t>1</w:t>
      </w:r>
      <w:r w:rsidR="002C4B39">
        <w:rPr>
          <w:b/>
          <w:bCs/>
          <w:sz w:val="17"/>
          <w:szCs w:val="17"/>
        </w:rPr>
        <w:t>6</w:t>
      </w:r>
      <w:r w:rsidRPr="00321DE6">
        <w:rPr>
          <w:sz w:val="17"/>
          <w:szCs w:val="17"/>
        </w:rPr>
        <w:t xml:space="preserve"> –</w:t>
      </w:r>
      <w:r w:rsidR="002C4B39">
        <w:rPr>
          <w:sz w:val="17"/>
          <w:szCs w:val="17"/>
        </w:rPr>
        <w:t xml:space="preserve"> </w:t>
      </w:r>
      <w:r w:rsidR="002C4B39" w:rsidRPr="002C4B39">
        <w:rPr>
          <w:sz w:val="17"/>
          <w:szCs w:val="17"/>
        </w:rPr>
        <w:t>Benchmark comparing a monolithic time-expanded LU solve with the Trails graph-matrix hybrid solve.</w:t>
      </w:r>
      <w:r w:rsidR="002C4B39">
        <w:rPr>
          <w:sz w:val="17"/>
          <w:szCs w:val="17"/>
        </w:rPr>
        <w:t xml:space="preserve"> </w:t>
      </w:r>
      <w:r w:rsidR="002C4B39" w:rsidRPr="002C4B39">
        <w:rPr>
          <w:sz w:val="17"/>
          <w:szCs w:val="17"/>
        </w:rPr>
        <w:t>Horizons from 1 to 98 years are compared by matrix size, temporal links, sparse storage, LU memory, solve status,</w:t>
      </w:r>
      <w:r w:rsidR="002C4B39">
        <w:rPr>
          <w:sz w:val="17"/>
          <w:szCs w:val="17"/>
        </w:rPr>
        <w:t xml:space="preserve"> </w:t>
      </w:r>
      <w:r w:rsidR="002C4B39" w:rsidRPr="002C4B39">
        <w:rPr>
          <w:sz w:val="17"/>
          <w:szCs w:val="17"/>
        </w:rPr>
        <w:t>and runtime</w:t>
      </w:r>
      <w:r>
        <w:rPr>
          <w:sz w:val="17"/>
          <w:szCs w:val="17"/>
        </w:rPr>
        <w:t>.</w:t>
      </w:r>
    </w:p>
    <w:p w14:paraId="5F6A2F82" w14:textId="0BC1FB82" w:rsidR="00E4260D" w:rsidRDefault="00240788">
      <w:r>
        <w:t xml:space="preserve">The benchmark </w:t>
      </w:r>
      <w:r w:rsidR="00CB1BD6">
        <w:t>reported in Table 1</w:t>
      </w:r>
      <w:r w:rsidR="002C4B39">
        <w:t>6</w:t>
      </w:r>
      <w:r w:rsidR="00CB1BD6">
        <w:t xml:space="preserve"> </w:t>
      </w:r>
      <w:r>
        <w:t xml:space="preserve">indicates that sparse storage of the time-expanded matrix is not the limiting factor. In this rerun, the three-year monolithic system still solved, but the four-year time-expanded matrix failed during UMFPACK numeric factorisation. The four-year matrix occupied only 23.96 MiB as a CSC matrix, yet UMFPACK estimated a 15.31 GiB LU numeric object and 19.51 GiB peak factorisation memory before failing. </w:t>
      </w:r>
      <w:r w:rsidRPr="005242D2">
        <w:rPr>
          <w:i/>
          <w:iCs/>
        </w:rPr>
        <w:t>Trails</w:t>
      </w:r>
      <w:r>
        <w:t xml:space="preserve"> avoids this fill-in by never factorising the global time-expanded system. Its memory footprint is therefore governed by the largest standard annual technosphere solve and by the temporal routing data structures, while the full 98-year deeply temporalised case remains solvable on the test machine.</w:t>
      </w:r>
    </w:p>
    <w:p w14:paraId="07AD722F" w14:textId="0BF0D8B5" w:rsidR="00E4260D" w:rsidRDefault="00240788">
      <w:r>
        <w:t>A conservative linear extrapolation from the four-year UMFPACK failure gives an approximate lower bound of 375 GiB for the LU numeric object and 478 GiB peak memory for a 98-year monolithic direct solve. This should be read as a lower bound rather than a prediction: the observed LU fill-in already grew much faster than sparse-matrix storage did between the three- and four-year cases.</w:t>
      </w:r>
    </w:p>
    <w:p w14:paraId="24023464" w14:textId="4546A184" w:rsidR="00E4260D" w:rsidRDefault="00240788">
      <w:r>
        <w:t xml:space="preserve">Diepers et al. (2026) describe embedding time directly within a technosphere-biosphere matrix as a computational advantage. A unified time-expanded matrix can be convenient for integration with existing matrix LCA software (e.g., Brightway) and for representing flexible temporal resolution. However, for deep temporalisation, where temporal exchanges can occur throughout the background supply chain, the global matrix becomes impractical before the full system is represented. In this benchmark, the limiting factor is not the number of sparse entries in the time-expanded matrix, but the fill-in and memory required by direct factorisation. Trails </w:t>
      </w:r>
      <w:r>
        <w:lastRenderedPageBreak/>
        <w:t>therefore treats the temporal graph and the annual matrix as separate but coupled operations: temporal routing carries the time dimension, while bounded year-specific solves retain the numerical advantages of conventional matrix LCA.</w:t>
      </w:r>
    </w:p>
    <w:p w14:paraId="24911BEF" w14:textId="77777777" w:rsidR="00EA62D7" w:rsidRDefault="00EA62D7">
      <w:pPr>
        <w:sectPr w:rsidR="00EA62D7">
          <w:pgSz w:w="11906" w:h="16838" w:code="9"/>
          <w:pgMar w:top="2835" w:right="2608" w:bottom="3175" w:left="2665" w:header="2494" w:footer="2466" w:gutter="0"/>
          <w:lnNumType w:countBy="1" w:restart="continuous"/>
          <w:cols w:space="709"/>
          <w:noEndnote/>
          <w:titlePg/>
          <w:docGrid w:linePitch="326"/>
        </w:sectPr>
      </w:pPr>
    </w:p>
    <w:p w14:paraId="6DE96E59" w14:textId="367BB1FA" w:rsidR="00EA62D7" w:rsidRDefault="00125CD5" w:rsidP="00E15130">
      <w:pPr>
        <w:pStyle w:val="Heading1"/>
        <w:numPr>
          <w:ilvl w:val="0"/>
          <w:numId w:val="50"/>
        </w:numPr>
      </w:pPr>
      <w:bookmarkStart w:id="20" w:name="_Toc233129518"/>
      <w:r>
        <w:lastRenderedPageBreak/>
        <w:t>Adaptive-routing Sankey diagrams</w:t>
      </w:r>
      <w:bookmarkEnd w:id="20"/>
    </w:p>
    <w:p w14:paraId="2F3B33F6" w14:textId="77777777" w:rsidR="00EA62D7" w:rsidRDefault="00125CD5">
      <w:pPr>
        <w:jc w:val="center"/>
      </w:pPr>
      <w:r>
        <w:rPr>
          <w:noProof/>
        </w:rPr>
        <w:drawing>
          <wp:inline distT="0" distB="0" distL="0" distR="0" wp14:anchorId="66442E05" wp14:editId="60A66947">
            <wp:extent cx="9646920" cy="48234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ol_adaptive_rel_1e-4_branch_cutoff_1pct_sankey.png"/>
                    <pic:cNvPicPr/>
                  </pic:nvPicPr>
                  <pic:blipFill>
                    <a:blip r:embed="rId30"/>
                    <a:stretch>
                      <a:fillRect/>
                    </a:stretch>
                  </pic:blipFill>
                  <pic:spPr>
                    <a:xfrm>
                      <a:off x="0" y="0"/>
                      <a:ext cx="9646920" cy="4823460"/>
                    </a:xfrm>
                    <a:prstGeom prst="rect">
                      <a:avLst/>
                    </a:prstGeom>
                  </pic:spPr>
                </pic:pic>
              </a:graphicData>
            </a:graphic>
          </wp:inline>
        </w:drawing>
      </w:r>
    </w:p>
    <w:p w14:paraId="0D451FF0" w14:textId="0AA3DD9C" w:rsidR="00EA62D7" w:rsidRDefault="00125CD5">
      <w:pPr>
        <w:jc w:val="left"/>
      </w:pPr>
      <w:r>
        <w:t xml:space="preserve">Figure S10.1. Adaptive-routing Sankey diagram for the polyol case (EF v3.1 material resources: metals/minerals, abiotic depletion potential). Nodes are positioned by routing depth from left to right and by year from top to bottom; flow widths are proportional to the </w:t>
      </w:r>
      <w:r w:rsidR="001D4ECA">
        <w:t>functional unit's score potential</w:t>
      </w:r>
      <w:r>
        <w:t>. A 0.1% root-branch visual cutoff is applied. The right-side panel shows transparent, unstacked branch density areas over time, and the lower panel shows transparent, unstacked branch density areas over routing depth; each density panel uses a common scale across displayed branches.</w:t>
      </w:r>
    </w:p>
    <w:p w14:paraId="2FE6FD2D" w14:textId="77777777" w:rsidR="00EA62D7" w:rsidRDefault="00125CD5">
      <w:r>
        <w:br w:type="page"/>
      </w:r>
    </w:p>
    <w:p w14:paraId="4B8B69A9" w14:textId="77777777" w:rsidR="00EA62D7" w:rsidRDefault="00125CD5">
      <w:pPr>
        <w:jc w:val="center"/>
      </w:pPr>
      <w:r>
        <w:rPr>
          <w:noProof/>
        </w:rPr>
        <w:lastRenderedPageBreak/>
        <w:drawing>
          <wp:inline distT="0" distB="0" distL="0" distR="0" wp14:anchorId="6B21C579" wp14:editId="09A19664">
            <wp:extent cx="9646920" cy="48234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v_adaptive_rel_1e-4_branch_cutoff_1pct_sankey.png"/>
                    <pic:cNvPicPr/>
                  </pic:nvPicPr>
                  <pic:blipFill>
                    <a:blip r:embed="rId31"/>
                    <a:stretch>
                      <a:fillRect/>
                    </a:stretch>
                  </pic:blipFill>
                  <pic:spPr>
                    <a:xfrm>
                      <a:off x="0" y="0"/>
                      <a:ext cx="9646920" cy="4823460"/>
                    </a:xfrm>
                    <a:prstGeom prst="rect">
                      <a:avLst/>
                    </a:prstGeom>
                  </pic:spPr>
                </pic:pic>
              </a:graphicData>
            </a:graphic>
          </wp:inline>
        </w:drawing>
      </w:r>
    </w:p>
    <w:p w14:paraId="3E6148B8" w14:textId="4D67C652" w:rsidR="00EA62D7" w:rsidRDefault="00125CD5">
      <w:pPr>
        <w:jc w:val="left"/>
      </w:pPr>
      <w:r>
        <w:t xml:space="preserve">Figure S10.2. Adaptive-routing Sankey diagram for the battery-electric passenger car case (EF v3.1 freshwater ecotoxicity, CTUe). Nodes are positioned by routing depth from left to right and by year from top to bottom; </w:t>
      </w:r>
      <w:r w:rsidR="001D4ECA">
        <w:t>flow widths are proportional to the functional unit's score potential</w:t>
      </w:r>
      <w:r>
        <w:t>. A 0.1% root-branch visual cutoff is applied. The right-side panel shows transparent, unstacked branch density areas over time, and the lower panel shows transparent, unstacked branch density areas over routing depth; each density panel uses a common scale across displayed branches.</w:t>
      </w:r>
    </w:p>
    <w:p w14:paraId="352F89E5" w14:textId="77777777" w:rsidR="00EA62D7" w:rsidRDefault="00125CD5">
      <w:r>
        <w:br w:type="page"/>
      </w:r>
    </w:p>
    <w:p w14:paraId="7BC9E1DE" w14:textId="77777777" w:rsidR="00EA62D7" w:rsidRDefault="00125CD5">
      <w:pPr>
        <w:jc w:val="center"/>
      </w:pPr>
      <w:r>
        <w:rPr>
          <w:noProof/>
        </w:rPr>
        <w:lastRenderedPageBreak/>
        <w:drawing>
          <wp:inline distT="0" distB="0" distL="0" distR="0" wp14:anchorId="17132F4E" wp14:editId="560A86EC">
            <wp:extent cx="9646920" cy="48234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ccs_adaptive_rel_1e-4_branch_cutoff_1pct_sankey.png"/>
                    <pic:cNvPicPr/>
                  </pic:nvPicPr>
                  <pic:blipFill>
                    <a:blip r:embed="rId32"/>
                    <a:stretch>
                      <a:fillRect/>
                    </a:stretch>
                  </pic:blipFill>
                  <pic:spPr>
                    <a:xfrm>
                      <a:off x="0" y="0"/>
                      <a:ext cx="9646920" cy="4823460"/>
                    </a:xfrm>
                    <a:prstGeom prst="rect">
                      <a:avLst/>
                    </a:prstGeom>
                  </pic:spPr>
                </pic:pic>
              </a:graphicData>
            </a:graphic>
          </wp:inline>
        </w:drawing>
      </w:r>
    </w:p>
    <w:p w14:paraId="0AEAED06" w14:textId="79B6CBA4" w:rsidR="00EA62D7" w:rsidRDefault="00125CD5">
      <w:pPr>
        <w:jc w:val="left"/>
      </w:pPr>
      <w:r>
        <w:t xml:space="preserve">Figure S10.3. Adaptive-routing Sankey diagram for the direct-air-capture case (EF v3.1 ozone depletion potential). Nodes are positioned by routing depth from left to right and by year from top to bottom; </w:t>
      </w:r>
      <w:r w:rsidR="001D4ECA">
        <w:t>flow widths are proportional to the functional unit's score potential</w:t>
      </w:r>
      <w:r>
        <w:t>. A 0.1% root-branch visual cutoff is applied. The right-side panel shows transparent, unstacked branch density areas over time, and the lower panel shows transparent, unstacked branch density areas over routing depth; each density panel uses a common scale across displayed branches.</w:t>
      </w:r>
    </w:p>
    <w:p w14:paraId="7193BDE4" w14:textId="77777777" w:rsidR="00EA62D7" w:rsidRDefault="00125CD5">
      <w:r>
        <w:br w:type="page"/>
      </w:r>
    </w:p>
    <w:p w14:paraId="4BE8D54E" w14:textId="77777777" w:rsidR="00EA62D7" w:rsidRDefault="00125CD5">
      <w:pPr>
        <w:jc w:val="center"/>
      </w:pPr>
      <w:r>
        <w:rPr>
          <w:noProof/>
        </w:rPr>
        <w:lastRenderedPageBreak/>
        <w:drawing>
          <wp:inline distT="0" distB="0" distL="0" distR="0" wp14:anchorId="6CE6DF6D" wp14:editId="701654AD">
            <wp:extent cx="9646920" cy="48234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pping_adaptive_rel_1e-4_branch_cutoff_1pct_sankey.png"/>
                    <pic:cNvPicPr/>
                  </pic:nvPicPr>
                  <pic:blipFill>
                    <a:blip r:embed="rId33"/>
                    <a:stretch>
                      <a:fillRect/>
                    </a:stretch>
                  </pic:blipFill>
                  <pic:spPr>
                    <a:xfrm>
                      <a:off x="0" y="0"/>
                      <a:ext cx="9646920" cy="4823460"/>
                    </a:xfrm>
                    <a:prstGeom prst="rect">
                      <a:avLst/>
                    </a:prstGeom>
                  </pic:spPr>
                </pic:pic>
              </a:graphicData>
            </a:graphic>
          </wp:inline>
        </w:drawing>
      </w:r>
    </w:p>
    <w:p w14:paraId="3E4BE661" w14:textId="175AD401" w:rsidR="00EA62D7" w:rsidRDefault="00125CD5">
      <w:pPr>
        <w:jc w:val="left"/>
      </w:pPr>
      <w:r>
        <w:t xml:space="preserve">Figure S10.4. Adaptive-routing Sankey diagram for the marine shipping case (EF v3.1 human toxicity, carcinogenic, CTUh). Nodes are positioned by routing depth from left to right and by year from top to bottom; </w:t>
      </w:r>
      <w:r w:rsidR="001D4ECA">
        <w:t>flow widths are proportional to the functional unit's score potential</w:t>
      </w:r>
      <w:r>
        <w:t>. A 0.1% root-branch visual cutoff is applied. The right-side panel shows transparent, unstacked branch density areas over time, and the lower panel shows transparent, unstacked branch density areas over routing depth; each density panel uses a common scale across displayed branches.</w:t>
      </w:r>
    </w:p>
    <w:p w14:paraId="00D1F74D" w14:textId="23653DC3" w:rsidR="004400D5" w:rsidRDefault="004400D5"/>
    <w:p w14:paraId="7DFF1E14" w14:textId="77777777" w:rsidR="004400D5" w:rsidRDefault="004400D5">
      <w:pPr>
        <w:overflowPunct/>
        <w:autoSpaceDE/>
        <w:autoSpaceDN/>
        <w:adjustRightInd/>
        <w:spacing w:after="0" w:line="240" w:lineRule="auto"/>
        <w:jc w:val="left"/>
        <w:textAlignment w:val="auto"/>
      </w:pPr>
      <w:r>
        <w:br w:type="page"/>
      </w:r>
    </w:p>
    <w:p w14:paraId="586B31E0" w14:textId="747675C6" w:rsidR="004400D5" w:rsidRDefault="004400D5"/>
    <w:p w14:paraId="7F9124E3" w14:textId="05E2CE88" w:rsidR="004400D5" w:rsidRDefault="004400D5">
      <w:pPr>
        <w:overflowPunct/>
        <w:autoSpaceDE/>
        <w:autoSpaceDN/>
        <w:adjustRightInd/>
        <w:spacing w:after="0" w:line="240" w:lineRule="auto"/>
        <w:jc w:val="left"/>
        <w:textAlignment w:val="auto"/>
      </w:pPr>
    </w:p>
    <w:p w14:paraId="4C800A6E" w14:textId="40F3ECDA" w:rsidR="004400D5" w:rsidRDefault="00664EF3" w:rsidP="00664EF3">
      <w:pPr>
        <w:pStyle w:val="Heading1"/>
        <w:numPr>
          <w:ilvl w:val="0"/>
          <w:numId w:val="50"/>
        </w:numPr>
      </w:pPr>
      <w:r>
        <w:t xml:space="preserve"> </w:t>
      </w:r>
      <w:bookmarkStart w:id="21" w:name="_Toc233129519"/>
      <w:r w:rsidR="004400D5">
        <w:t>Routing-comparison plots for all case-study indicators</w:t>
      </w:r>
      <w:bookmarkEnd w:id="21"/>
    </w:p>
    <w:p w14:paraId="671CF5B3" w14:textId="77777777" w:rsidR="004400D5" w:rsidRDefault="004400D5" w:rsidP="004400D5">
      <w:r>
        <w:t>This appendix reports the routing-comparison plots generated for all European Footprint v3.1 indicators in each case study. Each row pairs the unstacked annual-impact view with the corresponding stacked annual-impact view. The cumulative foreground-only, adaptive-routing, and static reference scores are shown as in the main case-study figures.</w:t>
      </w:r>
    </w:p>
    <w:p w14:paraId="105B5E24" w14:textId="77777777" w:rsidR="00F72ADE" w:rsidRDefault="00F72ADE">
      <w:pPr>
        <w:overflowPunct/>
        <w:autoSpaceDE/>
        <w:autoSpaceDN/>
        <w:adjustRightInd/>
        <w:spacing w:after="0" w:line="240" w:lineRule="auto"/>
        <w:jc w:val="left"/>
        <w:textAlignment w:val="auto"/>
        <w:rPr>
          <w:b/>
        </w:rPr>
      </w:pPr>
      <w:r>
        <w:br w:type="page"/>
      </w:r>
    </w:p>
    <w:p w14:paraId="5D0AC8C4" w14:textId="3626FA41" w:rsidR="004400D5" w:rsidRDefault="004400D5" w:rsidP="004400D5">
      <w:pPr>
        <w:pStyle w:val="Heading20"/>
      </w:pPr>
      <w:bookmarkStart w:id="22" w:name="_Toc233129520"/>
      <w:r>
        <w:lastRenderedPageBreak/>
        <w:t>Battery electric vehicle</w:t>
      </w:r>
      <w:bookmarkEnd w:id="2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71"/>
        <w:gridCol w:w="7771"/>
      </w:tblGrid>
      <w:tr w:rsidR="004400D5" w14:paraId="553689BB" w14:textId="77777777" w:rsidTr="00BC178F">
        <w:tc>
          <w:tcPr>
            <w:tcW w:w="7771" w:type="dxa"/>
          </w:tcPr>
          <w:p w14:paraId="01C4E0E5" w14:textId="77777777" w:rsidR="004400D5" w:rsidRDefault="004400D5" w:rsidP="001C210D">
            <w:pPr>
              <w:jc w:val="left"/>
            </w:pPr>
            <w:r>
              <w:rPr>
                <w:b/>
                <w:sz w:val="16"/>
              </w:rPr>
              <w:t>Unstacked annual impacts</w:t>
            </w:r>
          </w:p>
        </w:tc>
        <w:tc>
          <w:tcPr>
            <w:tcW w:w="7771" w:type="dxa"/>
          </w:tcPr>
          <w:p w14:paraId="78F474EC" w14:textId="77777777" w:rsidR="004400D5" w:rsidRDefault="004400D5" w:rsidP="001C210D">
            <w:pPr>
              <w:jc w:val="left"/>
            </w:pPr>
            <w:r>
              <w:rPr>
                <w:b/>
                <w:sz w:val="16"/>
              </w:rPr>
              <w:t>Stacked annual impacts</w:t>
            </w:r>
          </w:p>
        </w:tc>
      </w:tr>
      <w:tr w:rsidR="004400D5" w14:paraId="6DAC3F3C" w14:textId="77777777" w:rsidTr="00BC178F">
        <w:tc>
          <w:tcPr>
            <w:tcW w:w="15542" w:type="dxa"/>
            <w:gridSpan w:val="2"/>
          </w:tcPr>
          <w:p w14:paraId="284EAF6A" w14:textId="77777777" w:rsidR="004400D5" w:rsidRDefault="004400D5" w:rsidP="001C210D">
            <w:pPr>
              <w:jc w:val="left"/>
            </w:pPr>
            <w:r>
              <w:rPr>
                <w:b/>
                <w:sz w:val="16"/>
              </w:rPr>
              <w:t>Figure S-routing-bev-01. acidification - accumulated exceedance (AE).</w:t>
            </w:r>
          </w:p>
        </w:tc>
      </w:tr>
      <w:tr w:rsidR="004400D5" w14:paraId="65CED49D" w14:textId="77777777" w:rsidTr="00BC178F">
        <w:tc>
          <w:tcPr>
            <w:tcW w:w="7771" w:type="dxa"/>
            <w:vAlign w:val="center"/>
          </w:tcPr>
          <w:p w14:paraId="0402D6D0" w14:textId="77777777" w:rsidR="004400D5" w:rsidRDefault="004400D5" w:rsidP="001C210D">
            <w:pPr>
              <w:spacing w:after="0"/>
              <w:jc w:val="center"/>
            </w:pPr>
            <w:r>
              <w:rPr>
                <w:noProof/>
              </w:rPr>
              <w:drawing>
                <wp:inline distT="0" distB="0" distL="0" distR="0" wp14:anchorId="16C83C33" wp14:editId="1ABA1B64">
                  <wp:extent cx="3483428" cy="274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acidification_accumulated_exceedance_ae_routing_comparison_unstacked.png"/>
                          <pic:cNvPicPr/>
                        </pic:nvPicPr>
                        <pic:blipFill>
                          <a:blip r:embed="rId34"/>
                          <a:stretch>
                            <a:fillRect/>
                          </a:stretch>
                        </pic:blipFill>
                        <pic:spPr>
                          <a:xfrm>
                            <a:off x="0" y="0"/>
                            <a:ext cx="3483428" cy="2743200"/>
                          </a:xfrm>
                          <a:prstGeom prst="rect">
                            <a:avLst/>
                          </a:prstGeom>
                        </pic:spPr>
                      </pic:pic>
                    </a:graphicData>
                  </a:graphic>
                </wp:inline>
              </w:drawing>
            </w:r>
          </w:p>
        </w:tc>
        <w:tc>
          <w:tcPr>
            <w:tcW w:w="7771" w:type="dxa"/>
            <w:vAlign w:val="center"/>
          </w:tcPr>
          <w:p w14:paraId="7BF7A055" w14:textId="77777777" w:rsidR="004400D5" w:rsidRDefault="004400D5" w:rsidP="001C210D">
            <w:pPr>
              <w:spacing w:after="0"/>
              <w:jc w:val="center"/>
            </w:pPr>
            <w:r>
              <w:rPr>
                <w:noProof/>
              </w:rPr>
              <w:drawing>
                <wp:inline distT="0" distB="0" distL="0" distR="0" wp14:anchorId="70B97AE8" wp14:editId="16ACFD3C">
                  <wp:extent cx="3483428" cy="2743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acidification_accumulated_exceedance_ae_routing_comparison_stacked.png"/>
                          <pic:cNvPicPr/>
                        </pic:nvPicPr>
                        <pic:blipFill>
                          <a:blip r:embed="rId35"/>
                          <a:stretch>
                            <a:fillRect/>
                          </a:stretch>
                        </pic:blipFill>
                        <pic:spPr>
                          <a:xfrm>
                            <a:off x="0" y="0"/>
                            <a:ext cx="3483428" cy="2743200"/>
                          </a:xfrm>
                          <a:prstGeom prst="rect">
                            <a:avLst/>
                          </a:prstGeom>
                        </pic:spPr>
                      </pic:pic>
                    </a:graphicData>
                  </a:graphic>
                </wp:inline>
              </w:drawing>
            </w:r>
          </w:p>
        </w:tc>
      </w:tr>
      <w:tr w:rsidR="004400D5" w14:paraId="2D0EE5B8" w14:textId="77777777" w:rsidTr="00BC178F">
        <w:tc>
          <w:tcPr>
            <w:tcW w:w="15542" w:type="dxa"/>
            <w:gridSpan w:val="2"/>
          </w:tcPr>
          <w:p w14:paraId="4ABF6EEA" w14:textId="77777777" w:rsidR="004400D5" w:rsidRDefault="004400D5" w:rsidP="001C210D">
            <w:pPr>
              <w:jc w:val="left"/>
            </w:pPr>
            <w:r>
              <w:rPr>
                <w:b/>
                <w:sz w:val="16"/>
              </w:rPr>
              <w:t>Figure S-routing-bev-02. climate change - global warming potential (GWP100).</w:t>
            </w:r>
          </w:p>
        </w:tc>
      </w:tr>
      <w:tr w:rsidR="004400D5" w14:paraId="2C5C8505" w14:textId="77777777" w:rsidTr="00BC178F">
        <w:tc>
          <w:tcPr>
            <w:tcW w:w="7771" w:type="dxa"/>
            <w:vAlign w:val="center"/>
          </w:tcPr>
          <w:p w14:paraId="2F8F8E19" w14:textId="77777777" w:rsidR="004400D5" w:rsidRDefault="004400D5" w:rsidP="001C210D">
            <w:pPr>
              <w:spacing w:after="0"/>
              <w:jc w:val="center"/>
            </w:pPr>
            <w:r>
              <w:rPr>
                <w:noProof/>
              </w:rPr>
              <w:drawing>
                <wp:inline distT="0" distB="0" distL="0" distR="0" wp14:anchorId="057BB04E" wp14:editId="75275B14">
                  <wp:extent cx="3483428" cy="2743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global_warming_potential_gwp100_routing_comparison_unstacked.png"/>
                          <pic:cNvPicPr/>
                        </pic:nvPicPr>
                        <pic:blipFill>
                          <a:blip r:embed="rId36"/>
                          <a:stretch>
                            <a:fillRect/>
                          </a:stretch>
                        </pic:blipFill>
                        <pic:spPr>
                          <a:xfrm>
                            <a:off x="0" y="0"/>
                            <a:ext cx="3483428" cy="2743200"/>
                          </a:xfrm>
                          <a:prstGeom prst="rect">
                            <a:avLst/>
                          </a:prstGeom>
                        </pic:spPr>
                      </pic:pic>
                    </a:graphicData>
                  </a:graphic>
                </wp:inline>
              </w:drawing>
            </w:r>
          </w:p>
        </w:tc>
        <w:tc>
          <w:tcPr>
            <w:tcW w:w="7771" w:type="dxa"/>
            <w:vAlign w:val="center"/>
          </w:tcPr>
          <w:p w14:paraId="314B2F26" w14:textId="77777777" w:rsidR="004400D5" w:rsidRDefault="004400D5" w:rsidP="001C210D">
            <w:pPr>
              <w:spacing w:after="0"/>
              <w:jc w:val="center"/>
            </w:pPr>
            <w:r>
              <w:rPr>
                <w:noProof/>
              </w:rPr>
              <w:drawing>
                <wp:inline distT="0" distB="0" distL="0" distR="0" wp14:anchorId="01DDF7B2" wp14:editId="3B740AA8">
                  <wp:extent cx="3483428" cy="2743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global_warming_potential_gwp100_routing_comparison_stacked.png"/>
                          <pic:cNvPicPr/>
                        </pic:nvPicPr>
                        <pic:blipFill>
                          <a:blip r:embed="rId37"/>
                          <a:stretch>
                            <a:fillRect/>
                          </a:stretch>
                        </pic:blipFill>
                        <pic:spPr>
                          <a:xfrm>
                            <a:off x="0" y="0"/>
                            <a:ext cx="3483428" cy="2743200"/>
                          </a:xfrm>
                          <a:prstGeom prst="rect">
                            <a:avLst/>
                          </a:prstGeom>
                        </pic:spPr>
                      </pic:pic>
                    </a:graphicData>
                  </a:graphic>
                </wp:inline>
              </w:drawing>
            </w:r>
          </w:p>
        </w:tc>
      </w:tr>
      <w:tr w:rsidR="004400D5" w14:paraId="4FB676D1" w14:textId="77777777" w:rsidTr="00BC178F">
        <w:tc>
          <w:tcPr>
            <w:tcW w:w="15542" w:type="dxa"/>
            <w:gridSpan w:val="2"/>
          </w:tcPr>
          <w:p w14:paraId="7467DDD7" w14:textId="77777777" w:rsidR="004400D5" w:rsidRDefault="004400D5" w:rsidP="001C210D">
            <w:pPr>
              <w:jc w:val="left"/>
            </w:pPr>
            <w:r>
              <w:rPr>
                <w:b/>
                <w:sz w:val="16"/>
              </w:rPr>
              <w:lastRenderedPageBreak/>
              <w:t>Figure S-routing-bev-03. climate change: biogenic - global warming potential (GWP100).</w:t>
            </w:r>
          </w:p>
        </w:tc>
      </w:tr>
      <w:tr w:rsidR="004400D5" w14:paraId="626B07A5" w14:textId="77777777" w:rsidTr="00BC178F">
        <w:tc>
          <w:tcPr>
            <w:tcW w:w="7771" w:type="dxa"/>
            <w:vAlign w:val="center"/>
          </w:tcPr>
          <w:p w14:paraId="25F9178E" w14:textId="77777777" w:rsidR="004400D5" w:rsidRDefault="004400D5" w:rsidP="001C210D">
            <w:pPr>
              <w:spacing w:after="0"/>
              <w:jc w:val="center"/>
            </w:pPr>
            <w:r>
              <w:rPr>
                <w:noProof/>
              </w:rPr>
              <w:drawing>
                <wp:inline distT="0" distB="0" distL="0" distR="0" wp14:anchorId="6DC9A234" wp14:editId="6B608732">
                  <wp:extent cx="3483428" cy="2743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biogenic_global_warming_potential_gwp100_routing_comparison_unstacked.png"/>
                          <pic:cNvPicPr/>
                        </pic:nvPicPr>
                        <pic:blipFill>
                          <a:blip r:embed="rId38"/>
                          <a:stretch>
                            <a:fillRect/>
                          </a:stretch>
                        </pic:blipFill>
                        <pic:spPr>
                          <a:xfrm>
                            <a:off x="0" y="0"/>
                            <a:ext cx="3483428" cy="2743200"/>
                          </a:xfrm>
                          <a:prstGeom prst="rect">
                            <a:avLst/>
                          </a:prstGeom>
                        </pic:spPr>
                      </pic:pic>
                    </a:graphicData>
                  </a:graphic>
                </wp:inline>
              </w:drawing>
            </w:r>
          </w:p>
        </w:tc>
        <w:tc>
          <w:tcPr>
            <w:tcW w:w="7771" w:type="dxa"/>
            <w:vAlign w:val="center"/>
          </w:tcPr>
          <w:p w14:paraId="60095E14" w14:textId="77777777" w:rsidR="004400D5" w:rsidRDefault="004400D5" w:rsidP="001C210D">
            <w:pPr>
              <w:spacing w:after="0"/>
              <w:jc w:val="center"/>
            </w:pPr>
            <w:r>
              <w:rPr>
                <w:noProof/>
              </w:rPr>
              <w:drawing>
                <wp:inline distT="0" distB="0" distL="0" distR="0" wp14:anchorId="712F6EFD" wp14:editId="43C1DA6B">
                  <wp:extent cx="3483428" cy="2743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biogenic_global_warming_potential_gwp100_routing_comparison_stacked.png"/>
                          <pic:cNvPicPr/>
                        </pic:nvPicPr>
                        <pic:blipFill>
                          <a:blip r:embed="rId39"/>
                          <a:stretch>
                            <a:fillRect/>
                          </a:stretch>
                        </pic:blipFill>
                        <pic:spPr>
                          <a:xfrm>
                            <a:off x="0" y="0"/>
                            <a:ext cx="3483428" cy="2743200"/>
                          </a:xfrm>
                          <a:prstGeom prst="rect">
                            <a:avLst/>
                          </a:prstGeom>
                        </pic:spPr>
                      </pic:pic>
                    </a:graphicData>
                  </a:graphic>
                </wp:inline>
              </w:drawing>
            </w:r>
          </w:p>
        </w:tc>
      </w:tr>
      <w:tr w:rsidR="004400D5" w14:paraId="11ADEF9D" w14:textId="77777777" w:rsidTr="00BC178F">
        <w:tc>
          <w:tcPr>
            <w:tcW w:w="15542" w:type="dxa"/>
            <w:gridSpan w:val="2"/>
          </w:tcPr>
          <w:p w14:paraId="3F1131BD" w14:textId="77777777" w:rsidR="004400D5" w:rsidRDefault="004400D5" w:rsidP="001C210D">
            <w:pPr>
              <w:jc w:val="left"/>
            </w:pPr>
            <w:r>
              <w:rPr>
                <w:b/>
                <w:sz w:val="16"/>
              </w:rPr>
              <w:t>Figure S-routing-bev-04. climate change: fossil - global warming potential (GWP100).</w:t>
            </w:r>
          </w:p>
        </w:tc>
      </w:tr>
      <w:tr w:rsidR="004400D5" w14:paraId="0AA5C057" w14:textId="77777777" w:rsidTr="00BC178F">
        <w:tc>
          <w:tcPr>
            <w:tcW w:w="7771" w:type="dxa"/>
            <w:vAlign w:val="center"/>
          </w:tcPr>
          <w:p w14:paraId="58CE063E" w14:textId="77777777" w:rsidR="004400D5" w:rsidRDefault="004400D5" w:rsidP="001C210D">
            <w:pPr>
              <w:spacing w:after="0"/>
              <w:jc w:val="center"/>
            </w:pPr>
            <w:r>
              <w:rPr>
                <w:noProof/>
              </w:rPr>
              <w:drawing>
                <wp:inline distT="0" distB="0" distL="0" distR="0" wp14:anchorId="7EE5141B" wp14:editId="35415CD3">
                  <wp:extent cx="3483428" cy="2743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fossil_global_warming_potential_gwp100_routing_comparison_unstacked.png"/>
                          <pic:cNvPicPr/>
                        </pic:nvPicPr>
                        <pic:blipFill>
                          <a:blip r:embed="rId40"/>
                          <a:stretch>
                            <a:fillRect/>
                          </a:stretch>
                        </pic:blipFill>
                        <pic:spPr>
                          <a:xfrm>
                            <a:off x="0" y="0"/>
                            <a:ext cx="3483428" cy="2743200"/>
                          </a:xfrm>
                          <a:prstGeom prst="rect">
                            <a:avLst/>
                          </a:prstGeom>
                        </pic:spPr>
                      </pic:pic>
                    </a:graphicData>
                  </a:graphic>
                </wp:inline>
              </w:drawing>
            </w:r>
          </w:p>
        </w:tc>
        <w:tc>
          <w:tcPr>
            <w:tcW w:w="7771" w:type="dxa"/>
            <w:vAlign w:val="center"/>
          </w:tcPr>
          <w:p w14:paraId="72D258CE" w14:textId="77777777" w:rsidR="004400D5" w:rsidRDefault="004400D5" w:rsidP="001C210D">
            <w:pPr>
              <w:spacing w:after="0"/>
              <w:jc w:val="center"/>
            </w:pPr>
            <w:r>
              <w:rPr>
                <w:noProof/>
              </w:rPr>
              <w:drawing>
                <wp:inline distT="0" distB="0" distL="0" distR="0" wp14:anchorId="2792DEA6" wp14:editId="48745188">
                  <wp:extent cx="3483428" cy="2743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fossil_global_warming_potential_gwp100_routing_comparison_stacked.png"/>
                          <pic:cNvPicPr/>
                        </pic:nvPicPr>
                        <pic:blipFill>
                          <a:blip r:embed="rId41"/>
                          <a:stretch>
                            <a:fillRect/>
                          </a:stretch>
                        </pic:blipFill>
                        <pic:spPr>
                          <a:xfrm>
                            <a:off x="0" y="0"/>
                            <a:ext cx="3483428" cy="2743200"/>
                          </a:xfrm>
                          <a:prstGeom prst="rect">
                            <a:avLst/>
                          </a:prstGeom>
                        </pic:spPr>
                      </pic:pic>
                    </a:graphicData>
                  </a:graphic>
                </wp:inline>
              </w:drawing>
            </w:r>
          </w:p>
        </w:tc>
      </w:tr>
    </w:tbl>
    <w:p w14:paraId="04846833" w14:textId="17605494" w:rsidR="008C1996" w:rsidRDefault="008C1996"/>
    <w:p w14:paraId="65997D84" w14:textId="77777777" w:rsidR="008C1996" w:rsidRDefault="008C1996">
      <w:pPr>
        <w:overflowPunct/>
        <w:autoSpaceDE/>
        <w:autoSpaceDN/>
        <w:adjustRightInd/>
        <w:spacing w:after="0" w:line="240" w:lineRule="auto"/>
        <w:jc w:val="left"/>
        <w:textAlignment w:val="auto"/>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71"/>
        <w:gridCol w:w="7771"/>
      </w:tblGrid>
      <w:tr w:rsidR="004400D5" w14:paraId="3EEB70DB" w14:textId="77777777" w:rsidTr="00BC178F">
        <w:tc>
          <w:tcPr>
            <w:tcW w:w="15542" w:type="dxa"/>
            <w:gridSpan w:val="2"/>
          </w:tcPr>
          <w:p w14:paraId="13D0737E" w14:textId="77777777" w:rsidR="004400D5" w:rsidRDefault="004400D5" w:rsidP="001C210D">
            <w:pPr>
              <w:jc w:val="left"/>
            </w:pPr>
            <w:r>
              <w:rPr>
                <w:b/>
                <w:sz w:val="16"/>
              </w:rPr>
              <w:lastRenderedPageBreak/>
              <w:t>Figure S-routing-bev-05. climate change: land use and land use change - global warming potential (GWP100).</w:t>
            </w:r>
          </w:p>
        </w:tc>
      </w:tr>
      <w:tr w:rsidR="004400D5" w14:paraId="0492309D" w14:textId="77777777" w:rsidTr="00BC178F">
        <w:tc>
          <w:tcPr>
            <w:tcW w:w="7771" w:type="dxa"/>
            <w:vAlign w:val="center"/>
          </w:tcPr>
          <w:p w14:paraId="6955515B" w14:textId="77777777" w:rsidR="004400D5" w:rsidRDefault="004400D5" w:rsidP="001C210D">
            <w:pPr>
              <w:spacing w:after="0"/>
              <w:jc w:val="center"/>
            </w:pPr>
            <w:r>
              <w:rPr>
                <w:noProof/>
              </w:rPr>
              <w:drawing>
                <wp:inline distT="0" distB="0" distL="0" distR="0" wp14:anchorId="3168B655" wp14:editId="1927B23F">
                  <wp:extent cx="3483428" cy="2743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land_use_and_land_use_change_global_warming_potential_gwp100_routing_comparison_unstacked.png"/>
                          <pic:cNvPicPr/>
                        </pic:nvPicPr>
                        <pic:blipFill>
                          <a:blip r:embed="rId42"/>
                          <a:stretch>
                            <a:fillRect/>
                          </a:stretch>
                        </pic:blipFill>
                        <pic:spPr>
                          <a:xfrm>
                            <a:off x="0" y="0"/>
                            <a:ext cx="3483428" cy="2743200"/>
                          </a:xfrm>
                          <a:prstGeom prst="rect">
                            <a:avLst/>
                          </a:prstGeom>
                        </pic:spPr>
                      </pic:pic>
                    </a:graphicData>
                  </a:graphic>
                </wp:inline>
              </w:drawing>
            </w:r>
          </w:p>
        </w:tc>
        <w:tc>
          <w:tcPr>
            <w:tcW w:w="7771" w:type="dxa"/>
            <w:vAlign w:val="center"/>
          </w:tcPr>
          <w:p w14:paraId="091EFB0F" w14:textId="77777777" w:rsidR="004400D5" w:rsidRDefault="004400D5" w:rsidP="001C210D">
            <w:pPr>
              <w:spacing w:after="0"/>
              <w:jc w:val="center"/>
            </w:pPr>
            <w:r>
              <w:rPr>
                <w:noProof/>
              </w:rPr>
              <w:drawing>
                <wp:inline distT="0" distB="0" distL="0" distR="0" wp14:anchorId="22EDECC9" wp14:editId="1CA1A2F4">
                  <wp:extent cx="3483428" cy="2743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land_use_and_land_use_change_global_warming_potential_gwp100_routing_comparison_stacked.png"/>
                          <pic:cNvPicPr/>
                        </pic:nvPicPr>
                        <pic:blipFill>
                          <a:blip r:embed="rId43"/>
                          <a:stretch>
                            <a:fillRect/>
                          </a:stretch>
                        </pic:blipFill>
                        <pic:spPr>
                          <a:xfrm>
                            <a:off x="0" y="0"/>
                            <a:ext cx="3483428" cy="2743200"/>
                          </a:xfrm>
                          <a:prstGeom prst="rect">
                            <a:avLst/>
                          </a:prstGeom>
                        </pic:spPr>
                      </pic:pic>
                    </a:graphicData>
                  </a:graphic>
                </wp:inline>
              </w:drawing>
            </w:r>
          </w:p>
        </w:tc>
      </w:tr>
      <w:tr w:rsidR="004400D5" w14:paraId="2E593B87" w14:textId="77777777" w:rsidTr="00BC178F">
        <w:tc>
          <w:tcPr>
            <w:tcW w:w="15542" w:type="dxa"/>
            <w:gridSpan w:val="2"/>
          </w:tcPr>
          <w:p w14:paraId="775FB96B" w14:textId="77777777" w:rsidR="004400D5" w:rsidRDefault="004400D5" w:rsidP="001C210D">
            <w:pPr>
              <w:jc w:val="left"/>
            </w:pPr>
            <w:r>
              <w:rPr>
                <w:b/>
                <w:sz w:val="16"/>
              </w:rPr>
              <w:t>Figure S-routing-bev-06. ecotoxicity: freshwater - comparative toxic unit for ecosystems (</w:t>
            </w:r>
            <w:proofErr w:type="spellStart"/>
            <w:r>
              <w:rPr>
                <w:b/>
                <w:sz w:val="16"/>
              </w:rPr>
              <w:t>CTUe</w:t>
            </w:r>
            <w:proofErr w:type="spellEnd"/>
            <w:r>
              <w:rPr>
                <w:b/>
                <w:sz w:val="16"/>
              </w:rPr>
              <w:t>).</w:t>
            </w:r>
          </w:p>
        </w:tc>
      </w:tr>
      <w:tr w:rsidR="004400D5" w14:paraId="02370CF9" w14:textId="77777777" w:rsidTr="00BC178F">
        <w:tc>
          <w:tcPr>
            <w:tcW w:w="7771" w:type="dxa"/>
            <w:vAlign w:val="center"/>
          </w:tcPr>
          <w:p w14:paraId="304D750C" w14:textId="77777777" w:rsidR="004400D5" w:rsidRDefault="004400D5" w:rsidP="001C210D">
            <w:pPr>
              <w:spacing w:after="0"/>
              <w:jc w:val="center"/>
            </w:pPr>
            <w:r>
              <w:rPr>
                <w:noProof/>
              </w:rPr>
              <w:drawing>
                <wp:inline distT="0" distB="0" distL="0" distR="0" wp14:anchorId="7FF52C80" wp14:editId="7BB91DBD">
                  <wp:extent cx="3483428" cy="2743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comparative_toxic_unit_for_ecosystems_ctue_routing_comparison_unstacked.png"/>
                          <pic:cNvPicPr/>
                        </pic:nvPicPr>
                        <pic:blipFill>
                          <a:blip r:embed="rId44"/>
                          <a:stretch>
                            <a:fillRect/>
                          </a:stretch>
                        </pic:blipFill>
                        <pic:spPr>
                          <a:xfrm>
                            <a:off x="0" y="0"/>
                            <a:ext cx="3483428" cy="2743200"/>
                          </a:xfrm>
                          <a:prstGeom prst="rect">
                            <a:avLst/>
                          </a:prstGeom>
                        </pic:spPr>
                      </pic:pic>
                    </a:graphicData>
                  </a:graphic>
                </wp:inline>
              </w:drawing>
            </w:r>
          </w:p>
        </w:tc>
        <w:tc>
          <w:tcPr>
            <w:tcW w:w="7771" w:type="dxa"/>
            <w:vAlign w:val="center"/>
          </w:tcPr>
          <w:p w14:paraId="26902062" w14:textId="77777777" w:rsidR="004400D5" w:rsidRDefault="004400D5" w:rsidP="001C210D">
            <w:pPr>
              <w:spacing w:after="0"/>
              <w:jc w:val="center"/>
            </w:pPr>
            <w:r>
              <w:rPr>
                <w:noProof/>
              </w:rPr>
              <w:drawing>
                <wp:inline distT="0" distB="0" distL="0" distR="0" wp14:anchorId="07B6C371" wp14:editId="09746932">
                  <wp:extent cx="3483428" cy="2743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comparative_toxic_unit_for_ecosystems_ctue_routing_comparison_stacked.png"/>
                          <pic:cNvPicPr/>
                        </pic:nvPicPr>
                        <pic:blipFill>
                          <a:blip r:embed="rId45"/>
                          <a:stretch>
                            <a:fillRect/>
                          </a:stretch>
                        </pic:blipFill>
                        <pic:spPr>
                          <a:xfrm>
                            <a:off x="0" y="0"/>
                            <a:ext cx="3483428" cy="2743200"/>
                          </a:xfrm>
                          <a:prstGeom prst="rect">
                            <a:avLst/>
                          </a:prstGeom>
                        </pic:spPr>
                      </pic:pic>
                    </a:graphicData>
                  </a:graphic>
                </wp:inline>
              </w:drawing>
            </w:r>
          </w:p>
        </w:tc>
      </w:tr>
    </w:tbl>
    <w:p w14:paraId="3B980842" w14:textId="18E2064B" w:rsidR="008C1996" w:rsidRDefault="008C1996"/>
    <w:p w14:paraId="32181834" w14:textId="77777777" w:rsidR="008C1996" w:rsidRDefault="008C1996">
      <w:pPr>
        <w:overflowPunct/>
        <w:autoSpaceDE/>
        <w:autoSpaceDN/>
        <w:adjustRightInd/>
        <w:spacing w:after="0" w:line="240" w:lineRule="auto"/>
        <w:jc w:val="left"/>
        <w:textAlignment w:val="auto"/>
      </w:pPr>
      <w:r>
        <w:br w:type="page"/>
      </w:r>
    </w:p>
    <w:p w14:paraId="54108598" w14:textId="77777777" w:rsidR="008C1996" w:rsidRDefault="008C199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71"/>
        <w:gridCol w:w="7771"/>
      </w:tblGrid>
      <w:tr w:rsidR="004400D5" w14:paraId="3C865526" w14:textId="77777777" w:rsidTr="00BC178F">
        <w:tc>
          <w:tcPr>
            <w:tcW w:w="15542" w:type="dxa"/>
            <w:gridSpan w:val="2"/>
          </w:tcPr>
          <w:p w14:paraId="14F956DF" w14:textId="77777777" w:rsidR="004400D5" w:rsidRDefault="004400D5" w:rsidP="001C210D">
            <w:pPr>
              <w:jc w:val="left"/>
            </w:pPr>
            <w:r>
              <w:rPr>
                <w:b/>
                <w:sz w:val="16"/>
              </w:rPr>
              <w:t>Figure S-routing-bev-07. ecotoxicity: freshwater, inorganics - comparative toxic unit for ecosystems (</w:t>
            </w:r>
            <w:proofErr w:type="spellStart"/>
            <w:r>
              <w:rPr>
                <w:b/>
                <w:sz w:val="16"/>
              </w:rPr>
              <w:t>CTUe</w:t>
            </w:r>
            <w:proofErr w:type="spellEnd"/>
            <w:r>
              <w:rPr>
                <w:b/>
                <w:sz w:val="16"/>
              </w:rPr>
              <w:t>).</w:t>
            </w:r>
          </w:p>
        </w:tc>
      </w:tr>
      <w:tr w:rsidR="004400D5" w14:paraId="0F4FFA9B" w14:textId="77777777" w:rsidTr="00BC178F">
        <w:tc>
          <w:tcPr>
            <w:tcW w:w="7771" w:type="dxa"/>
            <w:vAlign w:val="center"/>
          </w:tcPr>
          <w:p w14:paraId="087D5CC3" w14:textId="77777777" w:rsidR="004400D5" w:rsidRDefault="004400D5" w:rsidP="001C210D">
            <w:pPr>
              <w:spacing w:after="0"/>
              <w:jc w:val="center"/>
            </w:pPr>
            <w:r>
              <w:rPr>
                <w:noProof/>
              </w:rPr>
              <w:drawing>
                <wp:inline distT="0" distB="0" distL="0" distR="0" wp14:anchorId="51F45DE8" wp14:editId="26C376B5">
                  <wp:extent cx="3483428" cy="2743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inorganics_comparative_toxic_unit_for_ecosystems_ctue_routing_comparison_unstacked.png"/>
                          <pic:cNvPicPr/>
                        </pic:nvPicPr>
                        <pic:blipFill>
                          <a:blip r:embed="rId46"/>
                          <a:stretch>
                            <a:fillRect/>
                          </a:stretch>
                        </pic:blipFill>
                        <pic:spPr>
                          <a:xfrm>
                            <a:off x="0" y="0"/>
                            <a:ext cx="3483428" cy="2743200"/>
                          </a:xfrm>
                          <a:prstGeom prst="rect">
                            <a:avLst/>
                          </a:prstGeom>
                        </pic:spPr>
                      </pic:pic>
                    </a:graphicData>
                  </a:graphic>
                </wp:inline>
              </w:drawing>
            </w:r>
          </w:p>
        </w:tc>
        <w:tc>
          <w:tcPr>
            <w:tcW w:w="7771" w:type="dxa"/>
            <w:vAlign w:val="center"/>
          </w:tcPr>
          <w:p w14:paraId="4C5C6308" w14:textId="77777777" w:rsidR="004400D5" w:rsidRDefault="004400D5" w:rsidP="001C210D">
            <w:pPr>
              <w:spacing w:after="0"/>
              <w:jc w:val="center"/>
            </w:pPr>
            <w:r>
              <w:rPr>
                <w:noProof/>
              </w:rPr>
              <w:drawing>
                <wp:inline distT="0" distB="0" distL="0" distR="0" wp14:anchorId="33ADC709" wp14:editId="2CB97079">
                  <wp:extent cx="3483428" cy="2743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inorganics_comparative_toxic_unit_for_ecosystems_ctue_routing_comparison_stacked.png"/>
                          <pic:cNvPicPr/>
                        </pic:nvPicPr>
                        <pic:blipFill>
                          <a:blip r:embed="rId47"/>
                          <a:stretch>
                            <a:fillRect/>
                          </a:stretch>
                        </pic:blipFill>
                        <pic:spPr>
                          <a:xfrm>
                            <a:off x="0" y="0"/>
                            <a:ext cx="3483428" cy="2743200"/>
                          </a:xfrm>
                          <a:prstGeom prst="rect">
                            <a:avLst/>
                          </a:prstGeom>
                        </pic:spPr>
                      </pic:pic>
                    </a:graphicData>
                  </a:graphic>
                </wp:inline>
              </w:drawing>
            </w:r>
          </w:p>
        </w:tc>
      </w:tr>
      <w:tr w:rsidR="004400D5" w14:paraId="675E0A2D" w14:textId="77777777" w:rsidTr="00BC178F">
        <w:tc>
          <w:tcPr>
            <w:tcW w:w="15542" w:type="dxa"/>
            <w:gridSpan w:val="2"/>
          </w:tcPr>
          <w:p w14:paraId="0A4DD7D7" w14:textId="77777777" w:rsidR="004400D5" w:rsidRDefault="004400D5" w:rsidP="001C210D">
            <w:pPr>
              <w:jc w:val="left"/>
            </w:pPr>
            <w:r>
              <w:rPr>
                <w:b/>
                <w:sz w:val="16"/>
              </w:rPr>
              <w:t>Figure S-routing-bev-08. ecotoxicity: freshwater, organics - comparative toxic unit for ecosystems (</w:t>
            </w:r>
            <w:proofErr w:type="spellStart"/>
            <w:r>
              <w:rPr>
                <w:b/>
                <w:sz w:val="16"/>
              </w:rPr>
              <w:t>CTUe</w:t>
            </w:r>
            <w:proofErr w:type="spellEnd"/>
            <w:r>
              <w:rPr>
                <w:b/>
                <w:sz w:val="16"/>
              </w:rPr>
              <w:t>).</w:t>
            </w:r>
          </w:p>
        </w:tc>
      </w:tr>
      <w:tr w:rsidR="004400D5" w14:paraId="5745CE3E" w14:textId="77777777" w:rsidTr="00BC178F">
        <w:tc>
          <w:tcPr>
            <w:tcW w:w="7771" w:type="dxa"/>
            <w:vAlign w:val="center"/>
          </w:tcPr>
          <w:p w14:paraId="1DB94D98" w14:textId="77777777" w:rsidR="004400D5" w:rsidRDefault="004400D5" w:rsidP="001C210D">
            <w:pPr>
              <w:spacing w:after="0"/>
              <w:jc w:val="center"/>
            </w:pPr>
            <w:r>
              <w:rPr>
                <w:noProof/>
              </w:rPr>
              <w:drawing>
                <wp:inline distT="0" distB="0" distL="0" distR="0" wp14:anchorId="611CA161" wp14:editId="2267F4C2">
                  <wp:extent cx="3483428" cy="2743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organics_comparative_toxic_unit_for_ecosystems_ctue_routing_comparison_unstacked.png"/>
                          <pic:cNvPicPr/>
                        </pic:nvPicPr>
                        <pic:blipFill>
                          <a:blip r:embed="rId48"/>
                          <a:stretch>
                            <a:fillRect/>
                          </a:stretch>
                        </pic:blipFill>
                        <pic:spPr>
                          <a:xfrm>
                            <a:off x="0" y="0"/>
                            <a:ext cx="3483428" cy="2743200"/>
                          </a:xfrm>
                          <a:prstGeom prst="rect">
                            <a:avLst/>
                          </a:prstGeom>
                        </pic:spPr>
                      </pic:pic>
                    </a:graphicData>
                  </a:graphic>
                </wp:inline>
              </w:drawing>
            </w:r>
          </w:p>
        </w:tc>
        <w:tc>
          <w:tcPr>
            <w:tcW w:w="7771" w:type="dxa"/>
            <w:vAlign w:val="center"/>
          </w:tcPr>
          <w:p w14:paraId="68E2939D" w14:textId="77777777" w:rsidR="004400D5" w:rsidRDefault="004400D5" w:rsidP="001C210D">
            <w:pPr>
              <w:spacing w:after="0"/>
              <w:jc w:val="center"/>
            </w:pPr>
            <w:r>
              <w:rPr>
                <w:noProof/>
              </w:rPr>
              <w:drawing>
                <wp:inline distT="0" distB="0" distL="0" distR="0" wp14:anchorId="09258D3F" wp14:editId="00A86A67">
                  <wp:extent cx="3483428" cy="2743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organics_comparative_toxic_unit_for_ecosystems_ctue_routing_comparison_stacked.png"/>
                          <pic:cNvPicPr/>
                        </pic:nvPicPr>
                        <pic:blipFill>
                          <a:blip r:embed="rId49"/>
                          <a:stretch>
                            <a:fillRect/>
                          </a:stretch>
                        </pic:blipFill>
                        <pic:spPr>
                          <a:xfrm>
                            <a:off x="0" y="0"/>
                            <a:ext cx="3483428" cy="2743200"/>
                          </a:xfrm>
                          <a:prstGeom prst="rect">
                            <a:avLst/>
                          </a:prstGeom>
                        </pic:spPr>
                      </pic:pic>
                    </a:graphicData>
                  </a:graphic>
                </wp:inline>
              </w:drawing>
            </w:r>
          </w:p>
        </w:tc>
      </w:tr>
      <w:tr w:rsidR="004400D5" w14:paraId="7DB00474" w14:textId="77777777" w:rsidTr="00BC178F">
        <w:tc>
          <w:tcPr>
            <w:tcW w:w="15542" w:type="dxa"/>
            <w:gridSpan w:val="2"/>
          </w:tcPr>
          <w:p w14:paraId="2C06030E" w14:textId="77777777" w:rsidR="004400D5" w:rsidRDefault="004400D5" w:rsidP="001C210D">
            <w:pPr>
              <w:jc w:val="left"/>
            </w:pPr>
            <w:r>
              <w:rPr>
                <w:b/>
                <w:sz w:val="16"/>
              </w:rPr>
              <w:t>Figure S-routing-bev-09. energy resources: non-renewable - abiotic depletion potential (ADP): fossil fuels.</w:t>
            </w:r>
          </w:p>
        </w:tc>
      </w:tr>
      <w:tr w:rsidR="004400D5" w14:paraId="2BF5964D" w14:textId="77777777" w:rsidTr="00BC178F">
        <w:tc>
          <w:tcPr>
            <w:tcW w:w="7771" w:type="dxa"/>
            <w:vAlign w:val="center"/>
          </w:tcPr>
          <w:p w14:paraId="64A7C435" w14:textId="77777777" w:rsidR="004400D5" w:rsidRDefault="004400D5" w:rsidP="001C210D">
            <w:pPr>
              <w:spacing w:after="0"/>
              <w:jc w:val="center"/>
            </w:pPr>
            <w:r>
              <w:rPr>
                <w:noProof/>
              </w:rPr>
              <w:lastRenderedPageBreak/>
              <w:drawing>
                <wp:inline distT="0" distB="0" distL="0" distR="0" wp14:anchorId="5806B3F4" wp14:editId="14327CDF">
                  <wp:extent cx="3483428" cy="2743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nergy_resources_non_renewable_abiotic_depletion_potential_adp_fossil_fuels_routing_comparison_unstacked.png"/>
                          <pic:cNvPicPr/>
                        </pic:nvPicPr>
                        <pic:blipFill>
                          <a:blip r:embed="rId50"/>
                          <a:stretch>
                            <a:fillRect/>
                          </a:stretch>
                        </pic:blipFill>
                        <pic:spPr>
                          <a:xfrm>
                            <a:off x="0" y="0"/>
                            <a:ext cx="3483428" cy="2743200"/>
                          </a:xfrm>
                          <a:prstGeom prst="rect">
                            <a:avLst/>
                          </a:prstGeom>
                        </pic:spPr>
                      </pic:pic>
                    </a:graphicData>
                  </a:graphic>
                </wp:inline>
              </w:drawing>
            </w:r>
          </w:p>
        </w:tc>
        <w:tc>
          <w:tcPr>
            <w:tcW w:w="7771" w:type="dxa"/>
            <w:vAlign w:val="center"/>
          </w:tcPr>
          <w:p w14:paraId="131F1F04" w14:textId="77777777" w:rsidR="004400D5" w:rsidRDefault="004400D5" w:rsidP="001C210D">
            <w:pPr>
              <w:spacing w:after="0"/>
              <w:jc w:val="center"/>
            </w:pPr>
            <w:r>
              <w:rPr>
                <w:noProof/>
              </w:rPr>
              <w:drawing>
                <wp:inline distT="0" distB="0" distL="0" distR="0" wp14:anchorId="6FED4529" wp14:editId="7C83210A">
                  <wp:extent cx="3483428" cy="2743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nergy_resources_non_renewable_abiotic_depletion_potential_adp_fossil_fuels_routing_comparison_stacked.png"/>
                          <pic:cNvPicPr/>
                        </pic:nvPicPr>
                        <pic:blipFill>
                          <a:blip r:embed="rId51"/>
                          <a:stretch>
                            <a:fillRect/>
                          </a:stretch>
                        </pic:blipFill>
                        <pic:spPr>
                          <a:xfrm>
                            <a:off x="0" y="0"/>
                            <a:ext cx="3483428" cy="2743200"/>
                          </a:xfrm>
                          <a:prstGeom prst="rect">
                            <a:avLst/>
                          </a:prstGeom>
                        </pic:spPr>
                      </pic:pic>
                    </a:graphicData>
                  </a:graphic>
                </wp:inline>
              </w:drawing>
            </w:r>
          </w:p>
        </w:tc>
      </w:tr>
      <w:tr w:rsidR="004400D5" w14:paraId="4AD86D72" w14:textId="77777777" w:rsidTr="00BC178F">
        <w:tc>
          <w:tcPr>
            <w:tcW w:w="15542" w:type="dxa"/>
            <w:gridSpan w:val="2"/>
          </w:tcPr>
          <w:p w14:paraId="0793C425" w14:textId="77777777" w:rsidR="004400D5" w:rsidRDefault="004400D5" w:rsidP="001C210D">
            <w:pPr>
              <w:jc w:val="left"/>
            </w:pPr>
            <w:r>
              <w:rPr>
                <w:b/>
                <w:sz w:val="16"/>
              </w:rPr>
              <w:t>Figure S-routing-bev-10. eutrophication: freshwater - fraction of nutrients reaching freshwater end compartment (P).</w:t>
            </w:r>
          </w:p>
        </w:tc>
      </w:tr>
      <w:tr w:rsidR="004400D5" w14:paraId="311D3364" w14:textId="77777777" w:rsidTr="00BC178F">
        <w:tc>
          <w:tcPr>
            <w:tcW w:w="7771" w:type="dxa"/>
            <w:vAlign w:val="center"/>
          </w:tcPr>
          <w:p w14:paraId="6BEB9C7B" w14:textId="77777777" w:rsidR="004400D5" w:rsidRDefault="004400D5" w:rsidP="001C210D">
            <w:pPr>
              <w:spacing w:after="0"/>
              <w:jc w:val="center"/>
            </w:pPr>
            <w:r>
              <w:rPr>
                <w:noProof/>
              </w:rPr>
              <w:drawing>
                <wp:inline distT="0" distB="0" distL="0" distR="0" wp14:anchorId="4D977318" wp14:editId="4627404D">
                  <wp:extent cx="3483428" cy="2743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freshwater_fraction_of_nutrients_reaching_freshwater_end_compartment_p_routing_comparison_unstacked.png"/>
                          <pic:cNvPicPr/>
                        </pic:nvPicPr>
                        <pic:blipFill>
                          <a:blip r:embed="rId52"/>
                          <a:stretch>
                            <a:fillRect/>
                          </a:stretch>
                        </pic:blipFill>
                        <pic:spPr>
                          <a:xfrm>
                            <a:off x="0" y="0"/>
                            <a:ext cx="3483428" cy="2743200"/>
                          </a:xfrm>
                          <a:prstGeom prst="rect">
                            <a:avLst/>
                          </a:prstGeom>
                        </pic:spPr>
                      </pic:pic>
                    </a:graphicData>
                  </a:graphic>
                </wp:inline>
              </w:drawing>
            </w:r>
          </w:p>
        </w:tc>
        <w:tc>
          <w:tcPr>
            <w:tcW w:w="7771" w:type="dxa"/>
            <w:vAlign w:val="center"/>
          </w:tcPr>
          <w:p w14:paraId="48DF145E" w14:textId="77777777" w:rsidR="004400D5" w:rsidRDefault="004400D5" w:rsidP="001C210D">
            <w:pPr>
              <w:spacing w:after="0"/>
              <w:jc w:val="center"/>
            </w:pPr>
            <w:r>
              <w:rPr>
                <w:noProof/>
              </w:rPr>
              <w:drawing>
                <wp:inline distT="0" distB="0" distL="0" distR="0" wp14:anchorId="6ADAA8FB" wp14:editId="61918B4F">
                  <wp:extent cx="3483428" cy="2743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freshwater_fraction_of_nutrients_reaching_freshwater_end_compartment_p_routing_comparison_stacked.png"/>
                          <pic:cNvPicPr/>
                        </pic:nvPicPr>
                        <pic:blipFill>
                          <a:blip r:embed="rId53"/>
                          <a:stretch>
                            <a:fillRect/>
                          </a:stretch>
                        </pic:blipFill>
                        <pic:spPr>
                          <a:xfrm>
                            <a:off x="0" y="0"/>
                            <a:ext cx="3483428" cy="2743200"/>
                          </a:xfrm>
                          <a:prstGeom prst="rect">
                            <a:avLst/>
                          </a:prstGeom>
                        </pic:spPr>
                      </pic:pic>
                    </a:graphicData>
                  </a:graphic>
                </wp:inline>
              </w:drawing>
            </w:r>
          </w:p>
        </w:tc>
      </w:tr>
      <w:tr w:rsidR="004400D5" w14:paraId="3DB3D865" w14:textId="77777777" w:rsidTr="00BC178F">
        <w:tc>
          <w:tcPr>
            <w:tcW w:w="15542" w:type="dxa"/>
            <w:gridSpan w:val="2"/>
          </w:tcPr>
          <w:p w14:paraId="4849439E" w14:textId="77777777" w:rsidR="004400D5" w:rsidRDefault="004400D5" w:rsidP="001C210D">
            <w:pPr>
              <w:jc w:val="left"/>
            </w:pPr>
            <w:r>
              <w:rPr>
                <w:b/>
                <w:sz w:val="16"/>
              </w:rPr>
              <w:t>Figure S-routing-bev-11. eutrophication: marine - fraction of nutrients reaching marine end compartment (N).</w:t>
            </w:r>
          </w:p>
        </w:tc>
      </w:tr>
      <w:tr w:rsidR="004400D5" w14:paraId="1756CAFB" w14:textId="77777777" w:rsidTr="00BC178F">
        <w:tc>
          <w:tcPr>
            <w:tcW w:w="7771" w:type="dxa"/>
            <w:vAlign w:val="center"/>
          </w:tcPr>
          <w:p w14:paraId="378165EC" w14:textId="77777777" w:rsidR="004400D5" w:rsidRDefault="004400D5" w:rsidP="001C210D">
            <w:pPr>
              <w:spacing w:after="0"/>
              <w:jc w:val="center"/>
            </w:pPr>
            <w:r>
              <w:rPr>
                <w:noProof/>
              </w:rPr>
              <w:lastRenderedPageBreak/>
              <w:drawing>
                <wp:inline distT="0" distB="0" distL="0" distR="0" wp14:anchorId="279A45B8" wp14:editId="64716C86">
                  <wp:extent cx="3483428" cy="2743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marine_fraction_of_nutrients_reaching_marine_end_compartment_n_routing_comparison_unstacked.png"/>
                          <pic:cNvPicPr/>
                        </pic:nvPicPr>
                        <pic:blipFill>
                          <a:blip r:embed="rId54"/>
                          <a:stretch>
                            <a:fillRect/>
                          </a:stretch>
                        </pic:blipFill>
                        <pic:spPr>
                          <a:xfrm>
                            <a:off x="0" y="0"/>
                            <a:ext cx="3483428" cy="2743200"/>
                          </a:xfrm>
                          <a:prstGeom prst="rect">
                            <a:avLst/>
                          </a:prstGeom>
                        </pic:spPr>
                      </pic:pic>
                    </a:graphicData>
                  </a:graphic>
                </wp:inline>
              </w:drawing>
            </w:r>
          </w:p>
        </w:tc>
        <w:tc>
          <w:tcPr>
            <w:tcW w:w="7771" w:type="dxa"/>
            <w:vAlign w:val="center"/>
          </w:tcPr>
          <w:p w14:paraId="7A2FD04B" w14:textId="77777777" w:rsidR="004400D5" w:rsidRDefault="004400D5" w:rsidP="001C210D">
            <w:pPr>
              <w:spacing w:after="0"/>
              <w:jc w:val="center"/>
            </w:pPr>
            <w:r>
              <w:rPr>
                <w:noProof/>
              </w:rPr>
              <w:drawing>
                <wp:inline distT="0" distB="0" distL="0" distR="0" wp14:anchorId="6E5D31DC" wp14:editId="084EB551">
                  <wp:extent cx="3483428" cy="2743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marine_fraction_of_nutrients_reaching_marine_end_compartment_n_routing_comparison_stacked.png"/>
                          <pic:cNvPicPr/>
                        </pic:nvPicPr>
                        <pic:blipFill>
                          <a:blip r:embed="rId55"/>
                          <a:stretch>
                            <a:fillRect/>
                          </a:stretch>
                        </pic:blipFill>
                        <pic:spPr>
                          <a:xfrm>
                            <a:off x="0" y="0"/>
                            <a:ext cx="3483428" cy="2743200"/>
                          </a:xfrm>
                          <a:prstGeom prst="rect">
                            <a:avLst/>
                          </a:prstGeom>
                        </pic:spPr>
                      </pic:pic>
                    </a:graphicData>
                  </a:graphic>
                </wp:inline>
              </w:drawing>
            </w:r>
          </w:p>
        </w:tc>
      </w:tr>
      <w:tr w:rsidR="004400D5" w14:paraId="0F631CC7" w14:textId="77777777" w:rsidTr="00BC178F">
        <w:tc>
          <w:tcPr>
            <w:tcW w:w="15542" w:type="dxa"/>
            <w:gridSpan w:val="2"/>
          </w:tcPr>
          <w:p w14:paraId="77B5AAB7" w14:textId="77777777" w:rsidR="004400D5" w:rsidRDefault="004400D5" w:rsidP="001C210D">
            <w:pPr>
              <w:jc w:val="left"/>
            </w:pPr>
            <w:r>
              <w:rPr>
                <w:b/>
                <w:sz w:val="16"/>
              </w:rPr>
              <w:t>Figure S-routing-bev-12. eutrophication: terrestrial - accumulated exceedance (AE).</w:t>
            </w:r>
          </w:p>
        </w:tc>
      </w:tr>
      <w:tr w:rsidR="004400D5" w14:paraId="3993FC8F" w14:textId="77777777" w:rsidTr="00BC178F">
        <w:tc>
          <w:tcPr>
            <w:tcW w:w="7771" w:type="dxa"/>
            <w:vAlign w:val="center"/>
          </w:tcPr>
          <w:p w14:paraId="6853C027" w14:textId="77777777" w:rsidR="004400D5" w:rsidRDefault="004400D5" w:rsidP="001C210D">
            <w:pPr>
              <w:spacing w:after="0"/>
              <w:jc w:val="center"/>
            </w:pPr>
            <w:r>
              <w:rPr>
                <w:noProof/>
              </w:rPr>
              <w:drawing>
                <wp:inline distT="0" distB="0" distL="0" distR="0" wp14:anchorId="4E8EA996" wp14:editId="520CAC11">
                  <wp:extent cx="3483428" cy="2743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terrestrial_accumulated_exceedance_ae_routing_comparison_unstacked.png"/>
                          <pic:cNvPicPr/>
                        </pic:nvPicPr>
                        <pic:blipFill>
                          <a:blip r:embed="rId56"/>
                          <a:stretch>
                            <a:fillRect/>
                          </a:stretch>
                        </pic:blipFill>
                        <pic:spPr>
                          <a:xfrm>
                            <a:off x="0" y="0"/>
                            <a:ext cx="3483428" cy="2743200"/>
                          </a:xfrm>
                          <a:prstGeom prst="rect">
                            <a:avLst/>
                          </a:prstGeom>
                        </pic:spPr>
                      </pic:pic>
                    </a:graphicData>
                  </a:graphic>
                </wp:inline>
              </w:drawing>
            </w:r>
          </w:p>
        </w:tc>
        <w:tc>
          <w:tcPr>
            <w:tcW w:w="7771" w:type="dxa"/>
            <w:vAlign w:val="center"/>
          </w:tcPr>
          <w:p w14:paraId="6FFF8B68" w14:textId="77777777" w:rsidR="004400D5" w:rsidRDefault="004400D5" w:rsidP="001C210D">
            <w:pPr>
              <w:spacing w:after="0"/>
              <w:jc w:val="center"/>
            </w:pPr>
            <w:r>
              <w:rPr>
                <w:noProof/>
              </w:rPr>
              <w:drawing>
                <wp:inline distT="0" distB="0" distL="0" distR="0" wp14:anchorId="4B31FA71" wp14:editId="57619AF7">
                  <wp:extent cx="3483428" cy="2743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terrestrial_accumulated_exceedance_ae_routing_comparison_stacked.png"/>
                          <pic:cNvPicPr/>
                        </pic:nvPicPr>
                        <pic:blipFill>
                          <a:blip r:embed="rId57"/>
                          <a:stretch>
                            <a:fillRect/>
                          </a:stretch>
                        </pic:blipFill>
                        <pic:spPr>
                          <a:xfrm>
                            <a:off x="0" y="0"/>
                            <a:ext cx="3483428" cy="2743200"/>
                          </a:xfrm>
                          <a:prstGeom prst="rect">
                            <a:avLst/>
                          </a:prstGeom>
                        </pic:spPr>
                      </pic:pic>
                    </a:graphicData>
                  </a:graphic>
                </wp:inline>
              </w:drawing>
            </w:r>
          </w:p>
        </w:tc>
      </w:tr>
      <w:tr w:rsidR="004400D5" w14:paraId="04F31A40" w14:textId="77777777" w:rsidTr="00BC178F">
        <w:tc>
          <w:tcPr>
            <w:tcW w:w="15542" w:type="dxa"/>
            <w:gridSpan w:val="2"/>
          </w:tcPr>
          <w:p w14:paraId="7D4CC373" w14:textId="77777777" w:rsidR="004400D5" w:rsidRDefault="004400D5" w:rsidP="001C210D">
            <w:pPr>
              <w:jc w:val="left"/>
            </w:pPr>
            <w:r>
              <w:rPr>
                <w:b/>
                <w:sz w:val="16"/>
              </w:rPr>
              <w:t>Figure S-routing-bev-13. human toxicity: carcinogenic - comparative toxic unit for human (</w:t>
            </w:r>
            <w:proofErr w:type="spellStart"/>
            <w:r>
              <w:rPr>
                <w:b/>
                <w:sz w:val="16"/>
              </w:rPr>
              <w:t>CTUh</w:t>
            </w:r>
            <w:proofErr w:type="spellEnd"/>
            <w:r>
              <w:rPr>
                <w:b/>
                <w:sz w:val="16"/>
              </w:rPr>
              <w:t>).</w:t>
            </w:r>
          </w:p>
        </w:tc>
      </w:tr>
      <w:tr w:rsidR="004400D5" w14:paraId="7E8C162B" w14:textId="77777777" w:rsidTr="00BC178F">
        <w:tc>
          <w:tcPr>
            <w:tcW w:w="7771" w:type="dxa"/>
            <w:vAlign w:val="center"/>
          </w:tcPr>
          <w:p w14:paraId="7D42CC4F" w14:textId="77777777" w:rsidR="004400D5" w:rsidRDefault="004400D5" w:rsidP="001C210D">
            <w:pPr>
              <w:spacing w:after="0"/>
              <w:jc w:val="center"/>
            </w:pPr>
            <w:r>
              <w:rPr>
                <w:noProof/>
              </w:rPr>
              <w:lastRenderedPageBreak/>
              <w:drawing>
                <wp:inline distT="0" distB="0" distL="0" distR="0" wp14:anchorId="5682CE5F" wp14:editId="7333E7C7">
                  <wp:extent cx="3483428" cy="2743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comparative_toxic_unit_for_human_ctuh_routing_comparison_unstacked.png"/>
                          <pic:cNvPicPr/>
                        </pic:nvPicPr>
                        <pic:blipFill>
                          <a:blip r:embed="rId58"/>
                          <a:stretch>
                            <a:fillRect/>
                          </a:stretch>
                        </pic:blipFill>
                        <pic:spPr>
                          <a:xfrm>
                            <a:off x="0" y="0"/>
                            <a:ext cx="3483428" cy="2743200"/>
                          </a:xfrm>
                          <a:prstGeom prst="rect">
                            <a:avLst/>
                          </a:prstGeom>
                        </pic:spPr>
                      </pic:pic>
                    </a:graphicData>
                  </a:graphic>
                </wp:inline>
              </w:drawing>
            </w:r>
          </w:p>
        </w:tc>
        <w:tc>
          <w:tcPr>
            <w:tcW w:w="7771" w:type="dxa"/>
            <w:vAlign w:val="center"/>
          </w:tcPr>
          <w:p w14:paraId="06A4E259" w14:textId="77777777" w:rsidR="004400D5" w:rsidRDefault="004400D5" w:rsidP="001C210D">
            <w:pPr>
              <w:spacing w:after="0"/>
              <w:jc w:val="center"/>
            </w:pPr>
            <w:r>
              <w:rPr>
                <w:noProof/>
              </w:rPr>
              <w:drawing>
                <wp:inline distT="0" distB="0" distL="0" distR="0" wp14:anchorId="294FB242" wp14:editId="71765648">
                  <wp:extent cx="3483428" cy="2743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comparative_toxic_unit_for_human_ctuh_routing_comparison_stacked.png"/>
                          <pic:cNvPicPr/>
                        </pic:nvPicPr>
                        <pic:blipFill>
                          <a:blip r:embed="rId59"/>
                          <a:stretch>
                            <a:fillRect/>
                          </a:stretch>
                        </pic:blipFill>
                        <pic:spPr>
                          <a:xfrm>
                            <a:off x="0" y="0"/>
                            <a:ext cx="3483428" cy="2743200"/>
                          </a:xfrm>
                          <a:prstGeom prst="rect">
                            <a:avLst/>
                          </a:prstGeom>
                        </pic:spPr>
                      </pic:pic>
                    </a:graphicData>
                  </a:graphic>
                </wp:inline>
              </w:drawing>
            </w:r>
          </w:p>
        </w:tc>
      </w:tr>
      <w:tr w:rsidR="004400D5" w14:paraId="04AE354E" w14:textId="77777777" w:rsidTr="00BC178F">
        <w:tc>
          <w:tcPr>
            <w:tcW w:w="15542" w:type="dxa"/>
            <w:gridSpan w:val="2"/>
          </w:tcPr>
          <w:p w14:paraId="5F3B6568" w14:textId="77777777" w:rsidR="004400D5" w:rsidRDefault="004400D5" w:rsidP="001C210D">
            <w:pPr>
              <w:jc w:val="left"/>
            </w:pPr>
            <w:r>
              <w:rPr>
                <w:b/>
                <w:sz w:val="16"/>
              </w:rPr>
              <w:t>Figure S-routing-bev-14. human toxicity: carcinogenic, inorganics - comparative toxic unit for human (</w:t>
            </w:r>
            <w:proofErr w:type="spellStart"/>
            <w:r>
              <w:rPr>
                <w:b/>
                <w:sz w:val="16"/>
              </w:rPr>
              <w:t>CTUh</w:t>
            </w:r>
            <w:proofErr w:type="spellEnd"/>
            <w:r>
              <w:rPr>
                <w:b/>
                <w:sz w:val="16"/>
              </w:rPr>
              <w:t>).</w:t>
            </w:r>
          </w:p>
        </w:tc>
      </w:tr>
      <w:tr w:rsidR="004400D5" w14:paraId="5C638EAB" w14:textId="77777777" w:rsidTr="00BC178F">
        <w:tc>
          <w:tcPr>
            <w:tcW w:w="7771" w:type="dxa"/>
            <w:vAlign w:val="center"/>
          </w:tcPr>
          <w:p w14:paraId="2A3FA1BE" w14:textId="77777777" w:rsidR="004400D5" w:rsidRDefault="004400D5" w:rsidP="001C210D">
            <w:pPr>
              <w:spacing w:after="0"/>
              <w:jc w:val="center"/>
            </w:pPr>
            <w:r>
              <w:rPr>
                <w:noProof/>
              </w:rPr>
              <w:drawing>
                <wp:inline distT="0" distB="0" distL="0" distR="0" wp14:anchorId="63D8ECDC" wp14:editId="1403928F">
                  <wp:extent cx="3483428" cy="2743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inorganics_comparative_toxic_unit_for_human_ctuh_routing_comparison_unstacked.png"/>
                          <pic:cNvPicPr/>
                        </pic:nvPicPr>
                        <pic:blipFill>
                          <a:blip r:embed="rId60"/>
                          <a:stretch>
                            <a:fillRect/>
                          </a:stretch>
                        </pic:blipFill>
                        <pic:spPr>
                          <a:xfrm>
                            <a:off x="0" y="0"/>
                            <a:ext cx="3483428" cy="2743200"/>
                          </a:xfrm>
                          <a:prstGeom prst="rect">
                            <a:avLst/>
                          </a:prstGeom>
                        </pic:spPr>
                      </pic:pic>
                    </a:graphicData>
                  </a:graphic>
                </wp:inline>
              </w:drawing>
            </w:r>
          </w:p>
        </w:tc>
        <w:tc>
          <w:tcPr>
            <w:tcW w:w="7771" w:type="dxa"/>
            <w:vAlign w:val="center"/>
          </w:tcPr>
          <w:p w14:paraId="662CB689" w14:textId="77777777" w:rsidR="004400D5" w:rsidRDefault="004400D5" w:rsidP="001C210D">
            <w:pPr>
              <w:spacing w:after="0"/>
              <w:jc w:val="center"/>
            </w:pPr>
            <w:r>
              <w:rPr>
                <w:noProof/>
              </w:rPr>
              <w:drawing>
                <wp:inline distT="0" distB="0" distL="0" distR="0" wp14:anchorId="681A3B3C" wp14:editId="515F4AFB">
                  <wp:extent cx="3483428" cy="2743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inorganics_comparative_toxic_unit_for_human_ctuh_routing_comparison_stacked.png"/>
                          <pic:cNvPicPr/>
                        </pic:nvPicPr>
                        <pic:blipFill>
                          <a:blip r:embed="rId61"/>
                          <a:stretch>
                            <a:fillRect/>
                          </a:stretch>
                        </pic:blipFill>
                        <pic:spPr>
                          <a:xfrm>
                            <a:off x="0" y="0"/>
                            <a:ext cx="3483428" cy="2743200"/>
                          </a:xfrm>
                          <a:prstGeom prst="rect">
                            <a:avLst/>
                          </a:prstGeom>
                        </pic:spPr>
                      </pic:pic>
                    </a:graphicData>
                  </a:graphic>
                </wp:inline>
              </w:drawing>
            </w:r>
          </w:p>
        </w:tc>
      </w:tr>
      <w:tr w:rsidR="004400D5" w14:paraId="2BD70E62" w14:textId="77777777" w:rsidTr="00BC178F">
        <w:tc>
          <w:tcPr>
            <w:tcW w:w="15542" w:type="dxa"/>
            <w:gridSpan w:val="2"/>
          </w:tcPr>
          <w:p w14:paraId="72651B59" w14:textId="77777777" w:rsidR="004400D5" w:rsidRDefault="004400D5" w:rsidP="001C210D">
            <w:pPr>
              <w:jc w:val="left"/>
            </w:pPr>
            <w:r>
              <w:rPr>
                <w:b/>
                <w:sz w:val="16"/>
              </w:rPr>
              <w:t>Figure S-routing-bev-15. human toxicity: carcinogenic, organics - comparative toxic unit for human (</w:t>
            </w:r>
            <w:proofErr w:type="spellStart"/>
            <w:r>
              <w:rPr>
                <w:b/>
                <w:sz w:val="16"/>
              </w:rPr>
              <w:t>CTUh</w:t>
            </w:r>
            <w:proofErr w:type="spellEnd"/>
            <w:r>
              <w:rPr>
                <w:b/>
                <w:sz w:val="16"/>
              </w:rPr>
              <w:t>).</w:t>
            </w:r>
          </w:p>
        </w:tc>
      </w:tr>
      <w:tr w:rsidR="004400D5" w14:paraId="2782309F" w14:textId="77777777" w:rsidTr="00BC178F">
        <w:tc>
          <w:tcPr>
            <w:tcW w:w="7771" w:type="dxa"/>
            <w:vAlign w:val="center"/>
          </w:tcPr>
          <w:p w14:paraId="744F9266" w14:textId="77777777" w:rsidR="004400D5" w:rsidRDefault="004400D5" w:rsidP="001C210D">
            <w:pPr>
              <w:spacing w:after="0"/>
              <w:jc w:val="center"/>
            </w:pPr>
            <w:r>
              <w:rPr>
                <w:noProof/>
              </w:rPr>
              <w:lastRenderedPageBreak/>
              <w:drawing>
                <wp:inline distT="0" distB="0" distL="0" distR="0" wp14:anchorId="4FCC6563" wp14:editId="6F5A5783">
                  <wp:extent cx="3483428" cy="2743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organics_comparative_toxic_unit_for_human_ctuh_routing_comparison_unstacked.png"/>
                          <pic:cNvPicPr/>
                        </pic:nvPicPr>
                        <pic:blipFill>
                          <a:blip r:embed="rId62"/>
                          <a:stretch>
                            <a:fillRect/>
                          </a:stretch>
                        </pic:blipFill>
                        <pic:spPr>
                          <a:xfrm>
                            <a:off x="0" y="0"/>
                            <a:ext cx="3483428" cy="2743200"/>
                          </a:xfrm>
                          <a:prstGeom prst="rect">
                            <a:avLst/>
                          </a:prstGeom>
                        </pic:spPr>
                      </pic:pic>
                    </a:graphicData>
                  </a:graphic>
                </wp:inline>
              </w:drawing>
            </w:r>
          </w:p>
        </w:tc>
        <w:tc>
          <w:tcPr>
            <w:tcW w:w="7771" w:type="dxa"/>
            <w:vAlign w:val="center"/>
          </w:tcPr>
          <w:p w14:paraId="2BB05A3A" w14:textId="77777777" w:rsidR="004400D5" w:rsidRDefault="004400D5" w:rsidP="001C210D">
            <w:pPr>
              <w:spacing w:after="0"/>
              <w:jc w:val="center"/>
            </w:pPr>
            <w:r>
              <w:rPr>
                <w:noProof/>
              </w:rPr>
              <w:drawing>
                <wp:inline distT="0" distB="0" distL="0" distR="0" wp14:anchorId="77DC208B" wp14:editId="52D95A2C">
                  <wp:extent cx="3483428" cy="2743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organics_comparative_toxic_unit_for_human_ctuh_routing_comparison_stacked.png"/>
                          <pic:cNvPicPr/>
                        </pic:nvPicPr>
                        <pic:blipFill>
                          <a:blip r:embed="rId63"/>
                          <a:stretch>
                            <a:fillRect/>
                          </a:stretch>
                        </pic:blipFill>
                        <pic:spPr>
                          <a:xfrm>
                            <a:off x="0" y="0"/>
                            <a:ext cx="3483428" cy="2743200"/>
                          </a:xfrm>
                          <a:prstGeom prst="rect">
                            <a:avLst/>
                          </a:prstGeom>
                        </pic:spPr>
                      </pic:pic>
                    </a:graphicData>
                  </a:graphic>
                </wp:inline>
              </w:drawing>
            </w:r>
          </w:p>
        </w:tc>
      </w:tr>
      <w:tr w:rsidR="004400D5" w14:paraId="5BC98EBF" w14:textId="77777777" w:rsidTr="00BC178F">
        <w:tc>
          <w:tcPr>
            <w:tcW w:w="15542" w:type="dxa"/>
            <w:gridSpan w:val="2"/>
          </w:tcPr>
          <w:p w14:paraId="48901D87" w14:textId="77777777" w:rsidR="004400D5" w:rsidRDefault="004400D5" w:rsidP="001C210D">
            <w:pPr>
              <w:jc w:val="left"/>
            </w:pPr>
            <w:r>
              <w:rPr>
                <w:b/>
                <w:sz w:val="16"/>
              </w:rPr>
              <w:t>Figure S-routing-bev-16. human toxicity: non-carcinogenic - comparative toxic unit for human (</w:t>
            </w:r>
            <w:proofErr w:type="spellStart"/>
            <w:r>
              <w:rPr>
                <w:b/>
                <w:sz w:val="16"/>
              </w:rPr>
              <w:t>CTUh</w:t>
            </w:r>
            <w:proofErr w:type="spellEnd"/>
            <w:r>
              <w:rPr>
                <w:b/>
                <w:sz w:val="16"/>
              </w:rPr>
              <w:t>).</w:t>
            </w:r>
          </w:p>
        </w:tc>
      </w:tr>
      <w:tr w:rsidR="004400D5" w14:paraId="4384980E" w14:textId="77777777" w:rsidTr="00BC178F">
        <w:tc>
          <w:tcPr>
            <w:tcW w:w="7771" w:type="dxa"/>
            <w:vAlign w:val="center"/>
          </w:tcPr>
          <w:p w14:paraId="5E7612E5" w14:textId="77777777" w:rsidR="004400D5" w:rsidRDefault="004400D5" w:rsidP="001C210D">
            <w:pPr>
              <w:spacing w:after="0"/>
              <w:jc w:val="center"/>
            </w:pPr>
            <w:r>
              <w:rPr>
                <w:noProof/>
              </w:rPr>
              <w:drawing>
                <wp:inline distT="0" distB="0" distL="0" distR="0" wp14:anchorId="7765368D" wp14:editId="00EAC6FF">
                  <wp:extent cx="3483428" cy="2743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comparative_toxic_unit_for_human_ctuh_routing_comparison_unstacked.png"/>
                          <pic:cNvPicPr/>
                        </pic:nvPicPr>
                        <pic:blipFill>
                          <a:blip r:embed="rId64"/>
                          <a:stretch>
                            <a:fillRect/>
                          </a:stretch>
                        </pic:blipFill>
                        <pic:spPr>
                          <a:xfrm>
                            <a:off x="0" y="0"/>
                            <a:ext cx="3483428" cy="2743200"/>
                          </a:xfrm>
                          <a:prstGeom prst="rect">
                            <a:avLst/>
                          </a:prstGeom>
                        </pic:spPr>
                      </pic:pic>
                    </a:graphicData>
                  </a:graphic>
                </wp:inline>
              </w:drawing>
            </w:r>
          </w:p>
        </w:tc>
        <w:tc>
          <w:tcPr>
            <w:tcW w:w="7771" w:type="dxa"/>
            <w:vAlign w:val="center"/>
          </w:tcPr>
          <w:p w14:paraId="72BFCF67" w14:textId="77777777" w:rsidR="004400D5" w:rsidRDefault="004400D5" w:rsidP="001C210D">
            <w:pPr>
              <w:spacing w:after="0"/>
              <w:jc w:val="center"/>
            </w:pPr>
            <w:r>
              <w:rPr>
                <w:noProof/>
              </w:rPr>
              <w:drawing>
                <wp:inline distT="0" distB="0" distL="0" distR="0" wp14:anchorId="49E0DD35" wp14:editId="5293196A">
                  <wp:extent cx="3483428" cy="2743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comparative_toxic_unit_for_human_ctuh_routing_comparison_stacked.png"/>
                          <pic:cNvPicPr/>
                        </pic:nvPicPr>
                        <pic:blipFill>
                          <a:blip r:embed="rId65"/>
                          <a:stretch>
                            <a:fillRect/>
                          </a:stretch>
                        </pic:blipFill>
                        <pic:spPr>
                          <a:xfrm>
                            <a:off x="0" y="0"/>
                            <a:ext cx="3483428" cy="2743200"/>
                          </a:xfrm>
                          <a:prstGeom prst="rect">
                            <a:avLst/>
                          </a:prstGeom>
                        </pic:spPr>
                      </pic:pic>
                    </a:graphicData>
                  </a:graphic>
                </wp:inline>
              </w:drawing>
            </w:r>
          </w:p>
        </w:tc>
      </w:tr>
      <w:tr w:rsidR="004400D5" w14:paraId="77E04C21" w14:textId="77777777" w:rsidTr="00BC178F">
        <w:tc>
          <w:tcPr>
            <w:tcW w:w="15542" w:type="dxa"/>
            <w:gridSpan w:val="2"/>
          </w:tcPr>
          <w:p w14:paraId="50CA31AB" w14:textId="77777777" w:rsidR="004400D5" w:rsidRDefault="004400D5" w:rsidP="001C210D">
            <w:pPr>
              <w:jc w:val="left"/>
            </w:pPr>
            <w:r>
              <w:rPr>
                <w:b/>
                <w:sz w:val="16"/>
              </w:rPr>
              <w:t>Figure S-routing-bev-17. human toxicity: non-carcinogenic, inorganics - comparative toxic unit for human (</w:t>
            </w:r>
            <w:proofErr w:type="spellStart"/>
            <w:r>
              <w:rPr>
                <w:b/>
                <w:sz w:val="16"/>
              </w:rPr>
              <w:t>CTUh</w:t>
            </w:r>
            <w:proofErr w:type="spellEnd"/>
            <w:r>
              <w:rPr>
                <w:b/>
                <w:sz w:val="16"/>
              </w:rPr>
              <w:t>).</w:t>
            </w:r>
          </w:p>
        </w:tc>
      </w:tr>
      <w:tr w:rsidR="004400D5" w14:paraId="4D554C57" w14:textId="77777777" w:rsidTr="00BC178F">
        <w:tc>
          <w:tcPr>
            <w:tcW w:w="7771" w:type="dxa"/>
            <w:vAlign w:val="center"/>
          </w:tcPr>
          <w:p w14:paraId="72D5741D" w14:textId="77777777" w:rsidR="004400D5" w:rsidRDefault="004400D5" w:rsidP="001C210D">
            <w:pPr>
              <w:spacing w:after="0"/>
              <w:jc w:val="center"/>
            </w:pPr>
            <w:r>
              <w:rPr>
                <w:noProof/>
              </w:rPr>
              <w:lastRenderedPageBreak/>
              <w:drawing>
                <wp:inline distT="0" distB="0" distL="0" distR="0" wp14:anchorId="7042D0AB" wp14:editId="4E4C362B">
                  <wp:extent cx="3483428" cy="27432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inorganics_comparative_toxic_unit_for_human_ctuh_routing_comparison_unstacked.png"/>
                          <pic:cNvPicPr/>
                        </pic:nvPicPr>
                        <pic:blipFill>
                          <a:blip r:embed="rId66"/>
                          <a:stretch>
                            <a:fillRect/>
                          </a:stretch>
                        </pic:blipFill>
                        <pic:spPr>
                          <a:xfrm>
                            <a:off x="0" y="0"/>
                            <a:ext cx="3483428" cy="2743200"/>
                          </a:xfrm>
                          <a:prstGeom prst="rect">
                            <a:avLst/>
                          </a:prstGeom>
                        </pic:spPr>
                      </pic:pic>
                    </a:graphicData>
                  </a:graphic>
                </wp:inline>
              </w:drawing>
            </w:r>
          </w:p>
        </w:tc>
        <w:tc>
          <w:tcPr>
            <w:tcW w:w="7771" w:type="dxa"/>
            <w:vAlign w:val="center"/>
          </w:tcPr>
          <w:p w14:paraId="01D46C8F" w14:textId="77777777" w:rsidR="004400D5" w:rsidRDefault="004400D5" w:rsidP="001C210D">
            <w:pPr>
              <w:spacing w:after="0"/>
              <w:jc w:val="center"/>
            </w:pPr>
            <w:r>
              <w:rPr>
                <w:noProof/>
              </w:rPr>
              <w:drawing>
                <wp:inline distT="0" distB="0" distL="0" distR="0" wp14:anchorId="5CC6E7CF" wp14:editId="55B7E862">
                  <wp:extent cx="3483428" cy="27432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inorganics_comparative_toxic_unit_for_human_ctuh_routing_comparison_stacked.png"/>
                          <pic:cNvPicPr/>
                        </pic:nvPicPr>
                        <pic:blipFill>
                          <a:blip r:embed="rId67"/>
                          <a:stretch>
                            <a:fillRect/>
                          </a:stretch>
                        </pic:blipFill>
                        <pic:spPr>
                          <a:xfrm>
                            <a:off x="0" y="0"/>
                            <a:ext cx="3483428" cy="2743200"/>
                          </a:xfrm>
                          <a:prstGeom prst="rect">
                            <a:avLst/>
                          </a:prstGeom>
                        </pic:spPr>
                      </pic:pic>
                    </a:graphicData>
                  </a:graphic>
                </wp:inline>
              </w:drawing>
            </w:r>
          </w:p>
        </w:tc>
      </w:tr>
      <w:tr w:rsidR="004400D5" w14:paraId="32712864" w14:textId="77777777" w:rsidTr="00BC178F">
        <w:tc>
          <w:tcPr>
            <w:tcW w:w="15542" w:type="dxa"/>
            <w:gridSpan w:val="2"/>
          </w:tcPr>
          <w:p w14:paraId="5C5E8DC2" w14:textId="77777777" w:rsidR="004400D5" w:rsidRDefault="004400D5" w:rsidP="001C210D">
            <w:pPr>
              <w:jc w:val="left"/>
            </w:pPr>
            <w:r>
              <w:rPr>
                <w:b/>
                <w:sz w:val="16"/>
              </w:rPr>
              <w:t>Figure S-routing-bev-18. human toxicity: non-carcinogenic, organics - comparative toxic unit for human (</w:t>
            </w:r>
            <w:proofErr w:type="spellStart"/>
            <w:r>
              <w:rPr>
                <w:b/>
                <w:sz w:val="16"/>
              </w:rPr>
              <w:t>CTUh</w:t>
            </w:r>
            <w:proofErr w:type="spellEnd"/>
            <w:r>
              <w:rPr>
                <w:b/>
                <w:sz w:val="16"/>
              </w:rPr>
              <w:t>).</w:t>
            </w:r>
          </w:p>
        </w:tc>
      </w:tr>
      <w:tr w:rsidR="004400D5" w14:paraId="4C86167F" w14:textId="77777777" w:rsidTr="00BC178F">
        <w:tc>
          <w:tcPr>
            <w:tcW w:w="7771" w:type="dxa"/>
            <w:vAlign w:val="center"/>
          </w:tcPr>
          <w:p w14:paraId="3A2740CC" w14:textId="77777777" w:rsidR="004400D5" w:rsidRDefault="004400D5" w:rsidP="001C210D">
            <w:pPr>
              <w:spacing w:after="0"/>
              <w:jc w:val="center"/>
            </w:pPr>
            <w:r>
              <w:rPr>
                <w:noProof/>
              </w:rPr>
              <w:drawing>
                <wp:inline distT="0" distB="0" distL="0" distR="0" wp14:anchorId="0B5ADEEE" wp14:editId="38271672">
                  <wp:extent cx="3483428" cy="2743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organics_comparative_toxic_unit_for_human_ctuh_routing_comparison_unstacked.png"/>
                          <pic:cNvPicPr/>
                        </pic:nvPicPr>
                        <pic:blipFill>
                          <a:blip r:embed="rId68"/>
                          <a:stretch>
                            <a:fillRect/>
                          </a:stretch>
                        </pic:blipFill>
                        <pic:spPr>
                          <a:xfrm>
                            <a:off x="0" y="0"/>
                            <a:ext cx="3483428" cy="2743200"/>
                          </a:xfrm>
                          <a:prstGeom prst="rect">
                            <a:avLst/>
                          </a:prstGeom>
                        </pic:spPr>
                      </pic:pic>
                    </a:graphicData>
                  </a:graphic>
                </wp:inline>
              </w:drawing>
            </w:r>
          </w:p>
        </w:tc>
        <w:tc>
          <w:tcPr>
            <w:tcW w:w="7771" w:type="dxa"/>
            <w:vAlign w:val="center"/>
          </w:tcPr>
          <w:p w14:paraId="0EED9BFE" w14:textId="77777777" w:rsidR="004400D5" w:rsidRDefault="004400D5" w:rsidP="001C210D">
            <w:pPr>
              <w:spacing w:after="0"/>
              <w:jc w:val="center"/>
            </w:pPr>
            <w:r>
              <w:rPr>
                <w:noProof/>
              </w:rPr>
              <w:drawing>
                <wp:inline distT="0" distB="0" distL="0" distR="0" wp14:anchorId="4E94DFEA" wp14:editId="405EFF4E">
                  <wp:extent cx="3483428" cy="2743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organics_comparative_toxic_unit_for_human_ctuh_routing_comparison_stacked.png"/>
                          <pic:cNvPicPr/>
                        </pic:nvPicPr>
                        <pic:blipFill>
                          <a:blip r:embed="rId69"/>
                          <a:stretch>
                            <a:fillRect/>
                          </a:stretch>
                        </pic:blipFill>
                        <pic:spPr>
                          <a:xfrm>
                            <a:off x="0" y="0"/>
                            <a:ext cx="3483428" cy="2743200"/>
                          </a:xfrm>
                          <a:prstGeom prst="rect">
                            <a:avLst/>
                          </a:prstGeom>
                        </pic:spPr>
                      </pic:pic>
                    </a:graphicData>
                  </a:graphic>
                </wp:inline>
              </w:drawing>
            </w:r>
          </w:p>
        </w:tc>
      </w:tr>
      <w:tr w:rsidR="004400D5" w14:paraId="2DF1B429" w14:textId="77777777" w:rsidTr="00BC178F">
        <w:tc>
          <w:tcPr>
            <w:tcW w:w="15542" w:type="dxa"/>
            <w:gridSpan w:val="2"/>
          </w:tcPr>
          <w:p w14:paraId="4F19DAF4" w14:textId="77777777" w:rsidR="004400D5" w:rsidRDefault="004400D5" w:rsidP="001C210D">
            <w:pPr>
              <w:jc w:val="left"/>
            </w:pPr>
            <w:r>
              <w:rPr>
                <w:b/>
                <w:sz w:val="16"/>
              </w:rPr>
              <w:t xml:space="preserve">Figure S-routing-bev-19. </w:t>
            </w:r>
            <w:proofErr w:type="spellStart"/>
            <w:r>
              <w:rPr>
                <w:b/>
                <w:sz w:val="16"/>
              </w:rPr>
              <w:t>ionising</w:t>
            </w:r>
            <w:proofErr w:type="spellEnd"/>
            <w:r>
              <w:rPr>
                <w:b/>
                <w:sz w:val="16"/>
              </w:rPr>
              <w:t xml:space="preserve"> radiation: human health - human exposure efficiency relative to u235.</w:t>
            </w:r>
          </w:p>
        </w:tc>
      </w:tr>
      <w:tr w:rsidR="004400D5" w14:paraId="4DB96213" w14:textId="77777777" w:rsidTr="00BC178F">
        <w:tc>
          <w:tcPr>
            <w:tcW w:w="7771" w:type="dxa"/>
            <w:vAlign w:val="center"/>
          </w:tcPr>
          <w:p w14:paraId="2C99437D" w14:textId="77777777" w:rsidR="004400D5" w:rsidRDefault="004400D5" w:rsidP="001C210D">
            <w:pPr>
              <w:spacing w:after="0"/>
              <w:jc w:val="center"/>
            </w:pPr>
            <w:r>
              <w:rPr>
                <w:noProof/>
              </w:rPr>
              <w:lastRenderedPageBreak/>
              <w:drawing>
                <wp:inline distT="0" distB="0" distL="0" distR="0" wp14:anchorId="17753160" wp14:editId="05F3E1C8">
                  <wp:extent cx="3483428" cy="27432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ionising_radiation_human_health_human_exposure_efficiency_relative_to_u235_routing_comparison_unstacked.png"/>
                          <pic:cNvPicPr/>
                        </pic:nvPicPr>
                        <pic:blipFill>
                          <a:blip r:embed="rId70"/>
                          <a:stretch>
                            <a:fillRect/>
                          </a:stretch>
                        </pic:blipFill>
                        <pic:spPr>
                          <a:xfrm>
                            <a:off x="0" y="0"/>
                            <a:ext cx="3483428" cy="2743200"/>
                          </a:xfrm>
                          <a:prstGeom prst="rect">
                            <a:avLst/>
                          </a:prstGeom>
                        </pic:spPr>
                      </pic:pic>
                    </a:graphicData>
                  </a:graphic>
                </wp:inline>
              </w:drawing>
            </w:r>
          </w:p>
        </w:tc>
        <w:tc>
          <w:tcPr>
            <w:tcW w:w="7771" w:type="dxa"/>
            <w:vAlign w:val="center"/>
          </w:tcPr>
          <w:p w14:paraId="0EBEEDE7" w14:textId="77777777" w:rsidR="004400D5" w:rsidRDefault="004400D5" w:rsidP="001C210D">
            <w:pPr>
              <w:spacing w:after="0"/>
              <w:jc w:val="center"/>
            </w:pPr>
            <w:r>
              <w:rPr>
                <w:noProof/>
              </w:rPr>
              <w:drawing>
                <wp:inline distT="0" distB="0" distL="0" distR="0" wp14:anchorId="78296814" wp14:editId="678AD0D5">
                  <wp:extent cx="3483428" cy="27432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ionising_radiation_human_health_human_exposure_efficiency_relative_to_u235_routing_comparison_stacked.png"/>
                          <pic:cNvPicPr/>
                        </pic:nvPicPr>
                        <pic:blipFill>
                          <a:blip r:embed="rId71"/>
                          <a:stretch>
                            <a:fillRect/>
                          </a:stretch>
                        </pic:blipFill>
                        <pic:spPr>
                          <a:xfrm>
                            <a:off x="0" y="0"/>
                            <a:ext cx="3483428" cy="2743200"/>
                          </a:xfrm>
                          <a:prstGeom prst="rect">
                            <a:avLst/>
                          </a:prstGeom>
                        </pic:spPr>
                      </pic:pic>
                    </a:graphicData>
                  </a:graphic>
                </wp:inline>
              </w:drawing>
            </w:r>
          </w:p>
        </w:tc>
      </w:tr>
      <w:tr w:rsidR="004400D5" w14:paraId="49C8BD50" w14:textId="77777777" w:rsidTr="00BC178F">
        <w:tc>
          <w:tcPr>
            <w:tcW w:w="15542" w:type="dxa"/>
            <w:gridSpan w:val="2"/>
          </w:tcPr>
          <w:p w14:paraId="5BF464B8" w14:textId="77777777" w:rsidR="004400D5" w:rsidRDefault="004400D5" w:rsidP="001C210D">
            <w:pPr>
              <w:jc w:val="left"/>
            </w:pPr>
            <w:r>
              <w:rPr>
                <w:b/>
                <w:sz w:val="16"/>
              </w:rPr>
              <w:t>Figure S-routing-bev-20. land use - soil quality index.</w:t>
            </w:r>
          </w:p>
        </w:tc>
      </w:tr>
      <w:tr w:rsidR="004400D5" w14:paraId="0D749DE6" w14:textId="77777777" w:rsidTr="00BC178F">
        <w:tc>
          <w:tcPr>
            <w:tcW w:w="7771" w:type="dxa"/>
            <w:vAlign w:val="center"/>
          </w:tcPr>
          <w:p w14:paraId="35137111" w14:textId="77777777" w:rsidR="004400D5" w:rsidRDefault="004400D5" w:rsidP="001C210D">
            <w:pPr>
              <w:spacing w:after="0"/>
              <w:jc w:val="center"/>
            </w:pPr>
            <w:r>
              <w:rPr>
                <w:noProof/>
              </w:rPr>
              <w:drawing>
                <wp:inline distT="0" distB="0" distL="0" distR="0" wp14:anchorId="537A6819" wp14:editId="19F8766E">
                  <wp:extent cx="3483428" cy="27432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land_use_soil_quality_index_routing_comparison_unstacked.png"/>
                          <pic:cNvPicPr/>
                        </pic:nvPicPr>
                        <pic:blipFill>
                          <a:blip r:embed="rId72"/>
                          <a:stretch>
                            <a:fillRect/>
                          </a:stretch>
                        </pic:blipFill>
                        <pic:spPr>
                          <a:xfrm>
                            <a:off x="0" y="0"/>
                            <a:ext cx="3483428" cy="2743200"/>
                          </a:xfrm>
                          <a:prstGeom prst="rect">
                            <a:avLst/>
                          </a:prstGeom>
                        </pic:spPr>
                      </pic:pic>
                    </a:graphicData>
                  </a:graphic>
                </wp:inline>
              </w:drawing>
            </w:r>
          </w:p>
        </w:tc>
        <w:tc>
          <w:tcPr>
            <w:tcW w:w="7771" w:type="dxa"/>
            <w:vAlign w:val="center"/>
          </w:tcPr>
          <w:p w14:paraId="45E56C32" w14:textId="77777777" w:rsidR="004400D5" w:rsidRDefault="004400D5" w:rsidP="001C210D">
            <w:pPr>
              <w:spacing w:after="0"/>
              <w:jc w:val="center"/>
            </w:pPr>
            <w:r>
              <w:rPr>
                <w:noProof/>
              </w:rPr>
              <w:drawing>
                <wp:inline distT="0" distB="0" distL="0" distR="0" wp14:anchorId="6BE40A4A" wp14:editId="266B98CB">
                  <wp:extent cx="3483428" cy="2743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land_use_soil_quality_index_routing_comparison_stacked.png"/>
                          <pic:cNvPicPr/>
                        </pic:nvPicPr>
                        <pic:blipFill>
                          <a:blip r:embed="rId73"/>
                          <a:stretch>
                            <a:fillRect/>
                          </a:stretch>
                        </pic:blipFill>
                        <pic:spPr>
                          <a:xfrm>
                            <a:off x="0" y="0"/>
                            <a:ext cx="3483428" cy="2743200"/>
                          </a:xfrm>
                          <a:prstGeom prst="rect">
                            <a:avLst/>
                          </a:prstGeom>
                        </pic:spPr>
                      </pic:pic>
                    </a:graphicData>
                  </a:graphic>
                </wp:inline>
              </w:drawing>
            </w:r>
          </w:p>
        </w:tc>
      </w:tr>
      <w:tr w:rsidR="004400D5" w14:paraId="45AF183A" w14:textId="77777777" w:rsidTr="00BC178F">
        <w:tc>
          <w:tcPr>
            <w:tcW w:w="15542" w:type="dxa"/>
            <w:gridSpan w:val="2"/>
          </w:tcPr>
          <w:p w14:paraId="4DDA2AF7" w14:textId="77777777" w:rsidR="004400D5" w:rsidRDefault="004400D5" w:rsidP="001C210D">
            <w:pPr>
              <w:jc w:val="left"/>
            </w:pPr>
            <w:r>
              <w:rPr>
                <w:b/>
                <w:sz w:val="16"/>
              </w:rPr>
              <w:t>Figure S-routing-bev-21. material resources: metals/minerals - abiotic depletion potential (ADP): elements (ultimate reserves).</w:t>
            </w:r>
          </w:p>
        </w:tc>
      </w:tr>
      <w:tr w:rsidR="004400D5" w14:paraId="1D623595" w14:textId="77777777" w:rsidTr="00BC178F">
        <w:tc>
          <w:tcPr>
            <w:tcW w:w="7771" w:type="dxa"/>
            <w:vAlign w:val="center"/>
          </w:tcPr>
          <w:p w14:paraId="69414262" w14:textId="77777777" w:rsidR="004400D5" w:rsidRDefault="004400D5" w:rsidP="001C210D">
            <w:pPr>
              <w:spacing w:after="0"/>
              <w:jc w:val="center"/>
            </w:pPr>
            <w:r>
              <w:rPr>
                <w:noProof/>
              </w:rPr>
              <w:lastRenderedPageBreak/>
              <w:drawing>
                <wp:inline distT="0" distB="0" distL="0" distR="0" wp14:anchorId="08D16A68" wp14:editId="64EBD645">
                  <wp:extent cx="3483428" cy="2743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material_resources_metals_minerals_abiotic_depletion_potential_adp_elements_ultimate_reserve_routing_comparison_unstacked.png"/>
                          <pic:cNvPicPr/>
                        </pic:nvPicPr>
                        <pic:blipFill>
                          <a:blip r:embed="rId74"/>
                          <a:stretch>
                            <a:fillRect/>
                          </a:stretch>
                        </pic:blipFill>
                        <pic:spPr>
                          <a:xfrm>
                            <a:off x="0" y="0"/>
                            <a:ext cx="3483428" cy="2743200"/>
                          </a:xfrm>
                          <a:prstGeom prst="rect">
                            <a:avLst/>
                          </a:prstGeom>
                        </pic:spPr>
                      </pic:pic>
                    </a:graphicData>
                  </a:graphic>
                </wp:inline>
              </w:drawing>
            </w:r>
          </w:p>
        </w:tc>
        <w:tc>
          <w:tcPr>
            <w:tcW w:w="7771" w:type="dxa"/>
            <w:vAlign w:val="center"/>
          </w:tcPr>
          <w:p w14:paraId="079C973A" w14:textId="77777777" w:rsidR="004400D5" w:rsidRDefault="004400D5" w:rsidP="001C210D">
            <w:pPr>
              <w:spacing w:after="0"/>
              <w:jc w:val="center"/>
            </w:pPr>
            <w:r>
              <w:rPr>
                <w:noProof/>
              </w:rPr>
              <w:drawing>
                <wp:inline distT="0" distB="0" distL="0" distR="0" wp14:anchorId="468801A3" wp14:editId="6AB3AB9F">
                  <wp:extent cx="3483428" cy="27432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material_resources_metals_minerals_abiotic_depletion_potential_adp_elements_ultimate_reserve_routing_comparison_stacked.png"/>
                          <pic:cNvPicPr/>
                        </pic:nvPicPr>
                        <pic:blipFill>
                          <a:blip r:embed="rId75"/>
                          <a:stretch>
                            <a:fillRect/>
                          </a:stretch>
                        </pic:blipFill>
                        <pic:spPr>
                          <a:xfrm>
                            <a:off x="0" y="0"/>
                            <a:ext cx="3483428" cy="2743200"/>
                          </a:xfrm>
                          <a:prstGeom prst="rect">
                            <a:avLst/>
                          </a:prstGeom>
                        </pic:spPr>
                      </pic:pic>
                    </a:graphicData>
                  </a:graphic>
                </wp:inline>
              </w:drawing>
            </w:r>
          </w:p>
        </w:tc>
      </w:tr>
      <w:tr w:rsidR="004400D5" w14:paraId="4BC1CA56" w14:textId="77777777" w:rsidTr="00BC178F">
        <w:tc>
          <w:tcPr>
            <w:tcW w:w="15542" w:type="dxa"/>
            <w:gridSpan w:val="2"/>
          </w:tcPr>
          <w:p w14:paraId="5BAE60BB" w14:textId="77777777" w:rsidR="004400D5" w:rsidRDefault="004400D5" w:rsidP="001C210D">
            <w:pPr>
              <w:jc w:val="left"/>
            </w:pPr>
            <w:r>
              <w:rPr>
                <w:b/>
                <w:sz w:val="16"/>
              </w:rPr>
              <w:t>Figure S-routing-bev-22. ozone depletion - ozone depletion potential (ODP).</w:t>
            </w:r>
          </w:p>
        </w:tc>
      </w:tr>
      <w:tr w:rsidR="004400D5" w14:paraId="5802D70E" w14:textId="77777777" w:rsidTr="00BC178F">
        <w:tc>
          <w:tcPr>
            <w:tcW w:w="7771" w:type="dxa"/>
            <w:vAlign w:val="center"/>
          </w:tcPr>
          <w:p w14:paraId="647C2E5D" w14:textId="77777777" w:rsidR="004400D5" w:rsidRDefault="004400D5" w:rsidP="001C210D">
            <w:pPr>
              <w:spacing w:after="0"/>
              <w:jc w:val="center"/>
            </w:pPr>
            <w:r>
              <w:rPr>
                <w:noProof/>
              </w:rPr>
              <w:drawing>
                <wp:inline distT="0" distB="0" distL="0" distR="0" wp14:anchorId="09CBD1B3" wp14:editId="6B3878D2">
                  <wp:extent cx="3483428" cy="2743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ozone_depletion_ozone_depletion_potential_odp_routing_comparison_unstacked.png"/>
                          <pic:cNvPicPr/>
                        </pic:nvPicPr>
                        <pic:blipFill>
                          <a:blip r:embed="rId76"/>
                          <a:stretch>
                            <a:fillRect/>
                          </a:stretch>
                        </pic:blipFill>
                        <pic:spPr>
                          <a:xfrm>
                            <a:off x="0" y="0"/>
                            <a:ext cx="3483428" cy="2743200"/>
                          </a:xfrm>
                          <a:prstGeom prst="rect">
                            <a:avLst/>
                          </a:prstGeom>
                        </pic:spPr>
                      </pic:pic>
                    </a:graphicData>
                  </a:graphic>
                </wp:inline>
              </w:drawing>
            </w:r>
          </w:p>
        </w:tc>
        <w:tc>
          <w:tcPr>
            <w:tcW w:w="7771" w:type="dxa"/>
            <w:vAlign w:val="center"/>
          </w:tcPr>
          <w:p w14:paraId="0B0B9FEC" w14:textId="77777777" w:rsidR="004400D5" w:rsidRDefault="004400D5" w:rsidP="001C210D">
            <w:pPr>
              <w:spacing w:after="0"/>
              <w:jc w:val="center"/>
            </w:pPr>
            <w:r>
              <w:rPr>
                <w:noProof/>
              </w:rPr>
              <w:drawing>
                <wp:inline distT="0" distB="0" distL="0" distR="0" wp14:anchorId="7080045A" wp14:editId="7A33D878">
                  <wp:extent cx="3483428" cy="2743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ozone_depletion_ozone_depletion_potential_odp_routing_comparison_stacked.png"/>
                          <pic:cNvPicPr/>
                        </pic:nvPicPr>
                        <pic:blipFill>
                          <a:blip r:embed="rId77"/>
                          <a:stretch>
                            <a:fillRect/>
                          </a:stretch>
                        </pic:blipFill>
                        <pic:spPr>
                          <a:xfrm>
                            <a:off x="0" y="0"/>
                            <a:ext cx="3483428" cy="2743200"/>
                          </a:xfrm>
                          <a:prstGeom prst="rect">
                            <a:avLst/>
                          </a:prstGeom>
                        </pic:spPr>
                      </pic:pic>
                    </a:graphicData>
                  </a:graphic>
                </wp:inline>
              </w:drawing>
            </w:r>
          </w:p>
        </w:tc>
      </w:tr>
      <w:tr w:rsidR="004400D5" w14:paraId="4776C11E" w14:textId="77777777" w:rsidTr="00BC178F">
        <w:tc>
          <w:tcPr>
            <w:tcW w:w="15542" w:type="dxa"/>
            <w:gridSpan w:val="2"/>
          </w:tcPr>
          <w:p w14:paraId="00012861" w14:textId="77777777" w:rsidR="004400D5" w:rsidRDefault="004400D5" w:rsidP="001C210D">
            <w:pPr>
              <w:jc w:val="left"/>
            </w:pPr>
            <w:r>
              <w:rPr>
                <w:b/>
                <w:sz w:val="16"/>
              </w:rPr>
              <w:t>Figure S-routing-bev-23. particulate matter formation - impact on human health.</w:t>
            </w:r>
          </w:p>
        </w:tc>
      </w:tr>
      <w:tr w:rsidR="004400D5" w14:paraId="1FC7C985" w14:textId="77777777" w:rsidTr="00BC178F">
        <w:tc>
          <w:tcPr>
            <w:tcW w:w="7771" w:type="dxa"/>
            <w:vAlign w:val="center"/>
          </w:tcPr>
          <w:p w14:paraId="31DB785D" w14:textId="77777777" w:rsidR="004400D5" w:rsidRDefault="004400D5" w:rsidP="001C210D">
            <w:pPr>
              <w:spacing w:after="0"/>
              <w:jc w:val="center"/>
            </w:pPr>
            <w:r>
              <w:rPr>
                <w:noProof/>
              </w:rPr>
              <w:lastRenderedPageBreak/>
              <w:drawing>
                <wp:inline distT="0" distB="0" distL="0" distR="0" wp14:anchorId="32046376" wp14:editId="6D68870C">
                  <wp:extent cx="3483428" cy="2743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articulate_matter_formation_impact_on_human_health_routing_comparison_unstacked.png"/>
                          <pic:cNvPicPr/>
                        </pic:nvPicPr>
                        <pic:blipFill>
                          <a:blip r:embed="rId78"/>
                          <a:stretch>
                            <a:fillRect/>
                          </a:stretch>
                        </pic:blipFill>
                        <pic:spPr>
                          <a:xfrm>
                            <a:off x="0" y="0"/>
                            <a:ext cx="3483428" cy="2743200"/>
                          </a:xfrm>
                          <a:prstGeom prst="rect">
                            <a:avLst/>
                          </a:prstGeom>
                        </pic:spPr>
                      </pic:pic>
                    </a:graphicData>
                  </a:graphic>
                </wp:inline>
              </w:drawing>
            </w:r>
          </w:p>
        </w:tc>
        <w:tc>
          <w:tcPr>
            <w:tcW w:w="7771" w:type="dxa"/>
            <w:vAlign w:val="center"/>
          </w:tcPr>
          <w:p w14:paraId="4BA54EAB" w14:textId="77777777" w:rsidR="004400D5" w:rsidRDefault="004400D5" w:rsidP="001C210D">
            <w:pPr>
              <w:spacing w:after="0"/>
              <w:jc w:val="center"/>
            </w:pPr>
            <w:r>
              <w:rPr>
                <w:noProof/>
              </w:rPr>
              <w:drawing>
                <wp:inline distT="0" distB="0" distL="0" distR="0" wp14:anchorId="5E11C7C0" wp14:editId="6B28FC45">
                  <wp:extent cx="3483428" cy="27432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articulate_matter_formation_impact_on_human_health_routing_comparison_stacked.png"/>
                          <pic:cNvPicPr/>
                        </pic:nvPicPr>
                        <pic:blipFill>
                          <a:blip r:embed="rId79"/>
                          <a:stretch>
                            <a:fillRect/>
                          </a:stretch>
                        </pic:blipFill>
                        <pic:spPr>
                          <a:xfrm>
                            <a:off x="0" y="0"/>
                            <a:ext cx="3483428" cy="2743200"/>
                          </a:xfrm>
                          <a:prstGeom prst="rect">
                            <a:avLst/>
                          </a:prstGeom>
                        </pic:spPr>
                      </pic:pic>
                    </a:graphicData>
                  </a:graphic>
                </wp:inline>
              </w:drawing>
            </w:r>
          </w:p>
        </w:tc>
      </w:tr>
      <w:tr w:rsidR="004400D5" w14:paraId="3921E06D" w14:textId="77777777" w:rsidTr="00BC178F">
        <w:tc>
          <w:tcPr>
            <w:tcW w:w="15542" w:type="dxa"/>
            <w:gridSpan w:val="2"/>
          </w:tcPr>
          <w:p w14:paraId="4E8AAD29" w14:textId="77777777" w:rsidR="004400D5" w:rsidRDefault="004400D5" w:rsidP="001C210D">
            <w:pPr>
              <w:jc w:val="left"/>
            </w:pPr>
            <w:r>
              <w:rPr>
                <w:b/>
                <w:sz w:val="16"/>
              </w:rPr>
              <w:t>Figure S-routing-bev-24. photochemical oxidant formation: human health - tropospheric ozone concentration increase.</w:t>
            </w:r>
          </w:p>
        </w:tc>
      </w:tr>
      <w:tr w:rsidR="004400D5" w14:paraId="02E9A9CC" w14:textId="77777777" w:rsidTr="00BC178F">
        <w:tc>
          <w:tcPr>
            <w:tcW w:w="7771" w:type="dxa"/>
            <w:vAlign w:val="center"/>
          </w:tcPr>
          <w:p w14:paraId="63AB89F7" w14:textId="77777777" w:rsidR="004400D5" w:rsidRDefault="004400D5" w:rsidP="001C210D">
            <w:pPr>
              <w:spacing w:after="0"/>
              <w:jc w:val="center"/>
            </w:pPr>
            <w:r>
              <w:rPr>
                <w:noProof/>
              </w:rPr>
              <w:drawing>
                <wp:inline distT="0" distB="0" distL="0" distR="0" wp14:anchorId="1E62D602" wp14:editId="50B8D6A1">
                  <wp:extent cx="3483428" cy="27432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hotochemical_oxidant_formation_human_health_tropospheric_ozone_concentration_increase_routing_comparison_unstacked.png"/>
                          <pic:cNvPicPr/>
                        </pic:nvPicPr>
                        <pic:blipFill>
                          <a:blip r:embed="rId80"/>
                          <a:stretch>
                            <a:fillRect/>
                          </a:stretch>
                        </pic:blipFill>
                        <pic:spPr>
                          <a:xfrm>
                            <a:off x="0" y="0"/>
                            <a:ext cx="3483428" cy="2743200"/>
                          </a:xfrm>
                          <a:prstGeom prst="rect">
                            <a:avLst/>
                          </a:prstGeom>
                        </pic:spPr>
                      </pic:pic>
                    </a:graphicData>
                  </a:graphic>
                </wp:inline>
              </w:drawing>
            </w:r>
          </w:p>
        </w:tc>
        <w:tc>
          <w:tcPr>
            <w:tcW w:w="7771" w:type="dxa"/>
            <w:vAlign w:val="center"/>
          </w:tcPr>
          <w:p w14:paraId="46D8B6CD" w14:textId="77777777" w:rsidR="004400D5" w:rsidRDefault="004400D5" w:rsidP="001C210D">
            <w:pPr>
              <w:spacing w:after="0"/>
              <w:jc w:val="center"/>
            </w:pPr>
            <w:r>
              <w:rPr>
                <w:noProof/>
              </w:rPr>
              <w:drawing>
                <wp:inline distT="0" distB="0" distL="0" distR="0" wp14:anchorId="5E0EB867" wp14:editId="75C5200E">
                  <wp:extent cx="3483428" cy="27432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hotochemical_oxidant_formation_human_health_tropospheric_ozone_concentration_increase_routing_comparison_stacked.png"/>
                          <pic:cNvPicPr/>
                        </pic:nvPicPr>
                        <pic:blipFill>
                          <a:blip r:embed="rId81"/>
                          <a:stretch>
                            <a:fillRect/>
                          </a:stretch>
                        </pic:blipFill>
                        <pic:spPr>
                          <a:xfrm>
                            <a:off x="0" y="0"/>
                            <a:ext cx="3483428" cy="2743200"/>
                          </a:xfrm>
                          <a:prstGeom prst="rect">
                            <a:avLst/>
                          </a:prstGeom>
                        </pic:spPr>
                      </pic:pic>
                    </a:graphicData>
                  </a:graphic>
                </wp:inline>
              </w:drawing>
            </w:r>
          </w:p>
        </w:tc>
      </w:tr>
      <w:tr w:rsidR="004400D5" w14:paraId="483D0F33" w14:textId="77777777" w:rsidTr="00BC178F">
        <w:tc>
          <w:tcPr>
            <w:tcW w:w="15542" w:type="dxa"/>
            <w:gridSpan w:val="2"/>
          </w:tcPr>
          <w:p w14:paraId="5923A9FC" w14:textId="77777777" w:rsidR="004400D5" w:rsidRDefault="004400D5" w:rsidP="001C210D">
            <w:pPr>
              <w:jc w:val="left"/>
            </w:pPr>
            <w:r>
              <w:rPr>
                <w:b/>
                <w:sz w:val="16"/>
              </w:rPr>
              <w:t>Figure S-routing-bev-25. water use - user deprivation potential (deprivation-weighted water consumption).</w:t>
            </w:r>
          </w:p>
        </w:tc>
      </w:tr>
      <w:tr w:rsidR="004400D5" w14:paraId="773F2EA3" w14:textId="77777777" w:rsidTr="00BC178F">
        <w:tc>
          <w:tcPr>
            <w:tcW w:w="7771" w:type="dxa"/>
            <w:vAlign w:val="center"/>
          </w:tcPr>
          <w:p w14:paraId="697D0286" w14:textId="77777777" w:rsidR="004400D5" w:rsidRDefault="004400D5" w:rsidP="001C210D">
            <w:pPr>
              <w:spacing w:after="0"/>
              <w:jc w:val="center"/>
            </w:pPr>
            <w:r>
              <w:rPr>
                <w:noProof/>
              </w:rPr>
              <w:lastRenderedPageBreak/>
              <w:drawing>
                <wp:inline distT="0" distB="0" distL="0" distR="0" wp14:anchorId="266BB4B8" wp14:editId="0D00C572">
                  <wp:extent cx="3483428" cy="27432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water_use_user_deprivation_potential_deprivation_weighted_water_consumption_routing_comparison_unstacked.png"/>
                          <pic:cNvPicPr/>
                        </pic:nvPicPr>
                        <pic:blipFill>
                          <a:blip r:embed="rId82"/>
                          <a:stretch>
                            <a:fillRect/>
                          </a:stretch>
                        </pic:blipFill>
                        <pic:spPr>
                          <a:xfrm>
                            <a:off x="0" y="0"/>
                            <a:ext cx="3483428" cy="2743200"/>
                          </a:xfrm>
                          <a:prstGeom prst="rect">
                            <a:avLst/>
                          </a:prstGeom>
                        </pic:spPr>
                      </pic:pic>
                    </a:graphicData>
                  </a:graphic>
                </wp:inline>
              </w:drawing>
            </w:r>
          </w:p>
        </w:tc>
        <w:tc>
          <w:tcPr>
            <w:tcW w:w="7771" w:type="dxa"/>
            <w:vAlign w:val="center"/>
          </w:tcPr>
          <w:p w14:paraId="7BD6B734" w14:textId="77777777" w:rsidR="004400D5" w:rsidRDefault="004400D5" w:rsidP="001C210D">
            <w:pPr>
              <w:spacing w:after="0"/>
              <w:jc w:val="center"/>
            </w:pPr>
            <w:r>
              <w:rPr>
                <w:noProof/>
              </w:rPr>
              <w:drawing>
                <wp:inline distT="0" distB="0" distL="0" distR="0" wp14:anchorId="71A36EA4" wp14:editId="25D88DAE">
                  <wp:extent cx="3483428" cy="27432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water_use_user_deprivation_potential_deprivation_weighted_water_consumption_routing_comparison_stacked.png"/>
                          <pic:cNvPicPr/>
                        </pic:nvPicPr>
                        <pic:blipFill>
                          <a:blip r:embed="rId83"/>
                          <a:stretch>
                            <a:fillRect/>
                          </a:stretch>
                        </pic:blipFill>
                        <pic:spPr>
                          <a:xfrm>
                            <a:off x="0" y="0"/>
                            <a:ext cx="3483428" cy="2743200"/>
                          </a:xfrm>
                          <a:prstGeom prst="rect">
                            <a:avLst/>
                          </a:prstGeom>
                        </pic:spPr>
                      </pic:pic>
                    </a:graphicData>
                  </a:graphic>
                </wp:inline>
              </w:drawing>
            </w:r>
          </w:p>
        </w:tc>
      </w:tr>
    </w:tbl>
    <w:p w14:paraId="4DED20DE" w14:textId="77777777" w:rsidR="004400D5" w:rsidRDefault="004400D5" w:rsidP="004400D5">
      <w:r>
        <w:br w:type="page"/>
      </w:r>
    </w:p>
    <w:p w14:paraId="1D12D604" w14:textId="77777777" w:rsidR="004400D5" w:rsidRDefault="004400D5" w:rsidP="004400D5">
      <w:pPr>
        <w:pStyle w:val="Heading20"/>
      </w:pPr>
      <w:bookmarkStart w:id="23" w:name="_Toc233129521"/>
      <w:r>
        <w:lastRenderedPageBreak/>
        <w:t>CCU polyol</w:t>
      </w:r>
      <w:bookmarkEnd w:id="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71"/>
        <w:gridCol w:w="7771"/>
      </w:tblGrid>
      <w:tr w:rsidR="004400D5" w14:paraId="74FDFBC8" w14:textId="77777777" w:rsidTr="00BC178F">
        <w:tc>
          <w:tcPr>
            <w:tcW w:w="7771" w:type="dxa"/>
          </w:tcPr>
          <w:p w14:paraId="76A92A78" w14:textId="77777777" w:rsidR="004400D5" w:rsidRDefault="004400D5" w:rsidP="001C210D">
            <w:pPr>
              <w:jc w:val="left"/>
            </w:pPr>
            <w:r>
              <w:rPr>
                <w:b/>
                <w:sz w:val="16"/>
              </w:rPr>
              <w:t>Unstacked annual impacts</w:t>
            </w:r>
          </w:p>
        </w:tc>
        <w:tc>
          <w:tcPr>
            <w:tcW w:w="7771" w:type="dxa"/>
          </w:tcPr>
          <w:p w14:paraId="52CF47B0" w14:textId="77777777" w:rsidR="004400D5" w:rsidRDefault="004400D5" w:rsidP="001C210D">
            <w:pPr>
              <w:jc w:val="left"/>
            </w:pPr>
            <w:r>
              <w:rPr>
                <w:b/>
                <w:sz w:val="16"/>
              </w:rPr>
              <w:t>Stacked annual impacts</w:t>
            </w:r>
          </w:p>
        </w:tc>
      </w:tr>
      <w:tr w:rsidR="004400D5" w14:paraId="7D44953D" w14:textId="77777777" w:rsidTr="00BC178F">
        <w:tc>
          <w:tcPr>
            <w:tcW w:w="15542" w:type="dxa"/>
            <w:gridSpan w:val="2"/>
          </w:tcPr>
          <w:p w14:paraId="4EB1277C" w14:textId="77777777" w:rsidR="004400D5" w:rsidRDefault="004400D5" w:rsidP="001C210D">
            <w:pPr>
              <w:jc w:val="left"/>
            </w:pPr>
            <w:r>
              <w:rPr>
                <w:b/>
                <w:sz w:val="16"/>
              </w:rPr>
              <w:t>Figure S-routing-polyol-01. acidification - accumulated exceedance (AE).</w:t>
            </w:r>
          </w:p>
        </w:tc>
      </w:tr>
      <w:tr w:rsidR="004400D5" w14:paraId="0E5B2877" w14:textId="77777777" w:rsidTr="00BC178F">
        <w:tc>
          <w:tcPr>
            <w:tcW w:w="7771" w:type="dxa"/>
            <w:vAlign w:val="center"/>
          </w:tcPr>
          <w:p w14:paraId="4B1E3328" w14:textId="77777777" w:rsidR="004400D5" w:rsidRDefault="004400D5" w:rsidP="001C210D">
            <w:pPr>
              <w:spacing w:after="0"/>
              <w:jc w:val="center"/>
            </w:pPr>
            <w:r>
              <w:rPr>
                <w:noProof/>
              </w:rPr>
              <w:drawing>
                <wp:inline distT="0" distB="0" distL="0" distR="0" wp14:anchorId="7FC008AD" wp14:editId="0519C518">
                  <wp:extent cx="3483428" cy="27432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acidification_accumulated_exceedance_ae_routing_comparison_unstacked.png"/>
                          <pic:cNvPicPr/>
                        </pic:nvPicPr>
                        <pic:blipFill>
                          <a:blip r:embed="rId84"/>
                          <a:stretch>
                            <a:fillRect/>
                          </a:stretch>
                        </pic:blipFill>
                        <pic:spPr>
                          <a:xfrm>
                            <a:off x="0" y="0"/>
                            <a:ext cx="3483428" cy="2743200"/>
                          </a:xfrm>
                          <a:prstGeom prst="rect">
                            <a:avLst/>
                          </a:prstGeom>
                        </pic:spPr>
                      </pic:pic>
                    </a:graphicData>
                  </a:graphic>
                </wp:inline>
              </w:drawing>
            </w:r>
          </w:p>
        </w:tc>
        <w:tc>
          <w:tcPr>
            <w:tcW w:w="7771" w:type="dxa"/>
            <w:vAlign w:val="center"/>
          </w:tcPr>
          <w:p w14:paraId="609D51E2" w14:textId="77777777" w:rsidR="004400D5" w:rsidRDefault="004400D5" w:rsidP="001C210D">
            <w:pPr>
              <w:spacing w:after="0"/>
              <w:jc w:val="center"/>
            </w:pPr>
            <w:r>
              <w:rPr>
                <w:noProof/>
              </w:rPr>
              <w:drawing>
                <wp:inline distT="0" distB="0" distL="0" distR="0" wp14:anchorId="48AAE0F1" wp14:editId="5E84525E">
                  <wp:extent cx="3483428" cy="27432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acidification_accumulated_exceedance_ae_routing_comparison_stacked.png"/>
                          <pic:cNvPicPr/>
                        </pic:nvPicPr>
                        <pic:blipFill>
                          <a:blip r:embed="rId85"/>
                          <a:stretch>
                            <a:fillRect/>
                          </a:stretch>
                        </pic:blipFill>
                        <pic:spPr>
                          <a:xfrm>
                            <a:off x="0" y="0"/>
                            <a:ext cx="3483428" cy="2743200"/>
                          </a:xfrm>
                          <a:prstGeom prst="rect">
                            <a:avLst/>
                          </a:prstGeom>
                        </pic:spPr>
                      </pic:pic>
                    </a:graphicData>
                  </a:graphic>
                </wp:inline>
              </w:drawing>
            </w:r>
          </w:p>
        </w:tc>
      </w:tr>
      <w:tr w:rsidR="004400D5" w14:paraId="6966EBF5" w14:textId="77777777" w:rsidTr="00BC178F">
        <w:tc>
          <w:tcPr>
            <w:tcW w:w="15542" w:type="dxa"/>
            <w:gridSpan w:val="2"/>
          </w:tcPr>
          <w:p w14:paraId="5A2C1D25" w14:textId="77777777" w:rsidR="004400D5" w:rsidRDefault="004400D5" w:rsidP="001C210D">
            <w:pPr>
              <w:jc w:val="left"/>
            </w:pPr>
            <w:r>
              <w:rPr>
                <w:b/>
                <w:sz w:val="16"/>
              </w:rPr>
              <w:t>Figure S-routing-polyol-02. climate change - global warming potential (GWP100).</w:t>
            </w:r>
          </w:p>
        </w:tc>
      </w:tr>
      <w:tr w:rsidR="004400D5" w14:paraId="2E726CB9" w14:textId="77777777" w:rsidTr="00BC178F">
        <w:tc>
          <w:tcPr>
            <w:tcW w:w="7771" w:type="dxa"/>
            <w:vAlign w:val="center"/>
          </w:tcPr>
          <w:p w14:paraId="2C76F5D7" w14:textId="77777777" w:rsidR="004400D5" w:rsidRDefault="004400D5" w:rsidP="001C210D">
            <w:pPr>
              <w:spacing w:after="0"/>
              <w:jc w:val="center"/>
            </w:pPr>
            <w:r>
              <w:rPr>
                <w:noProof/>
              </w:rPr>
              <w:drawing>
                <wp:inline distT="0" distB="0" distL="0" distR="0" wp14:anchorId="1558D1AB" wp14:editId="0B7047B8">
                  <wp:extent cx="3483428" cy="27432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global_warming_potential_gwp100_routing_comparison_unstacked.png"/>
                          <pic:cNvPicPr/>
                        </pic:nvPicPr>
                        <pic:blipFill>
                          <a:blip r:embed="rId86"/>
                          <a:stretch>
                            <a:fillRect/>
                          </a:stretch>
                        </pic:blipFill>
                        <pic:spPr>
                          <a:xfrm>
                            <a:off x="0" y="0"/>
                            <a:ext cx="3483428" cy="2743200"/>
                          </a:xfrm>
                          <a:prstGeom prst="rect">
                            <a:avLst/>
                          </a:prstGeom>
                        </pic:spPr>
                      </pic:pic>
                    </a:graphicData>
                  </a:graphic>
                </wp:inline>
              </w:drawing>
            </w:r>
          </w:p>
        </w:tc>
        <w:tc>
          <w:tcPr>
            <w:tcW w:w="7771" w:type="dxa"/>
            <w:vAlign w:val="center"/>
          </w:tcPr>
          <w:p w14:paraId="6AC1F8CB" w14:textId="77777777" w:rsidR="004400D5" w:rsidRDefault="004400D5" w:rsidP="001C210D">
            <w:pPr>
              <w:spacing w:after="0"/>
              <w:jc w:val="center"/>
            </w:pPr>
            <w:r>
              <w:rPr>
                <w:noProof/>
              </w:rPr>
              <w:drawing>
                <wp:inline distT="0" distB="0" distL="0" distR="0" wp14:anchorId="6D7C12F7" wp14:editId="4BF0859E">
                  <wp:extent cx="3483428" cy="27432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global_warming_potential_gwp100_routing_comparison_stacked.png"/>
                          <pic:cNvPicPr/>
                        </pic:nvPicPr>
                        <pic:blipFill>
                          <a:blip r:embed="rId87"/>
                          <a:stretch>
                            <a:fillRect/>
                          </a:stretch>
                        </pic:blipFill>
                        <pic:spPr>
                          <a:xfrm>
                            <a:off x="0" y="0"/>
                            <a:ext cx="3483428" cy="2743200"/>
                          </a:xfrm>
                          <a:prstGeom prst="rect">
                            <a:avLst/>
                          </a:prstGeom>
                        </pic:spPr>
                      </pic:pic>
                    </a:graphicData>
                  </a:graphic>
                </wp:inline>
              </w:drawing>
            </w:r>
          </w:p>
        </w:tc>
      </w:tr>
      <w:tr w:rsidR="004400D5" w14:paraId="01315391" w14:textId="77777777" w:rsidTr="00BC178F">
        <w:tc>
          <w:tcPr>
            <w:tcW w:w="15542" w:type="dxa"/>
            <w:gridSpan w:val="2"/>
          </w:tcPr>
          <w:p w14:paraId="76C1BB0A" w14:textId="77777777" w:rsidR="004400D5" w:rsidRDefault="004400D5" w:rsidP="001C210D">
            <w:pPr>
              <w:jc w:val="left"/>
            </w:pPr>
            <w:r>
              <w:rPr>
                <w:b/>
                <w:sz w:val="16"/>
              </w:rPr>
              <w:lastRenderedPageBreak/>
              <w:t>Figure S-routing-polyol-03. climate change: biogenic - global warming potential (GWP100).</w:t>
            </w:r>
          </w:p>
        </w:tc>
      </w:tr>
      <w:tr w:rsidR="004400D5" w14:paraId="1AE20155" w14:textId="77777777" w:rsidTr="00BC178F">
        <w:tc>
          <w:tcPr>
            <w:tcW w:w="7771" w:type="dxa"/>
            <w:vAlign w:val="center"/>
          </w:tcPr>
          <w:p w14:paraId="5C5F8890" w14:textId="77777777" w:rsidR="004400D5" w:rsidRDefault="004400D5" w:rsidP="001C210D">
            <w:pPr>
              <w:spacing w:after="0"/>
              <w:jc w:val="center"/>
            </w:pPr>
            <w:r>
              <w:rPr>
                <w:noProof/>
              </w:rPr>
              <w:drawing>
                <wp:inline distT="0" distB="0" distL="0" distR="0" wp14:anchorId="6542C9D9" wp14:editId="4E4686A9">
                  <wp:extent cx="3483428" cy="27432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biogenic_global_warming_potential_gwp100_routing_comparison_unstacked.png"/>
                          <pic:cNvPicPr/>
                        </pic:nvPicPr>
                        <pic:blipFill>
                          <a:blip r:embed="rId88"/>
                          <a:stretch>
                            <a:fillRect/>
                          </a:stretch>
                        </pic:blipFill>
                        <pic:spPr>
                          <a:xfrm>
                            <a:off x="0" y="0"/>
                            <a:ext cx="3483428" cy="2743200"/>
                          </a:xfrm>
                          <a:prstGeom prst="rect">
                            <a:avLst/>
                          </a:prstGeom>
                        </pic:spPr>
                      </pic:pic>
                    </a:graphicData>
                  </a:graphic>
                </wp:inline>
              </w:drawing>
            </w:r>
          </w:p>
        </w:tc>
        <w:tc>
          <w:tcPr>
            <w:tcW w:w="7771" w:type="dxa"/>
            <w:vAlign w:val="center"/>
          </w:tcPr>
          <w:p w14:paraId="5806E091" w14:textId="77777777" w:rsidR="004400D5" w:rsidRDefault="004400D5" w:rsidP="001C210D">
            <w:pPr>
              <w:spacing w:after="0"/>
              <w:jc w:val="center"/>
            </w:pPr>
            <w:r>
              <w:rPr>
                <w:noProof/>
              </w:rPr>
              <w:drawing>
                <wp:inline distT="0" distB="0" distL="0" distR="0" wp14:anchorId="02A8F2C4" wp14:editId="2675F5DD">
                  <wp:extent cx="3483428" cy="27432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biogenic_global_warming_potential_gwp100_routing_comparison_stacked.png"/>
                          <pic:cNvPicPr/>
                        </pic:nvPicPr>
                        <pic:blipFill>
                          <a:blip r:embed="rId89"/>
                          <a:stretch>
                            <a:fillRect/>
                          </a:stretch>
                        </pic:blipFill>
                        <pic:spPr>
                          <a:xfrm>
                            <a:off x="0" y="0"/>
                            <a:ext cx="3483428" cy="2743200"/>
                          </a:xfrm>
                          <a:prstGeom prst="rect">
                            <a:avLst/>
                          </a:prstGeom>
                        </pic:spPr>
                      </pic:pic>
                    </a:graphicData>
                  </a:graphic>
                </wp:inline>
              </w:drawing>
            </w:r>
          </w:p>
        </w:tc>
      </w:tr>
      <w:tr w:rsidR="004400D5" w14:paraId="6E47B7D1" w14:textId="77777777" w:rsidTr="00BC178F">
        <w:tc>
          <w:tcPr>
            <w:tcW w:w="15542" w:type="dxa"/>
            <w:gridSpan w:val="2"/>
          </w:tcPr>
          <w:p w14:paraId="6B59C782" w14:textId="77777777" w:rsidR="004400D5" w:rsidRDefault="004400D5" w:rsidP="001C210D">
            <w:pPr>
              <w:jc w:val="left"/>
            </w:pPr>
            <w:r>
              <w:rPr>
                <w:b/>
                <w:sz w:val="16"/>
              </w:rPr>
              <w:t>Figure S-routing-polyol-04. climate change: fossil - global warming potential (GWP100).</w:t>
            </w:r>
          </w:p>
        </w:tc>
      </w:tr>
      <w:tr w:rsidR="004400D5" w14:paraId="4225D414" w14:textId="77777777" w:rsidTr="00BC178F">
        <w:tc>
          <w:tcPr>
            <w:tcW w:w="7771" w:type="dxa"/>
            <w:vAlign w:val="center"/>
          </w:tcPr>
          <w:p w14:paraId="5063B4DA" w14:textId="77777777" w:rsidR="004400D5" w:rsidRDefault="004400D5" w:rsidP="001C210D">
            <w:pPr>
              <w:spacing w:after="0"/>
              <w:jc w:val="center"/>
            </w:pPr>
            <w:r>
              <w:rPr>
                <w:noProof/>
              </w:rPr>
              <w:drawing>
                <wp:inline distT="0" distB="0" distL="0" distR="0" wp14:anchorId="1665DCA8" wp14:editId="5CCEDA71">
                  <wp:extent cx="3483428" cy="27432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fossil_global_warming_potential_gwp100_routing_comparison_unstacked.png"/>
                          <pic:cNvPicPr/>
                        </pic:nvPicPr>
                        <pic:blipFill>
                          <a:blip r:embed="rId90"/>
                          <a:stretch>
                            <a:fillRect/>
                          </a:stretch>
                        </pic:blipFill>
                        <pic:spPr>
                          <a:xfrm>
                            <a:off x="0" y="0"/>
                            <a:ext cx="3483428" cy="2743200"/>
                          </a:xfrm>
                          <a:prstGeom prst="rect">
                            <a:avLst/>
                          </a:prstGeom>
                        </pic:spPr>
                      </pic:pic>
                    </a:graphicData>
                  </a:graphic>
                </wp:inline>
              </w:drawing>
            </w:r>
          </w:p>
        </w:tc>
        <w:tc>
          <w:tcPr>
            <w:tcW w:w="7771" w:type="dxa"/>
            <w:vAlign w:val="center"/>
          </w:tcPr>
          <w:p w14:paraId="1C1DE6A4" w14:textId="77777777" w:rsidR="004400D5" w:rsidRDefault="004400D5" w:rsidP="001C210D">
            <w:pPr>
              <w:spacing w:after="0"/>
              <w:jc w:val="center"/>
            </w:pPr>
            <w:r>
              <w:rPr>
                <w:noProof/>
              </w:rPr>
              <w:drawing>
                <wp:inline distT="0" distB="0" distL="0" distR="0" wp14:anchorId="069F10D9" wp14:editId="1F56089C">
                  <wp:extent cx="3483428" cy="27432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fossil_global_warming_potential_gwp100_routing_comparison_stacked.png"/>
                          <pic:cNvPicPr/>
                        </pic:nvPicPr>
                        <pic:blipFill>
                          <a:blip r:embed="rId91"/>
                          <a:stretch>
                            <a:fillRect/>
                          </a:stretch>
                        </pic:blipFill>
                        <pic:spPr>
                          <a:xfrm>
                            <a:off x="0" y="0"/>
                            <a:ext cx="3483428" cy="2743200"/>
                          </a:xfrm>
                          <a:prstGeom prst="rect">
                            <a:avLst/>
                          </a:prstGeom>
                        </pic:spPr>
                      </pic:pic>
                    </a:graphicData>
                  </a:graphic>
                </wp:inline>
              </w:drawing>
            </w:r>
          </w:p>
        </w:tc>
      </w:tr>
      <w:tr w:rsidR="004400D5" w14:paraId="55B2CA49" w14:textId="77777777" w:rsidTr="00BC178F">
        <w:tc>
          <w:tcPr>
            <w:tcW w:w="15542" w:type="dxa"/>
            <w:gridSpan w:val="2"/>
          </w:tcPr>
          <w:p w14:paraId="4045ED70" w14:textId="77777777" w:rsidR="004400D5" w:rsidRDefault="004400D5" w:rsidP="001C210D">
            <w:pPr>
              <w:jc w:val="left"/>
            </w:pPr>
            <w:r>
              <w:rPr>
                <w:b/>
                <w:sz w:val="16"/>
              </w:rPr>
              <w:t>Figure S-routing-polyol-05. climate change: land use and land use change - global warming potential (GWP100).</w:t>
            </w:r>
          </w:p>
        </w:tc>
      </w:tr>
      <w:tr w:rsidR="004400D5" w14:paraId="132B152F" w14:textId="77777777" w:rsidTr="00BC178F">
        <w:tc>
          <w:tcPr>
            <w:tcW w:w="7771" w:type="dxa"/>
            <w:vAlign w:val="center"/>
          </w:tcPr>
          <w:p w14:paraId="4707423D" w14:textId="77777777" w:rsidR="004400D5" w:rsidRDefault="004400D5" w:rsidP="001C210D">
            <w:pPr>
              <w:spacing w:after="0"/>
              <w:jc w:val="center"/>
            </w:pPr>
            <w:r>
              <w:rPr>
                <w:noProof/>
              </w:rPr>
              <w:lastRenderedPageBreak/>
              <w:drawing>
                <wp:inline distT="0" distB="0" distL="0" distR="0" wp14:anchorId="42950FDB" wp14:editId="6B8E0D76">
                  <wp:extent cx="3483428" cy="2743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land_use_and_land_use_change_global_warming_potential_gwp100_routing_comparison_unstacked.png"/>
                          <pic:cNvPicPr/>
                        </pic:nvPicPr>
                        <pic:blipFill>
                          <a:blip r:embed="rId92"/>
                          <a:stretch>
                            <a:fillRect/>
                          </a:stretch>
                        </pic:blipFill>
                        <pic:spPr>
                          <a:xfrm>
                            <a:off x="0" y="0"/>
                            <a:ext cx="3483428" cy="2743200"/>
                          </a:xfrm>
                          <a:prstGeom prst="rect">
                            <a:avLst/>
                          </a:prstGeom>
                        </pic:spPr>
                      </pic:pic>
                    </a:graphicData>
                  </a:graphic>
                </wp:inline>
              </w:drawing>
            </w:r>
          </w:p>
        </w:tc>
        <w:tc>
          <w:tcPr>
            <w:tcW w:w="7771" w:type="dxa"/>
            <w:vAlign w:val="center"/>
          </w:tcPr>
          <w:p w14:paraId="7C84F154" w14:textId="77777777" w:rsidR="004400D5" w:rsidRDefault="004400D5" w:rsidP="001C210D">
            <w:pPr>
              <w:spacing w:after="0"/>
              <w:jc w:val="center"/>
            </w:pPr>
            <w:r>
              <w:rPr>
                <w:noProof/>
              </w:rPr>
              <w:drawing>
                <wp:inline distT="0" distB="0" distL="0" distR="0" wp14:anchorId="43A75DF4" wp14:editId="06CC3DAC">
                  <wp:extent cx="3483428" cy="27432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land_use_and_land_use_change_global_warming_potential_gwp100_routing_comparison_stacked.png"/>
                          <pic:cNvPicPr/>
                        </pic:nvPicPr>
                        <pic:blipFill>
                          <a:blip r:embed="rId93"/>
                          <a:stretch>
                            <a:fillRect/>
                          </a:stretch>
                        </pic:blipFill>
                        <pic:spPr>
                          <a:xfrm>
                            <a:off x="0" y="0"/>
                            <a:ext cx="3483428" cy="2743200"/>
                          </a:xfrm>
                          <a:prstGeom prst="rect">
                            <a:avLst/>
                          </a:prstGeom>
                        </pic:spPr>
                      </pic:pic>
                    </a:graphicData>
                  </a:graphic>
                </wp:inline>
              </w:drawing>
            </w:r>
          </w:p>
        </w:tc>
      </w:tr>
      <w:tr w:rsidR="004400D5" w14:paraId="6901116C" w14:textId="77777777" w:rsidTr="00BC178F">
        <w:tc>
          <w:tcPr>
            <w:tcW w:w="15542" w:type="dxa"/>
            <w:gridSpan w:val="2"/>
          </w:tcPr>
          <w:p w14:paraId="76D874AD" w14:textId="77777777" w:rsidR="004400D5" w:rsidRDefault="004400D5" w:rsidP="001C210D">
            <w:pPr>
              <w:jc w:val="left"/>
            </w:pPr>
            <w:r>
              <w:rPr>
                <w:b/>
                <w:sz w:val="16"/>
              </w:rPr>
              <w:t>Figure S-routing-polyol-06. ecotoxicity: freshwater - comparative toxic unit for ecosystems (</w:t>
            </w:r>
            <w:proofErr w:type="spellStart"/>
            <w:r>
              <w:rPr>
                <w:b/>
                <w:sz w:val="16"/>
              </w:rPr>
              <w:t>CTUe</w:t>
            </w:r>
            <w:proofErr w:type="spellEnd"/>
            <w:r>
              <w:rPr>
                <w:b/>
                <w:sz w:val="16"/>
              </w:rPr>
              <w:t>).</w:t>
            </w:r>
          </w:p>
        </w:tc>
      </w:tr>
      <w:tr w:rsidR="004400D5" w14:paraId="72B949DD" w14:textId="77777777" w:rsidTr="00BC178F">
        <w:tc>
          <w:tcPr>
            <w:tcW w:w="7771" w:type="dxa"/>
            <w:vAlign w:val="center"/>
          </w:tcPr>
          <w:p w14:paraId="690650BF" w14:textId="77777777" w:rsidR="004400D5" w:rsidRDefault="004400D5" w:rsidP="001C210D">
            <w:pPr>
              <w:spacing w:after="0"/>
              <w:jc w:val="center"/>
            </w:pPr>
            <w:r>
              <w:rPr>
                <w:noProof/>
              </w:rPr>
              <w:drawing>
                <wp:inline distT="0" distB="0" distL="0" distR="0" wp14:anchorId="6466B5C4" wp14:editId="53580894">
                  <wp:extent cx="3483428" cy="2743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comparative_toxic_unit_for_ecosystems_ctue_routing_comparison_unstacked.png"/>
                          <pic:cNvPicPr/>
                        </pic:nvPicPr>
                        <pic:blipFill>
                          <a:blip r:embed="rId94"/>
                          <a:stretch>
                            <a:fillRect/>
                          </a:stretch>
                        </pic:blipFill>
                        <pic:spPr>
                          <a:xfrm>
                            <a:off x="0" y="0"/>
                            <a:ext cx="3483428" cy="2743200"/>
                          </a:xfrm>
                          <a:prstGeom prst="rect">
                            <a:avLst/>
                          </a:prstGeom>
                        </pic:spPr>
                      </pic:pic>
                    </a:graphicData>
                  </a:graphic>
                </wp:inline>
              </w:drawing>
            </w:r>
          </w:p>
        </w:tc>
        <w:tc>
          <w:tcPr>
            <w:tcW w:w="7771" w:type="dxa"/>
            <w:vAlign w:val="center"/>
          </w:tcPr>
          <w:p w14:paraId="32549A89" w14:textId="77777777" w:rsidR="004400D5" w:rsidRDefault="004400D5" w:rsidP="001C210D">
            <w:pPr>
              <w:spacing w:after="0"/>
              <w:jc w:val="center"/>
            </w:pPr>
            <w:r>
              <w:rPr>
                <w:noProof/>
              </w:rPr>
              <w:drawing>
                <wp:inline distT="0" distB="0" distL="0" distR="0" wp14:anchorId="734DF093" wp14:editId="10133D4D">
                  <wp:extent cx="3483428" cy="27432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comparative_toxic_unit_for_ecosystems_ctue_routing_comparison_stacked.png"/>
                          <pic:cNvPicPr/>
                        </pic:nvPicPr>
                        <pic:blipFill>
                          <a:blip r:embed="rId95"/>
                          <a:stretch>
                            <a:fillRect/>
                          </a:stretch>
                        </pic:blipFill>
                        <pic:spPr>
                          <a:xfrm>
                            <a:off x="0" y="0"/>
                            <a:ext cx="3483428" cy="2743200"/>
                          </a:xfrm>
                          <a:prstGeom prst="rect">
                            <a:avLst/>
                          </a:prstGeom>
                        </pic:spPr>
                      </pic:pic>
                    </a:graphicData>
                  </a:graphic>
                </wp:inline>
              </w:drawing>
            </w:r>
          </w:p>
        </w:tc>
      </w:tr>
      <w:tr w:rsidR="004400D5" w14:paraId="29B39893" w14:textId="77777777" w:rsidTr="00BC178F">
        <w:tc>
          <w:tcPr>
            <w:tcW w:w="15542" w:type="dxa"/>
            <w:gridSpan w:val="2"/>
          </w:tcPr>
          <w:p w14:paraId="4953AA28" w14:textId="77777777" w:rsidR="004400D5" w:rsidRDefault="004400D5" w:rsidP="001C210D">
            <w:pPr>
              <w:jc w:val="left"/>
            </w:pPr>
            <w:r>
              <w:rPr>
                <w:b/>
                <w:sz w:val="16"/>
              </w:rPr>
              <w:t>Figure S-routing-polyol-07. ecotoxicity: freshwater, inorganics - comparative toxic unit for ecosystems (</w:t>
            </w:r>
            <w:proofErr w:type="spellStart"/>
            <w:r>
              <w:rPr>
                <w:b/>
                <w:sz w:val="16"/>
              </w:rPr>
              <w:t>CTUe</w:t>
            </w:r>
            <w:proofErr w:type="spellEnd"/>
            <w:r>
              <w:rPr>
                <w:b/>
                <w:sz w:val="16"/>
              </w:rPr>
              <w:t>).</w:t>
            </w:r>
          </w:p>
        </w:tc>
      </w:tr>
      <w:tr w:rsidR="004400D5" w14:paraId="586EF297" w14:textId="77777777" w:rsidTr="00BC178F">
        <w:tc>
          <w:tcPr>
            <w:tcW w:w="7771" w:type="dxa"/>
            <w:vAlign w:val="center"/>
          </w:tcPr>
          <w:p w14:paraId="69F10349" w14:textId="77777777" w:rsidR="004400D5" w:rsidRDefault="004400D5" w:rsidP="001C210D">
            <w:pPr>
              <w:spacing w:after="0"/>
              <w:jc w:val="center"/>
            </w:pPr>
            <w:r>
              <w:rPr>
                <w:noProof/>
              </w:rPr>
              <w:lastRenderedPageBreak/>
              <w:drawing>
                <wp:inline distT="0" distB="0" distL="0" distR="0" wp14:anchorId="4D237D3A" wp14:editId="6587F422">
                  <wp:extent cx="3483428" cy="27432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inorganics_comparative_toxic_unit_for_ecosystems_ctue_routing_comparison_unstacked.png"/>
                          <pic:cNvPicPr/>
                        </pic:nvPicPr>
                        <pic:blipFill>
                          <a:blip r:embed="rId96"/>
                          <a:stretch>
                            <a:fillRect/>
                          </a:stretch>
                        </pic:blipFill>
                        <pic:spPr>
                          <a:xfrm>
                            <a:off x="0" y="0"/>
                            <a:ext cx="3483428" cy="2743200"/>
                          </a:xfrm>
                          <a:prstGeom prst="rect">
                            <a:avLst/>
                          </a:prstGeom>
                        </pic:spPr>
                      </pic:pic>
                    </a:graphicData>
                  </a:graphic>
                </wp:inline>
              </w:drawing>
            </w:r>
          </w:p>
        </w:tc>
        <w:tc>
          <w:tcPr>
            <w:tcW w:w="7771" w:type="dxa"/>
            <w:vAlign w:val="center"/>
          </w:tcPr>
          <w:p w14:paraId="5E17F716" w14:textId="77777777" w:rsidR="004400D5" w:rsidRDefault="004400D5" w:rsidP="001C210D">
            <w:pPr>
              <w:spacing w:after="0"/>
              <w:jc w:val="center"/>
            </w:pPr>
            <w:r>
              <w:rPr>
                <w:noProof/>
              </w:rPr>
              <w:drawing>
                <wp:inline distT="0" distB="0" distL="0" distR="0" wp14:anchorId="2BADA2EE" wp14:editId="3F50517D">
                  <wp:extent cx="3483428" cy="27432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inorganics_comparative_toxic_unit_for_ecosystems_ctue_routing_comparison_stacked.png"/>
                          <pic:cNvPicPr/>
                        </pic:nvPicPr>
                        <pic:blipFill>
                          <a:blip r:embed="rId97"/>
                          <a:stretch>
                            <a:fillRect/>
                          </a:stretch>
                        </pic:blipFill>
                        <pic:spPr>
                          <a:xfrm>
                            <a:off x="0" y="0"/>
                            <a:ext cx="3483428" cy="2743200"/>
                          </a:xfrm>
                          <a:prstGeom prst="rect">
                            <a:avLst/>
                          </a:prstGeom>
                        </pic:spPr>
                      </pic:pic>
                    </a:graphicData>
                  </a:graphic>
                </wp:inline>
              </w:drawing>
            </w:r>
          </w:p>
        </w:tc>
      </w:tr>
      <w:tr w:rsidR="004400D5" w14:paraId="1FFB5D34" w14:textId="77777777" w:rsidTr="00BC178F">
        <w:tc>
          <w:tcPr>
            <w:tcW w:w="15542" w:type="dxa"/>
            <w:gridSpan w:val="2"/>
          </w:tcPr>
          <w:p w14:paraId="335D5E67" w14:textId="77777777" w:rsidR="004400D5" w:rsidRDefault="004400D5" w:rsidP="001C210D">
            <w:pPr>
              <w:jc w:val="left"/>
            </w:pPr>
            <w:r>
              <w:rPr>
                <w:b/>
                <w:sz w:val="16"/>
              </w:rPr>
              <w:t>Figure S-routing-polyol-08. ecotoxicity: freshwater, organics - comparative toxic unit for ecosystems (</w:t>
            </w:r>
            <w:proofErr w:type="spellStart"/>
            <w:r>
              <w:rPr>
                <w:b/>
                <w:sz w:val="16"/>
              </w:rPr>
              <w:t>CTUe</w:t>
            </w:r>
            <w:proofErr w:type="spellEnd"/>
            <w:r>
              <w:rPr>
                <w:b/>
                <w:sz w:val="16"/>
              </w:rPr>
              <w:t>).</w:t>
            </w:r>
          </w:p>
        </w:tc>
      </w:tr>
      <w:tr w:rsidR="004400D5" w14:paraId="15907707" w14:textId="77777777" w:rsidTr="00BC178F">
        <w:tc>
          <w:tcPr>
            <w:tcW w:w="7771" w:type="dxa"/>
            <w:vAlign w:val="center"/>
          </w:tcPr>
          <w:p w14:paraId="093347D2" w14:textId="77777777" w:rsidR="004400D5" w:rsidRDefault="004400D5" w:rsidP="001C210D">
            <w:pPr>
              <w:spacing w:after="0"/>
              <w:jc w:val="center"/>
            </w:pPr>
            <w:r>
              <w:rPr>
                <w:noProof/>
              </w:rPr>
              <w:drawing>
                <wp:inline distT="0" distB="0" distL="0" distR="0" wp14:anchorId="0752F7C3" wp14:editId="14F7B508">
                  <wp:extent cx="3483428" cy="27432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organics_comparative_toxic_unit_for_ecosystems_ctue_routing_comparison_unstacked.png"/>
                          <pic:cNvPicPr/>
                        </pic:nvPicPr>
                        <pic:blipFill>
                          <a:blip r:embed="rId98"/>
                          <a:stretch>
                            <a:fillRect/>
                          </a:stretch>
                        </pic:blipFill>
                        <pic:spPr>
                          <a:xfrm>
                            <a:off x="0" y="0"/>
                            <a:ext cx="3483428" cy="2743200"/>
                          </a:xfrm>
                          <a:prstGeom prst="rect">
                            <a:avLst/>
                          </a:prstGeom>
                        </pic:spPr>
                      </pic:pic>
                    </a:graphicData>
                  </a:graphic>
                </wp:inline>
              </w:drawing>
            </w:r>
          </w:p>
        </w:tc>
        <w:tc>
          <w:tcPr>
            <w:tcW w:w="7771" w:type="dxa"/>
            <w:vAlign w:val="center"/>
          </w:tcPr>
          <w:p w14:paraId="0F56F20C" w14:textId="77777777" w:rsidR="004400D5" w:rsidRDefault="004400D5" w:rsidP="001C210D">
            <w:pPr>
              <w:spacing w:after="0"/>
              <w:jc w:val="center"/>
            </w:pPr>
            <w:r>
              <w:rPr>
                <w:noProof/>
              </w:rPr>
              <w:drawing>
                <wp:inline distT="0" distB="0" distL="0" distR="0" wp14:anchorId="7DE8A86D" wp14:editId="61926A76">
                  <wp:extent cx="3483428"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organics_comparative_toxic_unit_for_ecosystems_ctue_routing_comparison_stacked.png"/>
                          <pic:cNvPicPr/>
                        </pic:nvPicPr>
                        <pic:blipFill>
                          <a:blip r:embed="rId99"/>
                          <a:stretch>
                            <a:fillRect/>
                          </a:stretch>
                        </pic:blipFill>
                        <pic:spPr>
                          <a:xfrm>
                            <a:off x="0" y="0"/>
                            <a:ext cx="3483428" cy="2743200"/>
                          </a:xfrm>
                          <a:prstGeom prst="rect">
                            <a:avLst/>
                          </a:prstGeom>
                        </pic:spPr>
                      </pic:pic>
                    </a:graphicData>
                  </a:graphic>
                </wp:inline>
              </w:drawing>
            </w:r>
          </w:p>
        </w:tc>
      </w:tr>
      <w:tr w:rsidR="004400D5" w14:paraId="576D70A7" w14:textId="77777777" w:rsidTr="00BC178F">
        <w:tc>
          <w:tcPr>
            <w:tcW w:w="15542" w:type="dxa"/>
            <w:gridSpan w:val="2"/>
          </w:tcPr>
          <w:p w14:paraId="6232F1A7" w14:textId="77777777" w:rsidR="004400D5" w:rsidRDefault="004400D5" w:rsidP="001C210D">
            <w:pPr>
              <w:jc w:val="left"/>
            </w:pPr>
            <w:r>
              <w:rPr>
                <w:b/>
                <w:sz w:val="16"/>
              </w:rPr>
              <w:t>Figure S-routing-polyol-09. energy resources: non-renewable - abiotic depletion potential (ADP): fossil fuels.</w:t>
            </w:r>
          </w:p>
        </w:tc>
      </w:tr>
      <w:tr w:rsidR="004400D5" w14:paraId="6D8917A7" w14:textId="77777777" w:rsidTr="00BC178F">
        <w:tc>
          <w:tcPr>
            <w:tcW w:w="7771" w:type="dxa"/>
            <w:vAlign w:val="center"/>
          </w:tcPr>
          <w:p w14:paraId="1C87A078" w14:textId="77777777" w:rsidR="004400D5" w:rsidRDefault="004400D5" w:rsidP="001C210D">
            <w:pPr>
              <w:spacing w:after="0"/>
              <w:jc w:val="center"/>
            </w:pPr>
            <w:r>
              <w:rPr>
                <w:noProof/>
              </w:rPr>
              <w:lastRenderedPageBreak/>
              <w:drawing>
                <wp:inline distT="0" distB="0" distL="0" distR="0" wp14:anchorId="490B1D4A" wp14:editId="4A6F735A">
                  <wp:extent cx="3483428" cy="27432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nergy_resources_non_renewable_abiotic_depletion_potential_adp_fossil_fuels_routing_comparison_unstacked.png"/>
                          <pic:cNvPicPr/>
                        </pic:nvPicPr>
                        <pic:blipFill>
                          <a:blip r:embed="rId100"/>
                          <a:stretch>
                            <a:fillRect/>
                          </a:stretch>
                        </pic:blipFill>
                        <pic:spPr>
                          <a:xfrm>
                            <a:off x="0" y="0"/>
                            <a:ext cx="3483428" cy="2743200"/>
                          </a:xfrm>
                          <a:prstGeom prst="rect">
                            <a:avLst/>
                          </a:prstGeom>
                        </pic:spPr>
                      </pic:pic>
                    </a:graphicData>
                  </a:graphic>
                </wp:inline>
              </w:drawing>
            </w:r>
          </w:p>
        </w:tc>
        <w:tc>
          <w:tcPr>
            <w:tcW w:w="7771" w:type="dxa"/>
            <w:vAlign w:val="center"/>
          </w:tcPr>
          <w:p w14:paraId="1A23E15B" w14:textId="77777777" w:rsidR="004400D5" w:rsidRDefault="004400D5" w:rsidP="001C210D">
            <w:pPr>
              <w:spacing w:after="0"/>
              <w:jc w:val="center"/>
            </w:pPr>
            <w:r>
              <w:rPr>
                <w:noProof/>
              </w:rPr>
              <w:drawing>
                <wp:inline distT="0" distB="0" distL="0" distR="0" wp14:anchorId="30A92ADF" wp14:editId="64DE8B6B">
                  <wp:extent cx="3483428" cy="27432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nergy_resources_non_renewable_abiotic_depletion_potential_adp_fossil_fuels_routing_comparison_stacked.png"/>
                          <pic:cNvPicPr/>
                        </pic:nvPicPr>
                        <pic:blipFill>
                          <a:blip r:embed="rId101"/>
                          <a:stretch>
                            <a:fillRect/>
                          </a:stretch>
                        </pic:blipFill>
                        <pic:spPr>
                          <a:xfrm>
                            <a:off x="0" y="0"/>
                            <a:ext cx="3483428" cy="2743200"/>
                          </a:xfrm>
                          <a:prstGeom prst="rect">
                            <a:avLst/>
                          </a:prstGeom>
                        </pic:spPr>
                      </pic:pic>
                    </a:graphicData>
                  </a:graphic>
                </wp:inline>
              </w:drawing>
            </w:r>
          </w:p>
        </w:tc>
      </w:tr>
      <w:tr w:rsidR="004400D5" w14:paraId="7B38C880" w14:textId="77777777" w:rsidTr="00BC178F">
        <w:tc>
          <w:tcPr>
            <w:tcW w:w="15542" w:type="dxa"/>
            <w:gridSpan w:val="2"/>
          </w:tcPr>
          <w:p w14:paraId="3F5D5954" w14:textId="77777777" w:rsidR="004400D5" w:rsidRDefault="004400D5" w:rsidP="001C210D">
            <w:pPr>
              <w:jc w:val="left"/>
            </w:pPr>
            <w:r>
              <w:rPr>
                <w:b/>
                <w:sz w:val="16"/>
              </w:rPr>
              <w:t>Figure S-routing-polyol-10. eutrophication: freshwater - fraction of nutrients reaching freshwater end compartment (P).</w:t>
            </w:r>
          </w:p>
        </w:tc>
      </w:tr>
      <w:tr w:rsidR="004400D5" w14:paraId="10FE56E6" w14:textId="77777777" w:rsidTr="00BC178F">
        <w:tc>
          <w:tcPr>
            <w:tcW w:w="7771" w:type="dxa"/>
            <w:vAlign w:val="center"/>
          </w:tcPr>
          <w:p w14:paraId="4C70C04C" w14:textId="77777777" w:rsidR="004400D5" w:rsidRDefault="004400D5" w:rsidP="001C210D">
            <w:pPr>
              <w:spacing w:after="0"/>
              <w:jc w:val="center"/>
            </w:pPr>
            <w:r>
              <w:rPr>
                <w:noProof/>
              </w:rPr>
              <w:drawing>
                <wp:inline distT="0" distB="0" distL="0" distR="0" wp14:anchorId="489782FA" wp14:editId="77889B5E">
                  <wp:extent cx="3483428" cy="27432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freshwater_fraction_of_nutrients_reaching_freshwater_end_compartment_p_routing_comparison_unstacked.png"/>
                          <pic:cNvPicPr/>
                        </pic:nvPicPr>
                        <pic:blipFill>
                          <a:blip r:embed="rId102"/>
                          <a:stretch>
                            <a:fillRect/>
                          </a:stretch>
                        </pic:blipFill>
                        <pic:spPr>
                          <a:xfrm>
                            <a:off x="0" y="0"/>
                            <a:ext cx="3483428" cy="2743200"/>
                          </a:xfrm>
                          <a:prstGeom prst="rect">
                            <a:avLst/>
                          </a:prstGeom>
                        </pic:spPr>
                      </pic:pic>
                    </a:graphicData>
                  </a:graphic>
                </wp:inline>
              </w:drawing>
            </w:r>
          </w:p>
        </w:tc>
        <w:tc>
          <w:tcPr>
            <w:tcW w:w="7771" w:type="dxa"/>
            <w:vAlign w:val="center"/>
          </w:tcPr>
          <w:p w14:paraId="1C8E0FBC" w14:textId="77777777" w:rsidR="004400D5" w:rsidRDefault="004400D5" w:rsidP="001C210D">
            <w:pPr>
              <w:spacing w:after="0"/>
              <w:jc w:val="center"/>
            </w:pPr>
            <w:r>
              <w:rPr>
                <w:noProof/>
              </w:rPr>
              <w:drawing>
                <wp:inline distT="0" distB="0" distL="0" distR="0" wp14:anchorId="4EBD4A3A" wp14:editId="4ED56E42">
                  <wp:extent cx="3483428" cy="27432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freshwater_fraction_of_nutrients_reaching_freshwater_end_compartment_p_routing_comparison_stacked.png"/>
                          <pic:cNvPicPr/>
                        </pic:nvPicPr>
                        <pic:blipFill>
                          <a:blip r:embed="rId103"/>
                          <a:stretch>
                            <a:fillRect/>
                          </a:stretch>
                        </pic:blipFill>
                        <pic:spPr>
                          <a:xfrm>
                            <a:off x="0" y="0"/>
                            <a:ext cx="3483428" cy="2743200"/>
                          </a:xfrm>
                          <a:prstGeom prst="rect">
                            <a:avLst/>
                          </a:prstGeom>
                        </pic:spPr>
                      </pic:pic>
                    </a:graphicData>
                  </a:graphic>
                </wp:inline>
              </w:drawing>
            </w:r>
          </w:p>
        </w:tc>
      </w:tr>
      <w:tr w:rsidR="004400D5" w14:paraId="417A7852" w14:textId="77777777" w:rsidTr="00BC178F">
        <w:tc>
          <w:tcPr>
            <w:tcW w:w="15542" w:type="dxa"/>
            <w:gridSpan w:val="2"/>
          </w:tcPr>
          <w:p w14:paraId="0858607E" w14:textId="77777777" w:rsidR="004400D5" w:rsidRDefault="004400D5" w:rsidP="001C210D">
            <w:pPr>
              <w:jc w:val="left"/>
            </w:pPr>
            <w:r>
              <w:rPr>
                <w:b/>
                <w:sz w:val="16"/>
              </w:rPr>
              <w:t>Figure S-routing-polyol-11. eutrophication: marine - fraction of nutrients reaching marine end compartment (N).</w:t>
            </w:r>
          </w:p>
        </w:tc>
      </w:tr>
      <w:tr w:rsidR="004400D5" w14:paraId="74245E29" w14:textId="77777777" w:rsidTr="00BC178F">
        <w:tc>
          <w:tcPr>
            <w:tcW w:w="7771" w:type="dxa"/>
            <w:vAlign w:val="center"/>
          </w:tcPr>
          <w:p w14:paraId="1266C49F" w14:textId="77777777" w:rsidR="004400D5" w:rsidRDefault="004400D5" w:rsidP="001C210D">
            <w:pPr>
              <w:spacing w:after="0"/>
              <w:jc w:val="center"/>
            </w:pPr>
            <w:r>
              <w:rPr>
                <w:noProof/>
              </w:rPr>
              <w:lastRenderedPageBreak/>
              <w:drawing>
                <wp:inline distT="0" distB="0" distL="0" distR="0" wp14:anchorId="6CF3B5FC" wp14:editId="5C9986D9">
                  <wp:extent cx="3483428" cy="27432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marine_fraction_of_nutrients_reaching_marine_end_compartment_n_routing_comparison_unstacked.png"/>
                          <pic:cNvPicPr/>
                        </pic:nvPicPr>
                        <pic:blipFill>
                          <a:blip r:embed="rId104"/>
                          <a:stretch>
                            <a:fillRect/>
                          </a:stretch>
                        </pic:blipFill>
                        <pic:spPr>
                          <a:xfrm>
                            <a:off x="0" y="0"/>
                            <a:ext cx="3483428" cy="2743200"/>
                          </a:xfrm>
                          <a:prstGeom prst="rect">
                            <a:avLst/>
                          </a:prstGeom>
                        </pic:spPr>
                      </pic:pic>
                    </a:graphicData>
                  </a:graphic>
                </wp:inline>
              </w:drawing>
            </w:r>
          </w:p>
        </w:tc>
        <w:tc>
          <w:tcPr>
            <w:tcW w:w="7771" w:type="dxa"/>
            <w:vAlign w:val="center"/>
          </w:tcPr>
          <w:p w14:paraId="0B91D1A5" w14:textId="77777777" w:rsidR="004400D5" w:rsidRDefault="004400D5" w:rsidP="001C210D">
            <w:pPr>
              <w:spacing w:after="0"/>
              <w:jc w:val="center"/>
            </w:pPr>
            <w:r>
              <w:rPr>
                <w:noProof/>
              </w:rPr>
              <w:drawing>
                <wp:inline distT="0" distB="0" distL="0" distR="0" wp14:anchorId="08D707E1" wp14:editId="3C55FC6F">
                  <wp:extent cx="3483428" cy="27432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marine_fraction_of_nutrients_reaching_marine_end_compartment_n_routing_comparison_stacked.png"/>
                          <pic:cNvPicPr/>
                        </pic:nvPicPr>
                        <pic:blipFill>
                          <a:blip r:embed="rId105"/>
                          <a:stretch>
                            <a:fillRect/>
                          </a:stretch>
                        </pic:blipFill>
                        <pic:spPr>
                          <a:xfrm>
                            <a:off x="0" y="0"/>
                            <a:ext cx="3483428" cy="2743200"/>
                          </a:xfrm>
                          <a:prstGeom prst="rect">
                            <a:avLst/>
                          </a:prstGeom>
                        </pic:spPr>
                      </pic:pic>
                    </a:graphicData>
                  </a:graphic>
                </wp:inline>
              </w:drawing>
            </w:r>
          </w:p>
        </w:tc>
      </w:tr>
      <w:tr w:rsidR="004400D5" w14:paraId="73B6386A" w14:textId="77777777" w:rsidTr="00BC178F">
        <w:tc>
          <w:tcPr>
            <w:tcW w:w="15542" w:type="dxa"/>
            <w:gridSpan w:val="2"/>
          </w:tcPr>
          <w:p w14:paraId="323D4614" w14:textId="77777777" w:rsidR="004400D5" w:rsidRDefault="004400D5" w:rsidP="001C210D">
            <w:pPr>
              <w:jc w:val="left"/>
            </w:pPr>
            <w:r>
              <w:rPr>
                <w:b/>
                <w:sz w:val="16"/>
              </w:rPr>
              <w:t>Figure S-routing-polyol-12. eutrophication: terrestrial - accumulated exceedance (AE).</w:t>
            </w:r>
          </w:p>
        </w:tc>
      </w:tr>
      <w:tr w:rsidR="004400D5" w14:paraId="591D4F62" w14:textId="77777777" w:rsidTr="00BC178F">
        <w:tc>
          <w:tcPr>
            <w:tcW w:w="7771" w:type="dxa"/>
            <w:vAlign w:val="center"/>
          </w:tcPr>
          <w:p w14:paraId="309F41D4" w14:textId="77777777" w:rsidR="004400D5" w:rsidRDefault="004400D5" w:rsidP="001C210D">
            <w:pPr>
              <w:spacing w:after="0"/>
              <w:jc w:val="center"/>
            </w:pPr>
            <w:r>
              <w:rPr>
                <w:noProof/>
              </w:rPr>
              <w:drawing>
                <wp:inline distT="0" distB="0" distL="0" distR="0" wp14:anchorId="49C202EB" wp14:editId="32F6CDFC">
                  <wp:extent cx="3483428" cy="27432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terrestrial_accumulated_exceedance_ae_routing_comparison_unstacked.png"/>
                          <pic:cNvPicPr/>
                        </pic:nvPicPr>
                        <pic:blipFill>
                          <a:blip r:embed="rId106"/>
                          <a:stretch>
                            <a:fillRect/>
                          </a:stretch>
                        </pic:blipFill>
                        <pic:spPr>
                          <a:xfrm>
                            <a:off x="0" y="0"/>
                            <a:ext cx="3483428" cy="2743200"/>
                          </a:xfrm>
                          <a:prstGeom prst="rect">
                            <a:avLst/>
                          </a:prstGeom>
                        </pic:spPr>
                      </pic:pic>
                    </a:graphicData>
                  </a:graphic>
                </wp:inline>
              </w:drawing>
            </w:r>
          </w:p>
        </w:tc>
        <w:tc>
          <w:tcPr>
            <w:tcW w:w="7771" w:type="dxa"/>
            <w:vAlign w:val="center"/>
          </w:tcPr>
          <w:p w14:paraId="68AD3D80" w14:textId="77777777" w:rsidR="004400D5" w:rsidRDefault="004400D5" w:rsidP="001C210D">
            <w:pPr>
              <w:spacing w:after="0"/>
              <w:jc w:val="center"/>
            </w:pPr>
            <w:r>
              <w:rPr>
                <w:noProof/>
              </w:rPr>
              <w:drawing>
                <wp:inline distT="0" distB="0" distL="0" distR="0" wp14:anchorId="41490381" wp14:editId="2918463B">
                  <wp:extent cx="3483428" cy="27432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terrestrial_accumulated_exceedance_ae_routing_comparison_stacked.png"/>
                          <pic:cNvPicPr/>
                        </pic:nvPicPr>
                        <pic:blipFill>
                          <a:blip r:embed="rId107"/>
                          <a:stretch>
                            <a:fillRect/>
                          </a:stretch>
                        </pic:blipFill>
                        <pic:spPr>
                          <a:xfrm>
                            <a:off x="0" y="0"/>
                            <a:ext cx="3483428" cy="2743200"/>
                          </a:xfrm>
                          <a:prstGeom prst="rect">
                            <a:avLst/>
                          </a:prstGeom>
                        </pic:spPr>
                      </pic:pic>
                    </a:graphicData>
                  </a:graphic>
                </wp:inline>
              </w:drawing>
            </w:r>
          </w:p>
        </w:tc>
      </w:tr>
      <w:tr w:rsidR="004400D5" w14:paraId="1A626357" w14:textId="77777777" w:rsidTr="00BC178F">
        <w:tc>
          <w:tcPr>
            <w:tcW w:w="15542" w:type="dxa"/>
            <w:gridSpan w:val="2"/>
          </w:tcPr>
          <w:p w14:paraId="547B546B" w14:textId="77777777" w:rsidR="004400D5" w:rsidRDefault="004400D5" w:rsidP="001C210D">
            <w:pPr>
              <w:jc w:val="left"/>
            </w:pPr>
            <w:r>
              <w:rPr>
                <w:b/>
                <w:sz w:val="16"/>
              </w:rPr>
              <w:t>Figure S-routing-polyol-13. human toxicity: carcinogenic - comparative toxic unit for human (</w:t>
            </w:r>
            <w:proofErr w:type="spellStart"/>
            <w:r>
              <w:rPr>
                <w:b/>
                <w:sz w:val="16"/>
              </w:rPr>
              <w:t>CTUh</w:t>
            </w:r>
            <w:proofErr w:type="spellEnd"/>
            <w:r>
              <w:rPr>
                <w:b/>
                <w:sz w:val="16"/>
              </w:rPr>
              <w:t>).</w:t>
            </w:r>
          </w:p>
        </w:tc>
      </w:tr>
      <w:tr w:rsidR="004400D5" w14:paraId="55EF5408" w14:textId="77777777" w:rsidTr="00BC178F">
        <w:tc>
          <w:tcPr>
            <w:tcW w:w="7771" w:type="dxa"/>
            <w:vAlign w:val="center"/>
          </w:tcPr>
          <w:p w14:paraId="4B89CB9C" w14:textId="77777777" w:rsidR="004400D5" w:rsidRDefault="004400D5" w:rsidP="001C210D">
            <w:pPr>
              <w:spacing w:after="0"/>
              <w:jc w:val="center"/>
            </w:pPr>
            <w:r>
              <w:rPr>
                <w:noProof/>
              </w:rPr>
              <w:lastRenderedPageBreak/>
              <w:drawing>
                <wp:inline distT="0" distB="0" distL="0" distR="0" wp14:anchorId="234AFB29" wp14:editId="0E921071">
                  <wp:extent cx="3483428" cy="27432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comparative_toxic_unit_for_human_ctuh_routing_comparison_unstacked.png"/>
                          <pic:cNvPicPr/>
                        </pic:nvPicPr>
                        <pic:blipFill>
                          <a:blip r:embed="rId108"/>
                          <a:stretch>
                            <a:fillRect/>
                          </a:stretch>
                        </pic:blipFill>
                        <pic:spPr>
                          <a:xfrm>
                            <a:off x="0" y="0"/>
                            <a:ext cx="3483428" cy="2743200"/>
                          </a:xfrm>
                          <a:prstGeom prst="rect">
                            <a:avLst/>
                          </a:prstGeom>
                        </pic:spPr>
                      </pic:pic>
                    </a:graphicData>
                  </a:graphic>
                </wp:inline>
              </w:drawing>
            </w:r>
          </w:p>
        </w:tc>
        <w:tc>
          <w:tcPr>
            <w:tcW w:w="7771" w:type="dxa"/>
            <w:vAlign w:val="center"/>
          </w:tcPr>
          <w:p w14:paraId="0054F2B2" w14:textId="77777777" w:rsidR="004400D5" w:rsidRDefault="004400D5" w:rsidP="001C210D">
            <w:pPr>
              <w:spacing w:after="0"/>
              <w:jc w:val="center"/>
            </w:pPr>
            <w:r>
              <w:rPr>
                <w:noProof/>
              </w:rPr>
              <w:drawing>
                <wp:inline distT="0" distB="0" distL="0" distR="0" wp14:anchorId="148D698A" wp14:editId="1016863D">
                  <wp:extent cx="3483428" cy="27432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comparative_toxic_unit_for_human_ctuh_routing_comparison_stacked.png"/>
                          <pic:cNvPicPr/>
                        </pic:nvPicPr>
                        <pic:blipFill>
                          <a:blip r:embed="rId109"/>
                          <a:stretch>
                            <a:fillRect/>
                          </a:stretch>
                        </pic:blipFill>
                        <pic:spPr>
                          <a:xfrm>
                            <a:off x="0" y="0"/>
                            <a:ext cx="3483428" cy="2743200"/>
                          </a:xfrm>
                          <a:prstGeom prst="rect">
                            <a:avLst/>
                          </a:prstGeom>
                        </pic:spPr>
                      </pic:pic>
                    </a:graphicData>
                  </a:graphic>
                </wp:inline>
              </w:drawing>
            </w:r>
          </w:p>
        </w:tc>
      </w:tr>
      <w:tr w:rsidR="004400D5" w14:paraId="599CFF18" w14:textId="77777777" w:rsidTr="00BC178F">
        <w:tc>
          <w:tcPr>
            <w:tcW w:w="15542" w:type="dxa"/>
            <w:gridSpan w:val="2"/>
          </w:tcPr>
          <w:p w14:paraId="597787AE" w14:textId="77777777" w:rsidR="004400D5" w:rsidRDefault="004400D5" w:rsidP="001C210D">
            <w:pPr>
              <w:jc w:val="left"/>
            </w:pPr>
            <w:r>
              <w:rPr>
                <w:b/>
                <w:sz w:val="16"/>
              </w:rPr>
              <w:t>Figure S-routing-polyol-14. human toxicity: carcinogenic, inorganics - comparative toxic unit for human (</w:t>
            </w:r>
            <w:proofErr w:type="spellStart"/>
            <w:r>
              <w:rPr>
                <w:b/>
                <w:sz w:val="16"/>
              </w:rPr>
              <w:t>CTUh</w:t>
            </w:r>
            <w:proofErr w:type="spellEnd"/>
            <w:r>
              <w:rPr>
                <w:b/>
                <w:sz w:val="16"/>
              </w:rPr>
              <w:t>).</w:t>
            </w:r>
          </w:p>
        </w:tc>
      </w:tr>
      <w:tr w:rsidR="004400D5" w14:paraId="7CC4AEFC" w14:textId="77777777" w:rsidTr="00BC178F">
        <w:tc>
          <w:tcPr>
            <w:tcW w:w="7771" w:type="dxa"/>
            <w:vAlign w:val="center"/>
          </w:tcPr>
          <w:p w14:paraId="76F3103C" w14:textId="77777777" w:rsidR="004400D5" w:rsidRDefault="004400D5" w:rsidP="001C210D">
            <w:pPr>
              <w:spacing w:after="0"/>
              <w:jc w:val="center"/>
            </w:pPr>
            <w:r>
              <w:rPr>
                <w:noProof/>
              </w:rPr>
              <w:drawing>
                <wp:inline distT="0" distB="0" distL="0" distR="0" wp14:anchorId="4B2880FD" wp14:editId="6BE957E7">
                  <wp:extent cx="3483428" cy="27432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inorganics_comparative_toxic_unit_for_human_ctuh_routing_comparison_unstacked.png"/>
                          <pic:cNvPicPr/>
                        </pic:nvPicPr>
                        <pic:blipFill>
                          <a:blip r:embed="rId110"/>
                          <a:stretch>
                            <a:fillRect/>
                          </a:stretch>
                        </pic:blipFill>
                        <pic:spPr>
                          <a:xfrm>
                            <a:off x="0" y="0"/>
                            <a:ext cx="3483428" cy="2743200"/>
                          </a:xfrm>
                          <a:prstGeom prst="rect">
                            <a:avLst/>
                          </a:prstGeom>
                        </pic:spPr>
                      </pic:pic>
                    </a:graphicData>
                  </a:graphic>
                </wp:inline>
              </w:drawing>
            </w:r>
          </w:p>
        </w:tc>
        <w:tc>
          <w:tcPr>
            <w:tcW w:w="7771" w:type="dxa"/>
            <w:vAlign w:val="center"/>
          </w:tcPr>
          <w:p w14:paraId="65C2C9CD" w14:textId="77777777" w:rsidR="004400D5" w:rsidRDefault="004400D5" w:rsidP="001C210D">
            <w:pPr>
              <w:spacing w:after="0"/>
              <w:jc w:val="center"/>
            </w:pPr>
            <w:r>
              <w:rPr>
                <w:noProof/>
              </w:rPr>
              <w:drawing>
                <wp:inline distT="0" distB="0" distL="0" distR="0" wp14:anchorId="71DE2BA1" wp14:editId="733CC349">
                  <wp:extent cx="3483428" cy="27432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inorganics_comparative_toxic_unit_for_human_ctuh_routing_comparison_stacked.png"/>
                          <pic:cNvPicPr/>
                        </pic:nvPicPr>
                        <pic:blipFill>
                          <a:blip r:embed="rId111"/>
                          <a:stretch>
                            <a:fillRect/>
                          </a:stretch>
                        </pic:blipFill>
                        <pic:spPr>
                          <a:xfrm>
                            <a:off x="0" y="0"/>
                            <a:ext cx="3483428" cy="2743200"/>
                          </a:xfrm>
                          <a:prstGeom prst="rect">
                            <a:avLst/>
                          </a:prstGeom>
                        </pic:spPr>
                      </pic:pic>
                    </a:graphicData>
                  </a:graphic>
                </wp:inline>
              </w:drawing>
            </w:r>
          </w:p>
        </w:tc>
      </w:tr>
      <w:tr w:rsidR="004400D5" w14:paraId="03802024" w14:textId="77777777" w:rsidTr="00BC178F">
        <w:tc>
          <w:tcPr>
            <w:tcW w:w="15542" w:type="dxa"/>
            <w:gridSpan w:val="2"/>
          </w:tcPr>
          <w:p w14:paraId="207A00DF" w14:textId="77777777" w:rsidR="004400D5" w:rsidRDefault="004400D5" w:rsidP="001C210D">
            <w:pPr>
              <w:jc w:val="left"/>
            </w:pPr>
            <w:r>
              <w:rPr>
                <w:b/>
                <w:sz w:val="16"/>
              </w:rPr>
              <w:t>Figure S-routing-polyol-15. human toxicity: carcinogenic, organics - comparative toxic unit for human (</w:t>
            </w:r>
            <w:proofErr w:type="spellStart"/>
            <w:r>
              <w:rPr>
                <w:b/>
                <w:sz w:val="16"/>
              </w:rPr>
              <w:t>CTUh</w:t>
            </w:r>
            <w:proofErr w:type="spellEnd"/>
            <w:r>
              <w:rPr>
                <w:b/>
                <w:sz w:val="16"/>
              </w:rPr>
              <w:t>).</w:t>
            </w:r>
          </w:p>
        </w:tc>
      </w:tr>
      <w:tr w:rsidR="004400D5" w14:paraId="45156081" w14:textId="77777777" w:rsidTr="00BC178F">
        <w:tc>
          <w:tcPr>
            <w:tcW w:w="7771" w:type="dxa"/>
            <w:vAlign w:val="center"/>
          </w:tcPr>
          <w:p w14:paraId="655DB03C" w14:textId="77777777" w:rsidR="004400D5" w:rsidRDefault="004400D5" w:rsidP="001C210D">
            <w:pPr>
              <w:spacing w:after="0"/>
              <w:jc w:val="center"/>
            </w:pPr>
            <w:r>
              <w:rPr>
                <w:noProof/>
              </w:rPr>
              <w:lastRenderedPageBreak/>
              <w:drawing>
                <wp:inline distT="0" distB="0" distL="0" distR="0" wp14:anchorId="7D1CB4D6" wp14:editId="5152768B">
                  <wp:extent cx="3483428" cy="27432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organics_comparative_toxic_unit_for_human_ctuh_routing_comparison_unstacked.png"/>
                          <pic:cNvPicPr/>
                        </pic:nvPicPr>
                        <pic:blipFill>
                          <a:blip r:embed="rId112"/>
                          <a:stretch>
                            <a:fillRect/>
                          </a:stretch>
                        </pic:blipFill>
                        <pic:spPr>
                          <a:xfrm>
                            <a:off x="0" y="0"/>
                            <a:ext cx="3483428" cy="2743200"/>
                          </a:xfrm>
                          <a:prstGeom prst="rect">
                            <a:avLst/>
                          </a:prstGeom>
                        </pic:spPr>
                      </pic:pic>
                    </a:graphicData>
                  </a:graphic>
                </wp:inline>
              </w:drawing>
            </w:r>
          </w:p>
        </w:tc>
        <w:tc>
          <w:tcPr>
            <w:tcW w:w="7771" w:type="dxa"/>
            <w:vAlign w:val="center"/>
          </w:tcPr>
          <w:p w14:paraId="563EDF9D" w14:textId="77777777" w:rsidR="004400D5" w:rsidRDefault="004400D5" w:rsidP="001C210D">
            <w:pPr>
              <w:spacing w:after="0"/>
              <w:jc w:val="center"/>
            </w:pPr>
            <w:r>
              <w:rPr>
                <w:noProof/>
              </w:rPr>
              <w:drawing>
                <wp:inline distT="0" distB="0" distL="0" distR="0" wp14:anchorId="639A95A0" wp14:editId="3C6B00E1">
                  <wp:extent cx="3483428" cy="27432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organics_comparative_toxic_unit_for_human_ctuh_routing_comparison_stacked.png"/>
                          <pic:cNvPicPr/>
                        </pic:nvPicPr>
                        <pic:blipFill>
                          <a:blip r:embed="rId113"/>
                          <a:stretch>
                            <a:fillRect/>
                          </a:stretch>
                        </pic:blipFill>
                        <pic:spPr>
                          <a:xfrm>
                            <a:off x="0" y="0"/>
                            <a:ext cx="3483428" cy="2743200"/>
                          </a:xfrm>
                          <a:prstGeom prst="rect">
                            <a:avLst/>
                          </a:prstGeom>
                        </pic:spPr>
                      </pic:pic>
                    </a:graphicData>
                  </a:graphic>
                </wp:inline>
              </w:drawing>
            </w:r>
          </w:p>
        </w:tc>
      </w:tr>
      <w:tr w:rsidR="004400D5" w14:paraId="601BBAAB" w14:textId="77777777" w:rsidTr="00BC178F">
        <w:tc>
          <w:tcPr>
            <w:tcW w:w="15542" w:type="dxa"/>
            <w:gridSpan w:val="2"/>
          </w:tcPr>
          <w:p w14:paraId="6023FFDD" w14:textId="77777777" w:rsidR="004400D5" w:rsidRDefault="004400D5" w:rsidP="001C210D">
            <w:pPr>
              <w:jc w:val="left"/>
            </w:pPr>
            <w:r>
              <w:rPr>
                <w:b/>
                <w:sz w:val="16"/>
              </w:rPr>
              <w:t>Figure S-routing-polyol-16. human toxicity: non-carcinogenic - comparative toxic unit for human (</w:t>
            </w:r>
            <w:proofErr w:type="spellStart"/>
            <w:r>
              <w:rPr>
                <w:b/>
                <w:sz w:val="16"/>
              </w:rPr>
              <w:t>CTUh</w:t>
            </w:r>
            <w:proofErr w:type="spellEnd"/>
            <w:r>
              <w:rPr>
                <w:b/>
                <w:sz w:val="16"/>
              </w:rPr>
              <w:t>).</w:t>
            </w:r>
          </w:p>
        </w:tc>
      </w:tr>
      <w:tr w:rsidR="004400D5" w14:paraId="0FC82898" w14:textId="77777777" w:rsidTr="00BC178F">
        <w:tc>
          <w:tcPr>
            <w:tcW w:w="7771" w:type="dxa"/>
            <w:vAlign w:val="center"/>
          </w:tcPr>
          <w:p w14:paraId="22D515DA" w14:textId="77777777" w:rsidR="004400D5" w:rsidRDefault="004400D5" w:rsidP="001C210D">
            <w:pPr>
              <w:spacing w:after="0"/>
              <w:jc w:val="center"/>
            </w:pPr>
            <w:r>
              <w:rPr>
                <w:noProof/>
              </w:rPr>
              <w:drawing>
                <wp:inline distT="0" distB="0" distL="0" distR="0" wp14:anchorId="700D84D6" wp14:editId="51AE026C">
                  <wp:extent cx="3483428" cy="27432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comparative_toxic_unit_for_human_ctuh_routing_comparison_unstacked.png"/>
                          <pic:cNvPicPr/>
                        </pic:nvPicPr>
                        <pic:blipFill>
                          <a:blip r:embed="rId114"/>
                          <a:stretch>
                            <a:fillRect/>
                          </a:stretch>
                        </pic:blipFill>
                        <pic:spPr>
                          <a:xfrm>
                            <a:off x="0" y="0"/>
                            <a:ext cx="3483428" cy="2743200"/>
                          </a:xfrm>
                          <a:prstGeom prst="rect">
                            <a:avLst/>
                          </a:prstGeom>
                        </pic:spPr>
                      </pic:pic>
                    </a:graphicData>
                  </a:graphic>
                </wp:inline>
              </w:drawing>
            </w:r>
          </w:p>
        </w:tc>
        <w:tc>
          <w:tcPr>
            <w:tcW w:w="7771" w:type="dxa"/>
            <w:vAlign w:val="center"/>
          </w:tcPr>
          <w:p w14:paraId="63B41CF7" w14:textId="77777777" w:rsidR="004400D5" w:rsidRDefault="004400D5" w:rsidP="001C210D">
            <w:pPr>
              <w:spacing w:after="0"/>
              <w:jc w:val="center"/>
            </w:pPr>
            <w:r>
              <w:rPr>
                <w:noProof/>
              </w:rPr>
              <w:drawing>
                <wp:inline distT="0" distB="0" distL="0" distR="0" wp14:anchorId="1B9FCCAB" wp14:editId="5C7B7105">
                  <wp:extent cx="3483428" cy="27432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comparative_toxic_unit_for_human_ctuh_routing_comparison_stacked.png"/>
                          <pic:cNvPicPr/>
                        </pic:nvPicPr>
                        <pic:blipFill>
                          <a:blip r:embed="rId115"/>
                          <a:stretch>
                            <a:fillRect/>
                          </a:stretch>
                        </pic:blipFill>
                        <pic:spPr>
                          <a:xfrm>
                            <a:off x="0" y="0"/>
                            <a:ext cx="3483428" cy="2743200"/>
                          </a:xfrm>
                          <a:prstGeom prst="rect">
                            <a:avLst/>
                          </a:prstGeom>
                        </pic:spPr>
                      </pic:pic>
                    </a:graphicData>
                  </a:graphic>
                </wp:inline>
              </w:drawing>
            </w:r>
          </w:p>
        </w:tc>
      </w:tr>
      <w:tr w:rsidR="004400D5" w14:paraId="3CC2193E" w14:textId="77777777" w:rsidTr="00BC178F">
        <w:tc>
          <w:tcPr>
            <w:tcW w:w="15542" w:type="dxa"/>
            <w:gridSpan w:val="2"/>
          </w:tcPr>
          <w:p w14:paraId="0CCA022C" w14:textId="77777777" w:rsidR="004400D5" w:rsidRDefault="004400D5" w:rsidP="001C210D">
            <w:pPr>
              <w:jc w:val="left"/>
            </w:pPr>
            <w:r>
              <w:rPr>
                <w:b/>
                <w:sz w:val="16"/>
              </w:rPr>
              <w:t>Figure S-routing-polyol-17. human toxicity: non-carcinogenic, inorganics - comparative toxic unit for human (</w:t>
            </w:r>
            <w:proofErr w:type="spellStart"/>
            <w:r>
              <w:rPr>
                <w:b/>
                <w:sz w:val="16"/>
              </w:rPr>
              <w:t>CTUh</w:t>
            </w:r>
            <w:proofErr w:type="spellEnd"/>
            <w:r>
              <w:rPr>
                <w:b/>
                <w:sz w:val="16"/>
              </w:rPr>
              <w:t>).</w:t>
            </w:r>
          </w:p>
        </w:tc>
      </w:tr>
      <w:tr w:rsidR="004400D5" w14:paraId="09303C84" w14:textId="77777777" w:rsidTr="00BC178F">
        <w:tc>
          <w:tcPr>
            <w:tcW w:w="7771" w:type="dxa"/>
            <w:vAlign w:val="center"/>
          </w:tcPr>
          <w:p w14:paraId="7D4F2F65" w14:textId="77777777" w:rsidR="004400D5" w:rsidRDefault="004400D5" w:rsidP="001C210D">
            <w:pPr>
              <w:spacing w:after="0"/>
              <w:jc w:val="center"/>
            </w:pPr>
            <w:r>
              <w:rPr>
                <w:noProof/>
              </w:rPr>
              <w:lastRenderedPageBreak/>
              <w:drawing>
                <wp:inline distT="0" distB="0" distL="0" distR="0" wp14:anchorId="06ABAFCD" wp14:editId="0383FCEE">
                  <wp:extent cx="3483428" cy="27432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inorganics_comparative_toxic_unit_for_human_ctuh_routing_comparison_unstacked.png"/>
                          <pic:cNvPicPr/>
                        </pic:nvPicPr>
                        <pic:blipFill>
                          <a:blip r:embed="rId116"/>
                          <a:stretch>
                            <a:fillRect/>
                          </a:stretch>
                        </pic:blipFill>
                        <pic:spPr>
                          <a:xfrm>
                            <a:off x="0" y="0"/>
                            <a:ext cx="3483428" cy="2743200"/>
                          </a:xfrm>
                          <a:prstGeom prst="rect">
                            <a:avLst/>
                          </a:prstGeom>
                        </pic:spPr>
                      </pic:pic>
                    </a:graphicData>
                  </a:graphic>
                </wp:inline>
              </w:drawing>
            </w:r>
          </w:p>
        </w:tc>
        <w:tc>
          <w:tcPr>
            <w:tcW w:w="7771" w:type="dxa"/>
            <w:vAlign w:val="center"/>
          </w:tcPr>
          <w:p w14:paraId="61DA27A8" w14:textId="77777777" w:rsidR="004400D5" w:rsidRDefault="004400D5" w:rsidP="001C210D">
            <w:pPr>
              <w:spacing w:after="0"/>
              <w:jc w:val="center"/>
            </w:pPr>
            <w:r>
              <w:rPr>
                <w:noProof/>
              </w:rPr>
              <w:drawing>
                <wp:inline distT="0" distB="0" distL="0" distR="0" wp14:anchorId="798AE570" wp14:editId="6090F59E">
                  <wp:extent cx="3483428" cy="27432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inorganics_comparative_toxic_unit_for_human_ctuh_routing_comparison_stacked.png"/>
                          <pic:cNvPicPr/>
                        </pic:nvPicPr>
                        <pic:blipFill>
                          <a:blip r:embed="rId117"/>
                          <a:stretch>
                            <a:fillRect/>
                          </a:stretch>
                        </pic:blipFill>
                        <pic:spPr>
                          <a:xfrm>
                            <a:off x="0" y="0"/>
                            <a:ext cx="3483428" cy="2743200"/>
                          </a:xfrm>
                          <a:prstGeom prst="rect">
                            <a:avLst/>
                          </a:prstGeom>
                        </pic:spPr>
                      </pic:pic>
                    </a:graphicData>
                  </a:graphic>
                </wp:inline>
              </w:drawing>
            </w:r>
          </w:p>
        </w:tc>
      </w:tr>
      <w:tr w:rsidR="004400D5" w14:paraId="5CED1470" w14:textId="77777777" w:rsidTr="00BC178F">
        <w:tc>
          <w:tcPr>
            <w:tcW w:w="15542" w:type="dxa"/>
            <w:gridSpan w:val="2"/>
          </w:tcPr>
          <w:p w14:paraId="1A8E3752" w14:textId="77777777" w:rsidR="004400D5" w:rsidRDefault="004400D5" w:rsidP="001C210D">
            <w:pPr>
              <w:jc w:val="left"/>
            </w:pPr>
            <w:r>
              <w:rPr>
                <w:b/>
                <w:sz w:val="16"/>
              </w:rPr>
              <w:t>Figure S-routing-polyol-18. human toxicity: non-carcinogenic, organics - comparative toxic unit for human (</w:t>
            </w:r>
            <w:proofErr w:type="spellStart"/>
            <w:r>
              <w:rPr>
                <w:b/>
                <w:sz w:val="16"/>
              </w:rPr>
              <w:t>CTUh</w:t>
            </w:r>
            <w:proofErr w:type="spellEnd"/>
            <w:r>
              <w:rPr>
                <w:b/>
                <w:sz w:val="16"/>
              </w:rPr>
              <w:t>).</w:t>
            </w:r>
          </w:p>
        </w:tc>
      </w:tr>
      <w:tr w:rsidR="004400D5" w14:paraId="70E5012A" w14:textId="77777777" w:rsidTr="00BC178F">
        <w:tc>
          <w:tcPr>
            <w:tcW w:w="7771" w:type="dxa"/>
            <w:vAlign w:val="center"/>
          </w:tcPr>
          <w:p w14:paraId="0E35E9C0" w14:textId="77777777" w:rsidR="004400D5" w:rsidRDefault="004400D5" w:rsidP="001C210D">
            <w:pPr>
              <w:spacing w:after="0"/>
              <w:jc w:val="center"/>
            </w:pPr>
            <w:r>
              <w:rPr>
                <w:noProof/>
              </w:rPr>
              <w:drawing>
                <wp:inline distT="0" distB="0" distL="0" distR="0" wp14:anchorId="342B98DF" wp14:editId="07948120">
                  <wp:extent cx="3483428" cy="27432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organics_comparative_toxic_unit_for_human_ctuh_routing_comparison_unstacked.png"/>
                          <pic:cNvPicPr/>
                        </pic:nvPicPr>
                        <pic:blipFill>
                          <a:blip r:embed="rId118"/>
                          <a:stretch>
                            <a:fillRect/>
                          </a:stretch>
                        </pic:blipFill>
                        <pic:spPr>
                          <a:xfrm>
                            <a:off x="0" y="0"/>
                            <a:ext cx="3483428" cy="2743200"/>
                          </a:xfrm>
                          <a:prstGeom prst="rect">
                            <a:avLst/>
                          </a:prstGeom>
                        </pic:spPr>
                      </pic:pic>
                    </a:graphicData>
                  </a:graphic>
                </wp:inline>
              </w:drawing>
            </w:r>
          </w:p>
        </w:tc>
        <w:tc>
          <w:tcPr>
            <w:tcW w:w="7771" w:type="dxa"/>
            <w:vAlign w:val="center"/>
          </w:tcPr>
          <w:p w14:paraId="45553527" w14:textId="77777777" w:rsidR="004400D5" w:rsidRDefault="004400D5" w:rsidP="001C210D">
            <w:pPr>
              <w:spacing w:after="0"/>
              <w:jc w:val="center"/>
            </w:pPr>
            <w:r>
              <w:rPr>
                <w:noProof/>
              </w:rPr>
              <w:drawing>
                <wp:inline distT="0" distB="0" distL="0" distR="0" wp14:anchorId="672A617E" wp14:editId="5FEB19CE">
                  <wp:extent cx="3483428" cy="27432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organics_comparative_toxic_unit_for_human_ctuh_routing_comparison_stacked.png"/>
                          <pic:cNvPicPr/>
                        </pic:nvPicPr>
                        <pic:blipFill>
                          <a:blip r:embed="rId119"/>
                          <a:stretch>
                            <a:fillRect/>
                          </a:stretch>
                        </pic:blipFill>
                        <pic:spPr>
                          <a:xfrm>
                            <a:off x="0" y="0"/>
                            <a:ext cx="3483428" cy="2743200"/>
                          </a:xfrm>
                          <a:prstGeom prst="rect">
                            <a:avLst/>
                          </a:prstGeom>
                        </pic:spPr>
                      </pic:pic>
                    </a:graphicData>
                  </a:graphic>
                </wp:inline>
              </w:drawing>
            </w:r>
          </w:p>
        </w:tc>
      </w:tr>
      <w:tr w:rsidR="004400D5" w14:paraId="437A00DB" w14:textId="77777777" w:rsidTr="00BC178F">
        <w:tc>
          <w:tcPr>
            <w:tcW w:w="15542" w:type="dxa"/>
            <w:gridSpan w:val="2"/>
          </w:tcPr>
          <w:p w14:paraId="1C6AACF5" w14:textId="77777777" w:rsidR="004400D5" w:rsidRDefault="004400D5" w:rsidP="001C210D">
            <w:pPr>
              <w:jc w:val="left"/>
            </w:pPr>
            <w:r>
              <w:rPr>
                <w:b/>
                <w:sz w:val="16"/>
              </w:rPr>
              <w:t xml:space="preserve">Figure S-routing-polyol-19. </w:t>
            </w:r>
            <w:proofErr w:type="spellStart"/>
            <w:r>
              <w:rPr>
                <w:b/>
                <w:sz w:val="16"/>
              </w:rPr>
              <w:t>ionising</w:t>
            </w:r>
            <w:proofErr w:type="spellEnd"/>
            <w:r>
              <w:rPr>
                <w:b/>
                <w:sz w:val="16"/>
              </w:rPr>
              <w:t xml:space="preserve"> radiation: human health - human exposure efficiency relative to u235.</w:t>
            </w:r>
          </w:p>
        </w:tc>
      </w:tr>
      <w:tr w:rsidR="004400D5" w14:paraId="27EE1B61" w14:textId="77777777" w:rsidTr="00BC178F">
        <w:tc>
          <w:tcPr>
            <w:tcW w:w="7771" w:type="dxa"/>
            <w:vAlign w:val="center"/>
          </w:tcPr>
          <w:p w14:paraId="3A7FA0D5" w14:textId="77777777" w:rsidR="004400D5" w:rsidRDefault="004400D5" w:rsidP="001C210D">
            <w:pPr>
              <w:spacing w:after="0"/>
              <w:jc w:val="center"/>
            </w:pPr>
            <w:r>
              <w:rPr>
                <w:noProof/>
              </w:rPr>
              <w:lastRenderedPageBreak/>
              <w:drawing>
                <wp:inline distT="0" distB="0" distL="0" distR="0" wp14:anchorId="5949D76A" wp14:editId="00D9E6B6">
                  <wp:extent cx="3483428" cy="27432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ionising_radiation_human_health_human_exposure_efficiency_relative_to_u235_routing_comparison_unstacked.png"/>
                          <pic:cNvPicPr/>
                        </pic:nvPicPr>
                        <pic:blipFill>
                          <a:blip r:embed="rId120"/>
                          <a:stretch>
                            <a:fillRect/>
                          </a:stretch>
                        </pic:blipFill>
                        <pic:spPr>
                          <a:xfrm>
                            <a:off x="0" y="0"/>
                            <a:ext cx="3483428" cy="2743200"/>
                          </a:xfrm>
                          <a:prstGeom prst="rect">
                            <a:avLst/>
                          </a:prstGeom>
                        </pic:spPr>
                      </pic:pic>
                    </a:graphicData>
                  </a:graphic>
                </wp:inline>
              </w:drawing>
            </w:r>
          </w:p>
        </w:tc>
        <w:tc>
          <w:tcPr>
            <w:tcW w:w="7771" w:type="dxa"/>
            <w:vAlign w:val="center"/>
          </w:tcPr>
          <w:p w14:paraId="4D49EBF6" w14:textId="77777777" w:rsidR="004400D5" w:rsidRDefault="004400D5" w:rsidP="001C210D">
            <w:pPr>
              <w:spacing w:after="0"/>
              <w:jc w:val="center"/>
            </w:pPr>
            <w:r>
              <w:rPr>
                <w:noProof/>
              </w:rPr>
              <w:drawing>
                <wp:inline distT="0" distB="0" distL="0" distR="0" wp14:anchorId="4274887E" wp14:editId="0BA52258">
                  <wp:extent cx="3483428" cy="27432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ionising_radiation_human_health_human_exposure_efficiency_relative_to_u235_routing_comparison_stacked.png"/>
                          <pic:cNvPicPr/>
                        </pic:nvPicPr>
                        <pic:blipFill>
                          <a:blip r:embed="rId121"/>
                          <a:stretch>
                            <a:fillRect/>
                          </a:stretch>
                        </pic:blipFill>
                        <pic:spPr>
                          <a:xfrm>
                            <a:off x="0" y="0"/>
                            <a:ext cx="3483428" cy="2743200"/>
                          </a:xfrm>
                          <a:prstGeom prst="rect">
                            <a:avLst/>
                          </a:prstGeom>
                        </pic:spPr>
                      </pic:pic>
                    </a:graphicData>
                  </a:graphic>
                </wp:inline>
              </w:drawing>
            </w:r>
          </w:p>
        </w:tc>
      </w:tr>
      <w:tr w:rsidR="004400D5" w14:paraId="49AEA7F1" w14:textId="77777777" w:rsidTr="00BC178F">
        <w:tc>
          <w:tcPr>
            <w:tcW w:w="15542" w:type="dxa"/>
            <w:gridSpan w:val="2"/>
          </w:tcPr>
          <w:p w14:paraId="749D1800" w14:textId="77777777" w:rsidR="004400D5" w:rsidRDefault="004400D5" w:rsidP="001C210D">
            <w:pPr>
              <w:jc w:val="left"/>
            </w:pPr>
            <w:r>
              <w:rPr>
                <w:b/>
                <w:sz w:val="16"/>
              </w:rPr>
              <w:t>Figure S-routing-polyol-20. land use - soil quality index.</w:t>
            </w:r>
          </w:p>
        </w:tc>
      </w:tr>
      <w:tr w:rsidR="004400D5" w14:paraId="3DAB789E" w14:textId="77777777" w:rsidTr="00BC178F">
        <w:tc>
          <w:tcPr>
            <w:tcW w:w="7771" w:type="dxa"/>
            <w:vAlign w:val="center"/>
          </w:tcPr>
          <w:p w14:paraId="4C6DB0A0" w14:textId="77777777" w:rsidR="004400D5" w:rsidRDefault="004400D5" w:rsidP="001C210D">
            <w:pPr>
              <w:spacing w:after="0"/>
              <w:jc w:val="center"/>
            </w:pPr>
            <w:r>
              <w:rPr>
                <w:noProof/>
              </w:rPr>
              <w:drawing>
                <wp:inline distT="0" distB="0" distL="0" distR="0" wp14:anchorId="59233D5E" wp14:editId="37F63037">
                  <wp:extent cx="3483428" cy="27432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land_use_soil_quality_index_routing_comparison_unstacked.png"/>
                          <pic:cNvPicPr/>
                        </pic:nvPicPr>
                        <pic:blipFill>
                          <a:blip r:embed="rId122"/>
                          <a:stretch>
                            <a:fillRect/>
                          </a:stretch>
                        </pic:blipFill>
                        <pic:spPr>
                          <a:xfrm>
                            <a:off x="0" y="0"/>
                            <a:ext cx="3483428" cy="2743200"/>
                          </a:xfrm>
                          <a:prstGeom prst="rect">
                            <a:avLst/>
                          </a:prstGeom>
                        </pic:spPr>
                      </pic:pic>
                    </a:graphicData>
                  </a:graphic>
                </wp:inline>
              </w:drawing>
            </w:r>
          </w:p>
        </w:tc>
        <w:tc>
          <w:tcPr>
            <w:tcW w:w="7771" w:type="dxa"/>
            <w:vAlign w:val="center"/>
          </w:tcPr>
          <w:p w14:paraId="271DCF6E" w14:textId="77777777" w:rsidR="004400D5" w:rsidRDefault="004400D5" w:rsidP="001C210D">
            <w:pPr>
              <w:spacing w:after="0"/>
              <w:jc w:val="center"/>
            </w:pPr>
            <w:r>
              <w:rPr>
                <w:noProof/>
              </w:rPr>
              <w:drawing>
                <wp:inline distT="0" distB="0" distL="0" distR="0" wp14:anchorId="7AA48B7D" wp14:editId="15882EA0">
                  <wp:extent cx="3483428" cy="27432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land_use_soil_quality_index_routing_comparison_stacked.png"/>
                          <pic:cNvPicPr/>
                        </pic:nvPicPr>
                        <pic:blipFill>
                          <a:blip r:embed="rId123"/>
                          <a:stretch>
                            <a:fillRect/>
                          </a:stretch>
                        </pic:blipFill>
                        <pic:spPr>
                          <a:xfrm>
                            <a:off x="0" y="0"/>
                            <a:ext cx="3483428" cy="2743200"/>
                          </a:xfrm>
                          <a:prstGeom prst="rect">
                            <a:avLst/>
                          </a:prstGeom>
                        </pic:spPr>
                      </pic:pic>
                    </a:graphicData>
                  </a:graphic>
                </wp:inline>
              </w:drawing>
            </w:r>
          </w:p>
        </w:tc>
      </w:tr>
      <w:tr w:rsidR="004400D5" w14:paraId="6C0BF672" w14:textId="77777777" w:rsidTr="00BC178F">
        <w:tc>
          <w:tcPr>
            <w:tcW w:w="15542" w:type="dxa"/>
            <w:gridSpan w:val="2"/>
          </w:tcPr>
          <w:p w14:paraId="763F0E13" w14:textId="77777777" w:rsidR="004400D5" w:rsidRDefault="004400D5" w:rsidP="001C210D">
            <w:pPr>
              <w:jc w:val="left"/>
            </w:pPr>
            <w:r>
              <w:rPr>
                <w:b/>
                <w:sz w:val="16"/>
              </w:rPr>
              <w:t>Figure S-routing-polyol-21. material resources: metals/minerals - abiotic depletion potential (ADP): elements (ultimate reserves).</w:t>
            </w:r>
          </w:p>
        </w:tc>
      </w:tr>
      <w:tr w:rsidR="004400D5" w14:paraId="4DF6FCC2" w14:textId="77777777" w:rsidTr="00BC178F">
        <w:tc>
          <w:tcPr>
            <w:tcW w:w="7771" w:type="dxa"/>
            <w:vAlign w:val="center"/>
          </w:tcPr>
          <w:p w14:paraId="21FA63E2" w14:textId="77777777" w:rsidR="004400D5" w:rsidRDefault="004400D5" w:rsidP="001C210D">
            <w:pPr>
              <w:spacing w:after="0"/>
              <w:jc w:val="center"/>
            </w:pPr>
            <w:r>
              <w:rPr>
                <w:noProof/>
              </w:rPr>
              <w:lastRenderedPageBreak/>
              <w:drawing>
                <wp:inline distT="0" distB="0" distL="0" distR="0" wp14:anchorId="24717F7A" wp14:editId="31342C82">
                  <wp:extent cx="3483428" cy="27432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material_resources_metals_minerals_abiotic_depletion_potential_adp_elements_ultimate_reserve_routing_comparison_unstacked.png"/>
                          <pic:cNvPicPr/>
                        </pic:nvPicPr>
                        <pic:blipFill>
                          <a:blip r:embed="rId124"/>
                          <a:stretch>
                            <a:fillRect/>
                          </a:stretch>
                        </pic:blipFill>
                        <pic:spPr>
                          <a:xfrm>
                            <a:off x="0" y="0"/>
                            <a:ext cx="3483428" cy="2743200"/>
                          </a:xfrm>
                          <a:prstGeom prst="rect">
                            <a:avLst/>
                          </a:prstGeom>
                        </pic:spPr>
                      </pic:pic>
                    </a:graphicData>
                  </a:graphic>
                </wp:inline>
              </w:drawing>
            </w:r>
          </w:p>
        </w:tc>
        <w:tc>
          <w:tcPr>
            <w:tcW w:w="7771" w:type="dxa"/>
            <w:vAlign w:val="center"/>
          </w:tcPr>
          <w:p w14:paraId="1DD6A14E" w14:textId="77777777" w:rsidR="004400D5" w:rsidRDefault="004400D5" w:rsidP="001C210D">
            <w:pPr>
              <w:spacing w:after="0"/>
              <w:jc w:val="center"/>
            </w:pPr>
            <w:r>
              <w:rPr>
                <w:noProof/>
              </w:rPr>
              <w:drawing>
                <wp:inline distT="0" distB="0" distL="0" distR="0" wp14:anchorId="399C521E" wp14:editId="3D07090A">
                  <wp:extent cx="3483428" cy="27432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material_resources_metals_minerals_abiotic_depletion_potential_adp_elements_ultimate_reserve_routing_comparison_stacked.png"/>
                          <pic:cNvPicPr/>
                        </pic:nvPicPr>
                        <pic:blipFill>
                          <a:blip r:embed="rId125"/>
                          <a:stretch>
                            <a:fillRect/>
                          </a:stretch>
                        </pic:blipFill>
                        <pic:spPr>
                          <a:xfrm>
                            <a:off x="0" y="0"/>
                            <a:ext cx="3483428" cy="2743200"/>
                          </a:xfrm>
                          <a:prstGeom prst="rect">
                            <a:avLst/>
                          </a:prstGeom>
                        </pic:spPr>
                      </pic:pic>
                    </a:graphicData>
                  </a:graphic>
                </wp:inline>
              </w:drawing>
            </w:r>
          </w:p>
        </w:tc>
      </w:tr>
      <w:tr w:rsidR="004400D5" w14:paraId="486CE967" w14:textId="77777777" w:rsidTr="00BC178F">
        <w:tc>
          <w:tcPr>
            <w:tcW w:w="15542" w:type="dxa"/>
            <w:gridSpan w:val="2"/>
          </w:tcPr>
          <w:p w14:paraId="174B8D00" w14:textId="77777777" w:rsidR="004400D5" w:rsidRDefault="004400D5" w:rsidP="001C210D">
            <w:pPr>
              <w:jc w:val="left"/>
            </w:pPr>
            <w:r>
              <w:rPr>
                <w:b/>
                <w:sz w:val="16"/>
              </w:rPr>
              <w:t>Figure S-routing-polyol-22. ozone depletion - ozone depletion potential (ODP).</w:t>
            </w:r>
          </w:p>
        </w:tc>
      </w:tr>
      <w:tr w:rsidR="004400D5" w14:paraId="726251AB" w14:textId="77777777" w:rsidTr="00BC178F">
        <w:tc>
          <w:tcPr>
            <w:tcW w:w="7771" w:type="dxa"/>
            <w:vAlign w:val="center"/>
          </w:tcPr>
          <w:p w14:paraId="1542FB4C" w14:textId="77777777" w:rsidR="004400D5" w:rsidRDefault="004400D5" w:rsidP="001C210D">
            <w:pPr>
              <w:spacing w:after="0"/>
              <w:jc w:val="center"/>
            </w:pPr>
            <w:r>
              <w:rPr>
                <w:noProof/>
              </w:rPr>
              <w:drawing>
                <wp:inline distT="0" distB="0" distL="0" distR="0" wp14:anchorId="51F28AB1" wp14:editId="60BF7BC5">
                  <wp:extent cx="3483428" cy="27432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ozone_depletion_ozone_depletion_potential_odp_routing_comparison_unstacked.png"/>
                          <pic:cNvPicPr/>
                        </pic:nvPicPr>
                        <pic:blipFill>
                          <a:blip r:embed="rId126"/>
                          <a:stretch>
                            <a:fillRect/>
                          </a:stretch>
                        </pic:blipFill>
                        <pic:spPr>
                          <a:xfrm>
                            <a:off x="0" y="0"/>
                            <a:ext cx="3483428" cy="2743200"/>
                          </a:xfrm>
                          <a:prstGeom prst="rect">
                            <a:avLst/>
                          </a:prstGeom>
                        </pic:spPr>
                      </pic:pic>
                    </a:graphicData>
                  </a:graphic>
                </wp:inline>
              </w:drawing>
            </w:r>
          </w:p>
        </w:tc>
        <w:tc>
          <w:tcPr>
            <w:tcW w:w="7771" w:type="dxa"/>
            <w:vAlign w:val="center"/>
          </w:tcPr>
          <w:p w14:paraId="45AF5525" w14:textId="77777777" w:rsidR="004400D5" w:rsidRDefault="004400D5" w:rsidP="001C210D">
            <w:pPr>
              <w:spacing w:after="0"/>
              <w:jc w:val="center"/>
            </w:pPr>
            <w:r>
              <w:rPr>
                <w:noProof/>
              </w:rPr>
              <w:drawing>
                <wp:inline distT="0" distB="0" distL="0" distR="0" wp14:anchorId="2CFC1BBF" wp14:editId="5EC1266E">
                  <wp:extent cx="3483428" cy="27432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ozone_depletion_ozone_depletion_potential_odp_routing_comparison_stacked.png"/>
                          <pic:cNvPicPr/>
                        </pic:nvPicPr>
                        <pic:blipFill>
                          <a:blip r:embed="rId127"/>
                          <a:stretch>
                            <a:fillRect/>
                          </a:stretch>
                        </pic:blipFill>
                        <pic:spPr>
                          <a:xfrm>
                            <a:off x="0" y="0"/>
                            <a:ext cx="3483428" cy="2743200"/>
                          </a:xfrm>
                          <a:prstGeom prst="rect">
                            <a:avLst/>
                          </a:prstGeom>
                        </pic:spPr>
                      </pic:pic>
                    </a:graphicData>
                  </a:graphic>
                </wp:inline>
              </w:drawing>
            </w:r>
          </w:p>
        </w:tc>
      </w:tr>
      <w:tr w:rsidR="004400D5" w14:paraId="0467C2CA" w14:textId="77777777" w:rsidTr="00BC178F">
        <w:tc>
          <w:tcPr>
            <w:tcW w:w="15542" w:type="dxa"/>
            <w:gridSpan w:val="2"/>
          </w:tcPr>
          <w:p w14:paraId="40E3F62C" w14:textId="77777777" w:rsidR="004400D5" w:rsidRDefault="004400D5" w:rsidP="001C210D">
            <w:pPr>
              <w:jc w:val="left"/>
            </w:pPr>
            <w:r>
              <w:rPr>
                <w:b/>
                <w:sz w:val="16"/>
              </w:rPr>
              <w:t>Figure S-routing-polyol-23. particulate matter formation - impact on human health.</w:t>
            </w:r>
          </w:p>
        </w:tc>
      </w:tr>
      <w:tr w:rsidR="004400D5" w14:paraId="779B9F70" w14:textId="77777777" w:rsidTr="00BC178F">
        <w:tc>
          <w:tcPr>
            <w:tcW w:w="7771" w:type="dxa"/>
            <w:vAlign w:val="center"/>
          </w:tcPr>
          <w:p w14:paraId="1BA879D4" w14:textId="77777777" w:rsidR="004400D5" w:rsidRDefault="004400D5" w:rsidP="001C210D">
            <w:pPr>
              <w:spacing w:after="0"/>
              <w:jc w:val="center"/>
            </w:pPr>
            <w:r>
              <w:rPr>
                <w:noProof/>
              </w:rPr>
              <w:lastRenderedPageBreak/>
              <w:drawing>
                <wp:inline distT="0" distB="0" distL="0" distR="0" wp14:anchorId="32EC4512" wp14:editId="2D2287BA">
                  <wp:extent cx="3483428" cy="27432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articulate_matter_formation_impact_on_human_health_routing_comparison_unstacked.png"/>
                          <pic:cNvPicPr/>
                        </pic:nvPicPr>
                        <pic:blipFill>
                          <a:blip r:embed="rId128"/>
                          <a:stretch>
                            <a:fillRect/>
                          </a:stretch>
                        </pic:blipFill>
                        <pic:spPr>
                          <a:xfrm>
                            <a:off x="0" y="0"/>
                            <a:ext cx="3483428" cy="2743200"/>
                          </a:xfrm>
                          <a:prstGeom prst="rect">
                            <a:avLst/>
                          </a:prstGeom>
                        </pic:spPr>
                      </pic:pic>
                    </a:graphicData>
                  </a:graphic>
                </wp:inline>
              </w:drawing>
            </w:r>
          </w:p>
        </w:tc>
        <w:tc>
          <w:tcPr>
            <w:tcW w:w="7771" w:type="dxa"/>
            <w:vAlign w:val="center"/>
          </w:tcPr>
          <w:p w14:paraId="29568791" w14:textId="77777777" w:rsidR="004400D5" w:rsidRDefault="004400D5" w:rsidP="001C210D">
            <w:pPr>
              <w:spacing w:after="0"/>
              <w:jc w:val="center"/>
            </w:pPr>
            <w:r>
              <w:rPr>
                <w:noProof/>
              </w:rPr>
              <w:drawing>
                <wp:inline distT="0" distB="0" distL="0" distR="0" wp14:anchorId="20BDA94A" wp14:editId="271430A2">
                  <wp:extent cx="3483428" cy="27432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articulate_matter_formation_impact_on_human_health_routing_comparison_stacked.png"/>
                          <pic:cNvPicPr/>
                        </pic:nvPicPr>
                        <pic:blipFill>
                          <a:blip r:embed="rId129"/>
                          <a:stretch>
                            <a:fillRect/>
                          </a:stretch>
                        </pic:blipFill>
                        <pic:spPr>
                          <a:xfrm>
                            <a:off x="0" y="0"/>
                            <a:ext cx="3483428" cy="2743200"/>
                          </a:xfrm>
                          <a:prstGeom prst="rect">
                            <a:avLst/>
                          </a:prstGeom>
                        </pic:spPr>
                      </pic:pic>
                    </a:graphicData>
                  </a:graphic>
                </wp:inline>
              </w:drawing>
            </w:r>
          </w:p>
        </w:tc>
      </w:tr>
      <w:tr w:rsidR="004400D5" w14:paraId="4CFED5B3" w14:textId="77777777" w:rsidTr="00BC178F">
        <w:tc>
          <w:tcPr>
            <w:tcW w:w="15542" w:type="dxa"/>
            <w:gridSpan w:val="2"/>
          </w:tcPr>
          <w:p w14:paraId="28407CC2" w14:textId="77777777" w:rsidR="004400D5" w:rsidRDefault="004400D5" w:rsidP="001C210D">
            <w:pPr>
              <w:jc w:val="left"/>
            </w:pPr>
            <w:r>
              <w:rPr>
                <w:b/>
                <w:sz w:val="16"/>
              </w:rPr>
              <w:t>Figure S-routing-polyol-24. photochemical oxidant formation: human health - tropospheric ozone concentration increase.</w:t>
            </w:r>
          </w:p>
        </w:tc>
      </w:tr>
      <w:tr w:rsidR="004400D5" w14:paraId="0C319F82" w14:textId="77777777" w:rsidTr="00BC178F">
        <w:tc>
          <w:tcPr>
            <w:tcW w:w="7771" w:type="dxa"/>
            <w:vAlign w:val="center"/>
          </w:tcPr>
          <w:p w14:paraId="675908D8" w14:textId="77777777" w:rsidR="004400D5" w:rsidRDefault="004400D5" w:rsidP="001C210D">
            <w:pPr>
              <w:spacing w:after="0"/>
              <w:jc w:val="center"/>
            </w:pPr>
            <w:r>
              <w:rPr>
                <w:noProof/>
              </w:rPr>
              <w:drawing>
                <wp:inline distT="0" distB="0" distL="0" distR="0" wp14:anchorId="4C9A8BE5" wp14:editId="5FF5B03F">
                  <wp:extent cx="3483428" cy="27432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hotochemical_oxidant_formation_human_health_tropospheric_ozone_concentration_increase_routing_comparison_unstacked.png"/>
                          <pic:cNvPicPr/>
                        </pic:nvPicPr>
                        <pic:blipFill>
                          <a:blip r:embed="rId130"/>
                          <a:stretch>
                            <a:fillRect/>
                          </a:stretch>
                        </pic:blipFill>
                        <pic:spPr>
                          <a:xfrm>
                            <a:off x="0" y="0"/>
                            <a:ext cx="3483428" cy="2743200"/>
                          </a:xfrm>
                          <a:prstGeom prst="rect">
                            <a:avLst/>
                          </a:prstGeom>
                        </pic:spPr>
                      </pic:pic>
                    </a:graphicData>
                  </a:graphic>
                </wp:inline>
              </w:drawing>
            </w:r>
          </w:p>
        </w:tc>
        <w:tc>
          <w:tcPr>
            <w:tcW w:w="7771" w:type="dxa"/>
            <w:vAlign w:val="center"/>
          </w:tcPr>
          <w:p w14:paraId="5DB537FC" w14:textId="77777777" w:rsidR="004400D5" w:rsidRDefault="004400D5" w:rsidP="001C210D">
            <w:pPr>
              <w:spacing w:after="0"/>
              <w:jc w:val="center"/>
            </w:pPr>
            <w:r>
              <w:rPr>
                <w:noProof/>
              </w:rPr>
              <w:drawing>
                <wp:inline distT="0" distB="0" distL="0" distR="0" wp14:anchorId="6F775BD7" wp14:editId="510B4A14">
                  <wp:extent cx="3483428" cy="27432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hotochemical_oxidant_formation_human_health_tropospheric_ozone_concentration_increase_routing_comparison_stacked.png"/>
                          <pic:cNvPicPr/>
                        </pic:nvPicPr>
                        <pic:blipFill>
                          <a:blip r:embed="rId131"/>
                          <a:stretch>
                            <a:fillRect/>
                          </a:stretch>
                        </pic:blipFill>
                        <pic:spPr>
                          <a:xfrm>
                            <a:off x="0" y="0"/>
                            <a:ext cx="3483428" cy="2743200"/>
                          </a:xfrm>
                          <a:prstGeom prst="rect">
                            <a:avLst/>
                          </a:prstGeom>
                        </pic:spPr>
                      </pic:pic>
                    </a:graphicData>
                  </a:graphic>
                </wp:inline>
              </w:drawing>
            </w:r>
          </w:p>
        </w:tc>
      </w:tr>
      <w:tr w:rsidR="004400D5" w14:paraId="13449538" w14:textId="77777777" w:rsidTr="00BC178F">
        <w:tc>
          <w:tcPr>
            <w:tcW w:w="15542" w:type="dxa"/>
            <w:gridSpan w:val="2"/>
          </w:tcPr>
          <w:p w14:paraId="66C0F359" w14:textId="77777777" w:rsidR="004400D5" w:rsidRDefault="004400D5" w:rsidP="001C210D">
            <w:pPr>
              <w:jc w:val="left"/>
            </w:pPr>
            <w:r>
              <w:rPr>
                <w:b/>
                <w:sz w:val="16"/>
              </w:rPr>
              <w:t>Figure S-routing-polyol-25. water use - user deprivation potential (deprivation-weighted water consumption).</w:t>
            </w:r>
          </w:p>
        </w:tc>
      </w:tr>
      <w:tr w:rsidR="004400D5" w14:paraId="276B90C5" w14:textId="77777777" w:rsidTr="00BC178F">
        <w:tc>
          <w:tcPr>
            <w:tcW w:w="7771" w:type="dxa"/>
            <w:vAlign w:val="center"/>
          </w:tcPr>
          <w:p w14:paraId="491D50CC" w14:textId="77777777" w:rsidR="004400D5" w:rsidRDefault="004400D5" w:rsidP="001C210D">
            <w:pPr>
              <w:spacing w:after="0"/>
              <w:jc w:val="center"/>
            </w:pPr>
            <w:r>
              <w:rPr>
                <w:noProof/>
              </w:rPr>
              <w:lastRenderedPageBreak/>
              <w:drawing>
                <wp:inline distT="0" distB="0" distL="0" distR="0" wp14:anchorId="3925CE96" wp14:editId="7A732ADA">
                  <wp:extent cx="3483428" cy="27432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water_use_user_deprivation_potential_deprivation_weighted_water_consumption_routing_comparison_unstacked.png"/>
                          <pic:cNvPicPr/>
                        </pic:nvPicPr>
                        <pic:blipFill>
                          <a:blip r:embed="rId132"/>
                          <a:stretch>
                            <a:fillRect/>
                          </a:stretch>
                        </pic:blipFill>
                        <pic:spPr>
                          <a:xfrm>
                            <a:off x="0" y="0"/>
                            <a:ext cx="3483428" cy="2743200"/>
                          </a:xfrm>
                          <a:prstGeom prst="rect">
                            <a:avLst/>
                          </a:prstGeom>
                        </pic:spPr>
                      </pic:pic>
                    </a:graphicData>
                  </a:graphic>
                </wp:inline>
              </w:drawing>
            </w:r>
          </w:p>
        </w:tc>
        <w:tc>
          <w:tcPr>
            <w:tcW w:w="7771" w:type="dxa"/>
            <w:vAlign w:val="center"/>
          </w:tcPr>
          <w:p w14:paraId="04B17895" w14:textId="77777777" w:rsidR="004400D5" w:rsidRDefault="004400D5" w:rsidP="001C210D">
            <w:pPr>
              <w:spacing w:after="0"/>
              <w:jc w:val="center"/>
            </w:pPr>
            <w:r>
              <w:rPr>
                <w:noProof/>
              </w:rPr>
              <w:drawing>
                <wp:inline distT="0" distB="0" distL="0" distR="0" wp14:anchorId="2F3FEFA6" wp14:editId="42D96FEC">
                  <wp:extent cx="3483428" cy="27432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water_use_user_deprivation_potential_deprivation_weighted_water_consumption_routing_comparison_stacked.png"/>
                          <pic:cNvPicPr/>
                        </pic:nvPicPr>
                        <pic:blipFill>
                          <a:blip r:embed="rId133"/>
                          <a:stretch>
                            <a:fillRect/>
                          </a:stretch>
                        </pic:blipFill>
                        <pic:spPr>
                          <a:xfrm>
                            <a:off x="0" y="0"/>
                            <a:ext cx="3483428" cy="2743200"/>
                          </a:xfrm>
                          <a:prstGeom prst="rect">
                            <a:avLst/>
                          </a:prstGeom>
                        </pic:spPr>
                      </pic:pic>
                    </a:graphicData>
                  </a:graphic>
                </wp:inline>
              </w:drawing>
            </w:r>
          </w:p>
        </w:tc>
      </w:tr>
    </w:tbl>
    <w:p w14:paraId="649DA896" w14:textId="77777777" w:rsidR="004400D5" w:rsidRDefault="004400D5" w:rsidP="004400D5">
      <w:r>
        <w:br w:type="page"/>
      </w:r>
    </w:p>
    <w:p w14:paraId="0F59663A" w14:textId="77777777" w:rsidR="004400D5" w:rsidRDefault="004400D5" w:rsidP="004400D5">
      <w:pPr>
        <w:pStyle w:val="Heading20"/>
      </w:pPr>
      <w:bookmarkStart w:id="24" w:name="_Toc233129522"/>
      <w:r>
        <w:lastRenderedPageBreak/>
        <w:t>Marine fuel switch</w:t>
      </w:r>
      <w:bookmarkEnd w:id="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71"/>
        <w:gridCol w:w="7771"/>
      </w:tblGrid>
      <w:tr w:rsidR="004400D5" w14:paraId="3C76CC1A" w14:textId="77777777" w:rsidTr="0052617F">
        <w:tc>
          <w:tcPr>
            <w:tcW w:w="7771" w:type="dxa"/>
          </w:tcPr>
          <w:p w14:paraId="73B3697A" w14:textId="77777777" w:rsidR="004400D5" w:rsidRDefault="004400D5" w:rsidP="001C210D">
            <w:pPr>
              <w:jc w:val="left"/>
            </w:pPr>
            <w:r>
              <w:rPr>
                <w:b/>
                <w:sz w:val="16"/>
              </w:rPr>
              <w:t>Unstacked annual impacts</w:t>
            </w:r>
          </w:p>
        </w:tc>
        <w:tc>
          <w:tcPr>
            <w:tcW w:w="7771" w:type="dxa"/>
          </w:tcPr>
          <w:p w14:paraId="44E2662E" w14:textId="77777777" w:rsidR="004400D5" w:rsidRDefault="004400D5" w:rsidP="001C210D">
            <w:pPr>
              <w:jc w:val="left"/>
            </w:pPr>
            <w:r>
              <w:rPr>
                <w:b/>
                <w:sz w:val="16"/>
              </w:rPr>
              <w:t>Stacked annual impacts</w:t>
            </w:r>
          </w:p>
        </w:tc>
      </w:tr>
      <w:tr w:rsidR="004400D5" w14:paraId="4CABC53D" w14:textId="77777777" w:rsidTr="0052617F">
        <w:tc>
          <w:tcPr>
            <w:tcW w:w="15542" w:type="dxa"/>
            <w:gridSpan w:val="2"/>
          </w:tcPr>
          <w:p w14:paraId="3480CFAC" w14:textId="77777777" w:rsidR="004400D5" w:rsidRDefault="004400D5" w:rsidP="001C210D">
            <w:pPr>
              <w:jc w:val="left"/>
            </w:pPr>
            <w:r>
              <w:rPr>
                <w:b/>
                <w:sz w:val="16"/>
              </w:rPr>
              <w:t>Figure S-routing-marine-01. acidification - accumulated exceedance (AE).</w:t>
            </w:r>
          </w:p>
        </w:tc>
      </w:tr>
      <w:tr w:rsidR="004400D5" w14:paraId="37FF4E2D" w14:textId="77777777" w:rsidTr="0052617F">
        <w:tc>
          <w:tcPr>
            <w:tcW w:w="7771" w:type="dxa"/>
            <w:vAlign w:val="center"/>
          </w:tcPr>
          <w:p w14:paraId="74BA8122" w14:textId="77777777" w:rsidR="004400D5" w:rsidRDefault="004400D5" w:rsidP="001C210D">
            <w:pPr>
              <w:spacing w:after="0"/>
              <w:jc w:val="center"/>
            </w:pPr>
            <w:r>
              <w:rPr>
                <w:noProof/>
              </w:rPr>
              <w:drawing>
                <wp:inline distT="0" distB="0" distL="0" distR="0" wp14:anchorId="2AA7888D" wp14:editId="782E5E90">
                  <wp:extent cx="3483428" cy="27432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acidification_accumulated_exceedance_ae_routing_comparison_unstacked.png"/>
                          <pic:cNvPicPr/>
                        </pic:nvPicPr>
                        <pic:blipFill>
                          <a:blip r:embed="rId134"/>
                          <a:stretch>
                            <a:fillRect/>
                          </a:stretch>
                        </pic:blipFill>
                        <pic:spPr>
                          <a:xfrm>
                            <a:off x="0" y="0"/>
                            <a:ext cx="3483428" cy="2743200"/>
                          </a:xfrm>
                          <a:prstGeom prst="rect">
                            <a:avLst/>
                          </a:prstGeom>
                        </pic:spPr>
                      </pic:pic>
                    </a:graphicData>
                  </a:graphic>
                </wp:inline>
              </w:drawing>
            </w:r>
          </w:p>
        </w:tc>
        <w:tc>
          <w:tcPr>
            <w:tcW w:w="7771" w:type="dxa"/>
            <w:vAlign w:val="center"/>
          </w:tcPr>
          <w:p w14:paraId="31F8FC99" w14:textId="77777777" w:rsidR="004400D5" w:rsidRDefault="004400D5" w:rsidP="001C210D">
            <w:pPr>
              <w:spacing w:after="0"/>
              <w:jc w:val="center"/>
            </w:pPr>
            <w:r>
              <w:rPr>
                <w:noProof/>
              </w:rPr>
              <w:drawing>
                <wp:inline distT="0" distB="0" distL="0" distR="0" wp14:anchorId="25EEB63F" wp14:editId="51D252FF">
                  <wp:extent cx="3483428" cy="27432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acidification_accumulated_exceedance_ae_routing_comparison_stacked.png"/>
                          <pic:cNvPicPr/>
                        </pic:nvPicPr>
                        <pic:blipFill>
                          <a:blip r:embed="rId135"/>
                          <a:stretch>
                            <a:fillRect/>
                          </a:stretch>
                        </pic:blipFill>
                        <pic:spPr>
                          <a:xfrm>
                            <a:off x="0" y="0"/>
                            <a:ext cx="3483428" cy="2743200"/>
                          </a:xfrm>
                          <a:prstGeom prst="rect">
                            <a:avLst/>
                          </a:prstGeom>
                        </pic:spPr>
                      </pic:pic>
                    </a:graphicData>
                  </a:graphic>
                </wp:inline>
              </w:drawing>
            </w:r>
          </w:p>
        </w:tc>
      </w:tr>
      <w:tr w:rsidR="004400D5" w14:paraId="0036D454" w14:textId="77777777" w:rsidTr="0052617F">
        <w:tc>
          <w:tcPr>
            <w:tcW w:w="15542" w:type="dxa"/>
            <w:gridSpan w:val="2"/>
          </w:tcPr>
          <w:p w14:paraId="5866F0F5" w14:textId="77777777" w:rsidR="004400D5" w:rsidRDefault="004400D5" w:rsidP="001C210D">
            <w:pPr>
              <w:jc w:val="left"/>
            </w:pPr>
            <w:r>
              <w:rPr>
                <w:b/>
                <w:sz w:val="16"/>
              </w:rPr>
              <w:t>Figure S-routing-marine-02. climate change - global warming potential (GWP100).</w:t>
            </w:r>
          </w:p>
        </w:tc>
      </w:tr>
      <w:tr w:rsidR="004400D5" w14:paraId="097142EE" w14:textId="77777777" w:rsidTr="0052617F">
        <w:tc>
          <w:tcPr>
            <w:tcW w:w="7771" w:type="dxa"/>
            <w:vAlign w:val="center"/>
          </w:tcPr>
          <w:p w14:paraId="527C4E84" w14:textId="77777777" w:rsidR="004400D5" w:rsidRDefault="004400D5" w:rsidP="001C210D">
            <w:pPr>
              <w:spacing w:after="0"/>
              <w:jc w:val="center"/>
            </w:pPr>
            <w:r>
              <w:rPr>
                <w:noProof/>
              </w:rPr>
              <w:drawing>
                <wp:inline distT="0" distB="0" distL="0" distR="0" wp14:anchorId="0CC6DEC0" wp14:editId="445C249F">
                  <wp:extent cx="3483428" cy="27432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global_warming_potential_gwp100_routing_comparison_unstacked.png"/>
                          <pic:cNvPicPr/>
                        </pic:nvPicPr>
                        <pic:blipFill>
                          <a:blip r:embed="rId136"/>
                          <a:stretch>
                            <a:fillRect/>
                          </a:stretch>
                        </pic:blipFill>
                        <pic:spPr>
                          <a:xfrm>
                            <a:off x="0" y="0"/>
                            <a:ext cx="3483428" cy="2743200"/>
                          </a:xfrm>
                          <a:prstGeom prst="rect">
                            <a:avLst/>
                          </a:prstGeom>
                        </pic:spPr>
                      </pic:pic>
                    </a:graphicData>
                  </a:graphic>
                </wp:inline>
              </w:drawing>
            </w:r>
          </w:p>
        </w:tc>
        <w:tc>
          <w:tcPr>
            <w:tcW w:w="7771" w:type="dxa"/>
            <w:vAlign w:val="center"/>
          </w:tcPr>
          <w:p w14:paraId="05DCFA0C" w14:textId="77777777" w:rsidR="004400D5" w:rsidRDefault="004400D5" w:rsidP="001C210D">
            <w:pPr>
              <w:spacing w:after="0"/>
              <w:jc w:val="center"/>
            </w:pPr>
            <w:r>
              <w:rPr>
                <w:noProof/>
              </w:rPr>
              <w:drawing>
                <wp:inline distT="0" distB="0" distL="0" distR="0" wp14:anchorId="1DF5BC6F" wp14:editId="774AAB8A">
                  <wp:extent cx="3483428" cy="27432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global_warming_potential_gwp100_routing_comparison_stacked.png"/>
                          <pic:cNvPicPr/>
                        </pic:nvPicPr>
                        <pic:blipFill>
                          <a:blip r:embed="rId137"/>
                          <a:stretch>
                            <a:fillRect/>
                          </a:stretch>
                        </pic:blipFill>
                        <pic:spPr>
                          <a:xfrm>
                            <a:off x="0" y="0"/>
                            <a:ext cx="3483428" cy="2743200"/>
                          </a:xfrm>
                          <a:prstGeom prst="rect">
                            <a:avLst/>
                          </a:prstGeom>
                        </pic:spPr>
                      </pic:pic>
                    </a:graphicData>
                  </a:graphic>
                </wp:inline>
              </w:drawing>
            </w:r>
          </w:p>
        </w:tc>
      </w:tr>
      <w:tr w:rsidR="004400D5" w14:paraId="6D267BA7" w14:textId="77777777" w:rsidTr="0052617F">
        <w:tc>
          <w:tcPr>
            <w:tcW w:w="15542" w:type="dxa"/>
            <w:gridSpan w:val="2"/>
          </w:tcPr>
          <w:p w14:paraId="59214A26" w14:textId="77777777" w:rsidR="004400D5" w:rsidRDefault="004400D5" w:rsidP="001C210D">
            <w:pPr>
              <w:jc w:val="left"/>
            </w:pPr>
            <w:r>
              <w:rPr>
                <w:b/>
                <w:sz w:val="16"/>
              </w:rPr>
              <w:lastRenderedPageBreak/>
              <w:t>Figure S-routing-marine-03. climate change: biogenic - global warming potential (GWP100).</w:t>
            </w:r>
          </w:p>
        </w:tc>
      </w:tr>
      <w:tr w:rsidR="004400D5" w14:paraId="0156BDB1" w14:textId="77777777" w:rsidTr="0052617F">
        <w:tc>
          <w:tcPr>
            <w:tcW w:w="7771" w:type="dxa"/>
            <w:vAlign w:val="center"/>
          </w:tcPr>
          <w:p w14:paraId="7862AC6D" w14:textId="77777777" w:rsidR="004400D5" w:rsidRDefault="004400D5" w:rsidP="001C210D">
            <w:pPr>
              <w:spacing w:after="0"/>
              <w:jc w:val="center"/>
            </w:pPr>
            <w:r>
              <w:rPr>
                <w:noProof/>
              </w:rPr>
              <w:drawing>
                <wp:inline distT="0" distB="0" distL="0" distR="0" wp14:anchorId="06A3B656" wp14:editId="5196B59E">
                  <wp:extent cx="3483428" cy="27432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biogenic_global_warming_potential_gwp100_routing_comparison_unstacked.png"/>
                          <pic:cNvPicPr/>
                        </pic:nvPicPr>
                        <pic:blipFill>
                          <a:blip r:embed="rId138"/>
                          <a:stretch>
                            <a:fillRect/>
                          </a:stretch>
                        </pic:blipFill>
                        <pic:spPr>
                          <a:xfrm>
                            <a:off x="0" y="0"/>
                            <a:ext cx="3483428" cy="2743200"/>
                          </a:xfrm>
                          <a:prstGeom prst="rect">
                            <a:avLst/>
                          </a:prstGeom>
                        </pic:spPr>
                      </pic:pic>
                    </a:graphicData>
                  </a:graphic>
                </wp:inline>
              </w:drawing>
            </w:r>
          </w:p>
        </w:tc>
        <w:tc>
          <w:tcPr>
            <w:tcW w:w="7771" w:type="dxa"/>
            <w:vAlign w:val="center"/>
          </w:tcPr>
          <w:p w14:paraId="7C7DCE0D" w14:textId="77777777" w:rsidR="004400D5" w:rsidRDefault="004400D5" w:rsidP="001C210D">
            <w:pPr>
              <w:spacing w:after="0"/>
              <w:jc w:val="center"/>
            </w:pPr>
            <w:r>
              <w:rPr>
                <w:noProof/>
              </w:rPr>
              <w:drawing>
                <wp:inline distT="0" distB="0" distL="0" distR="0" wp14:anchorId="1DC246F7" wp14:editId="41294008">
                  <wp:extent cx="3483428" cy="27432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biogenic_global_warming_potential_gwp100_routing_comparison_stacked.png"/>
                          <pic:cNvPicPr/>
                        </pic:nvPicPr>
                        <pic:blipFill>
                          <a:blip r:embed="rId139"/>
                          <a:stretch>
                            <a:fillRect/>
                          </a:stretch>
                        </pic:blipFill>
                        <pic:spPr>
                          <a:xfrm>
                            <a:off x="0" y="0"/>
                            <a:ext cx="3483428" cy="2743200"/>
                          </a:xfrm>
                          <a:prstGeom prst="rect">
                            <a:avLst/>
                          </a:prstGeom>
                        </pic:spPr>
                      </pic:pic>
                    </a:graphicData>
                  </a:graphic>
                </wp:inline>
              </w:drawing>
            </w:r>
          </w:p>
        </w:tc>
      </w:tr>
      <w:tr w:rsidR="004400D5" w14:paraId="61E31C3A" w14:textId="77777777" w:rsidTr="0052617F">
        <w:tc>
          <w:tcPr>
            <w:tcW w:w="15542" w:type="dxa"/>
            <w:gridSpan w:val="2"/>
          </w:tcPr>
          <w:p w14:paraId="77B7D13D" w14:textId="77777777" w:rsidR="004400D5" w:rsidRDefault="004400D5" w:rsidP="001C210D">
            <w:pPr>
              <w:jc w:val="left"/>
            </w:pPr>
            <w:r>
              <w:rPr>
                <w:b/>
                <w:sz w:val="16"/>
              </w:rPr>
              <w:t>Figure S-routing-marine-04. climate change: fossil - global warming potential (GWP100).</w:t>
            </w:r>
          </w:p>
        </w:tc>
      </w:tr>
      <w:tr w:rsidR="004400D5" w14:paraId="05695AFC" w14:textId="77777777" w:rsidTr="0052617F">
        <w:tc>
          <w:tcPr>
            <w:tcW w:w="7771" w:type="dxa"/>
            <w:vAlign w:val="center"/>
          </w:tcPr>
          <w:p w14:paraId="60BEC73E" w14:textId="77777777" w:rsidR="004400D5" w:rsidRDefault="004400D5" w:rsidP="001C210D">
            <w:pPr>
              <w:spacing w:after="0"/>
              <w:jc w:val="center"/>
            </w:pPr>
            <w:r>
              <w:rPr>
                <w:noProof/>
              </w:rPr>
              <w:drawing>
                <wp:inline distT="0" distB="0" distL="0" distR="0" wp14:anchorId="668A45A0" wp14:editId="619DF958">
                  <wp:extent cx="3483428" cy="27432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fossil_global_warming_potential_gwp100_routing_comparison_unstacked.png"/>
                          <pic:cNvPicPr/>
                        </pic:nvPicPr>
                        <pic:blipFill>
                          <a:blip r:embed="rId140"/>
                          <a:stretch>
                            <a:fillRect/>
                          </a:stretch>
                        </pic:blipFill>
                        <pic:spPr>
                          <a:xfrm>
                            <a:off x="0" y="0"/>
                            <a:ext cx="3483428" cy="2743200"/>
                          </a:xfrm>
                          <a:prstGeom prst="rect">
                            <a:avLst/>
                          </a:prstGeom>
                        </pic:spPr>
                      </pic:pic>
                    </a:graphicData>
                  </a:graphic>
                </wp:inline>
              </w:drawing>
            </w:r>
          </w:p>
        </w:tc>
        <w:tc>
          <w:tcPr>
            <w:tcW w:w="7771" w:type="dxa"/>
            <w:vAlign w:val="center"/>
          </w:tcPr>
          <w:p w14:paraId="11EE7E20" w14:textId="77777777" w:rsidR="004400D5" w:rsidRDefault="004400D5" w:rsidP="001C210D">
            <w:pPr>
              <w:spacing w:after="0"/>
              <w:jc w:val="center"/>
            </w:pPr>
            <w:r>
              <w:rPr>
                <w:noProof/>
              </w:rPr>
              <w:drawing>
                <wp:inline distT="0" distB="0" distL="0" distR="0" wp14:anchorId="0473863B" wp14:editId="5EF13011">
                  <wp:extent cx="3483428" cy="27432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fossil_global_warming_potential_gwp100_routing_comparison_stacked.png"/>
                          <pic:cNvPicPr/>
                        </pic:nvPicPr>
                        <pic:blipFill>
                          <a:blip r:embed="rId141"/>
                          <a:stretch>
                            <a:fillRect/>
                          </a:stretch>
                        </pic:blipFill>
                        <pic:spPr>
                          <a:xfrm>
                            <a:off x="0" y="0"/>
                            <a:ext cx="3483428" cy="2743200"/>
                          </a:xfrm>
                          <a:prstGeom prst="rect">
                            <a:avLst/>
                          </a:prstGeom>
                        </pic:spPr>
                      </pic:pic>
                    </a:graphicData>
                  </a:graphic>
                </wp:inline>
              </w:drawing>
            </w:r>
          </w:p>
        </w:tc>
      </w:tr>
      <w:tr w:rsidR="004400D5" w14:paraId="2636C85D" w14:textId="77777777" w:rsidTr="0052617F">
        <w:tc>
          <w:tcPr>
            <w:tcW w:w="15542" w:type="dxa"/>
            <w:gridSpan w:val="2"/>
          </w:tcPr>
          <w:p w14:paraId="35D4225B" w14:textId="77777777" w:rsidR="004400D5" w:rsidRDefault="004400D5" w:rsidP="001C210D">
            <w:pPr>
              <w:jc w:val="left"/>
            </w:pPr>
            <w:r>
              <w:rPr>
                <w:b/>
                <w:sz w:val="16"/>
              </w:rPr>
              <w:t>Figure S-routing-marine-05. climate change: land use and land use change - global warming potential (GWP100).</w:t>
            </w:r>
          </w:p>
        </w:tc>
      </w:tr>
      <w:tr w:rsidR="004400D5" w14:paraId="54E056C1" w14:textId="77777777" w:rsidTr="0052617F">
        <w:tc>
          <w:tcPr>
            <w:tcW w:w="7771" w:type="dxa"/>
            <w:vAlign w:val="center"/>
          </w:tcPr>
          <w:p w14:paraId="1EB16051" w14:textId="77777777" w:rsidR="004400D5" w:rsidRDefault="004400D5" w:rsidP="001C210D">
            <w:pPr>
              <w:spacing w:after="0"/>
              <w:jc w:val="center"/>
            </w:pPr>
            <w:r>
              <w:rPr>
                <w:noProof/>
              </w:rPr>
              <w:lastRenderedPageBreak/>
              <w:drawing>
                <wp:inline distT="0" distB="0" distL="0" distR="0" wp14:anchorId="65CDE393" wp14:editId="26A071B8">
                  <wp:extent cx="3483428" cy="27432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land_use_and_land_use_change_global_warming_potential_gwp100_routing_comparison_unstacked.png"/>
                          <pic:cNvPicPr/>
                        </pic:nvPicPr>
                        <pic:blipFill>
                          <a:blip r:embed="rId142"/>
                          <a:stretch>
                            <a:fillRect/>
                          </a:stretch>
                        </pic:blipFill>
                        <pic:spPr>
                          <a:xfrm>
                            <a:off x="0" y="0"/>
                            <a:ext cx="3483428" cy="2743200"/>
                          </a:xfrm>
                          <a:prstGeom prst="rect">
                            <a:avLst/>
                          </a:prstGeom>
                        </pic:spPr>
                      </pic:pic>
                    </a:graphicData>
                  </a:graphic>
                </wp:inline>
              </w:drawing>
            </w:r>
          </w:p>
        </w:tc>
        <w:tc>
          <w:tcPr>
            <w:tcW w:w="7771" w:type="dxa"/>
            <w:vAlign w:val="center"/>
          </w:tcPr>
          <w:p w14:paraId="15C8D6AD" w14:textId="77777777" w:rsidR="004400D5" w:rsidRDefault="004400D5" w:rsidP="001C210D">
            <w:pPr>
              <w:spacing w:after="0"/>
              <w:jc w:val="center"/>
            </w:pPr>
            <w:r>
              <w:rPr>
                <w:noProof/>
              </w:rPr>
              <w:drawing>
                <wp:inline distT="0" distB="0" distL="0" distR="0" wp14:anchorId="74376839" wp14:editId="0CA63E62">
                  <wp:extent cx="3483428" cy="27432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land_use_and_land_use_change_global_warming_potential_gwp100_routing_comparison_stacked.png"/>
                          <pic:cNvPicPr/>
                        </pic:nvPicPr>
                        <pic:blipFill>
                          <a:blip r:embed="rId143"/>
                          <a:stretch>
                            <a:fillRect/>
                          </a:stretch>
                        </pic:blipFill>
                        <pic:spPr>
                          <a:xfrm>
                            <a:off x="0" y="0"/>
                            <a:ext cx="3483428" cy="2743200"/>
                          </a:xfrm>
                          <a:prstGeom prst="rect">
                            <a:avLst/>
                          </a:prstGeom>
                        </pic:spPr>
                      </pic:pic>
                    </a:graphicData>
                  </a:graphic>
                </wp:inline>
              </w:drawing>
            </w:r>
          </w:p>
        </w:tc>
      </w:tr>
      <w:tr w:rsidR="004400D5" w14:paraId="1CC71C16" w14:textId="77777777" w:rsidTr="0052617F">
        <w:tc>
          <w:tcPr>
            <w:tcW w:w="15542" w:type="dxa"/>
            <w:gridSpan w:val="2"/>
          </w:tcPr>
          <w:p w14:paraId="3D6D14E3" w14:textId="77777777" w:rsidR="004400D5" w:rsidRDefault="004400D5" w:rsidP="001C210D">
            <w:pPr>
              <w:jc w:val="left"/>
            </w:pPr>
            <w:r>
              <w:rPr>
                <w:b/>
                <w:sz w:val="16"/>
              </w:rPr>
              <w:t>Figure S-routing-marine-06. ecotoxicity: freshwater - comparative toxic unit for ecosystems (</w:t>
            </w:r>
            <w:proofErr w:type="spellStart"/>
            <w:r>
              <w:rPr>
                <w:b/>
                <w:sz w:val="16"/>
              </w:rPr>
              <w:t>CTUe</w:t>
            </w:r>
            <w:proofErr w:type="spellEnd"/>
            <w:r>
              <w:rPr>
                <w:b/>
                <w:sz w:val="16"/>
              </w:rPr>
              <w:t>).</w:t>
            </w:r>
          </w:p>
        </w:tc>
      </w:tr>
      <w:tr w:rsidR="004400D5" w14:paraId="5569D64B" w14:textId="77777777" w:rsidTr="0052617F">
        <w:tc>
          <w:tcPr>
            <w:tcW w:w="7771" w:type="dxa"/>
            <w:vAlign w:val="center"/>
          </w:tcPr>
          <w:p w14:paraId="1D8D46BF" w14:textId="77777777" w:rsidR="004400D5" w:rsidRDefault="004400D5" w:rsidP="001C210D">
            <w:pPr>
              <w:spacing w:after="0"/>
              <w:jc w:val="center"/>
            </w:pPr>
            <w:r>
              <w:rPr>
                <w:noProof/>
              </w:rPr>
              <w:drawing>
                <wp:inline distT="0" distB="0" distL="0" distR="0" wp14:anchorId="60B3E9D3" wp14:editId="711E34A4">
                  <wp:extent cx="3483428" cy="27432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comparative_toxic_unit_for_ecosystems_ctue_routing_comparison_unstacked.png"/>
                          <pic:cNvPicPr/>
                        </pic:nvPicPr>
                        <pic:blipFill>
                          <a:blip r:embed="rId144"/>
                          <a:stretch>
                            <a:fillRect/>
                          </a:stretch>
                        </pic:blipFill>
                        <pic:spPr>
                          <a:xfrm>
                            <a:off x="0" y="0"/>
                            <a:ext cx="3483428" cy="2743200"/>
                          </a:xfrm>
                          <a:prstGeom prst="rect">
                            <a:avLst/>
                          </a:prstGeom>
                        </pic:spPr>
                      </pic:pic>
                    </a:graphicData>
                  </a:graphic>
                </wp:inline>
              </w:drawing>
            </w:r>
          </w:p>
        </w:tc>
        <w:tc>
          <w:tcPr>
            <w:tcW w:w="7771" w:type="dxa"/>
            <w:vAlign w:val="center"/>
          </w:tcPr>
          <w:p w14:paraId="4FDFBD31" w14:textId="77777777" w:rsidR="004400D5" w:rsidRDefault="004400D5" w:rsidP="001C210D">
            <w:pPr>
              <w:spacing w:after="0"/>
              <w:jc w:val="center"/>
            </w:pPr>
            <w:r>
              <w:rPr>
                <w:noProof/>
              </w:rPr>
              <w:drawing>
                <wp:inline distT="0" distB="0" distL="0" distR="0" wp14:anchorId="2ED6747C" wp14:editId="743F8B17">
                  <wp:extent cx="3483428" cy="27432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comparative_toxic_unit_for_ecosystems_ctue_routing_comparison_stacked.png"/>
                          <pic:cNvPicPr/>
                        </pic:nvPicPr>
                        <pic:blipFill>
                          <a:blip r:embed="rId145"/>
                          <a:stretch>
                            <a:fillRect/>
                          </a:stretch>
                        </pic:blipFill>
                        <pic:spPr>
                          <a:xfrm>
                            <a:off x="0" y="0"/>
                            <a:ext cx="3483428" cy="2743200"/>
                          </a:xfrm>
                          <a:prstGeom prst="rect">
                            <a:avLst/>
                          </a:prstGeom>
                        </pic:spPr>
                      </pic:pic>
                    </a:graphicData>
                  </a:graphic>
                </wp:inline>
              </w:drawing>
            </w:r>
          </w:p>
        </w:tc>
      </w:tr>
      <w:tr w:rsidR="004400D5" w14:paraId="64C44DFB" w14:textId="77777777" w:rsidTr="0052617F">
        <w:tc>
          <w:tcPr>
            <w:tcW w:w="15542" w:type="dxa"/>
            <w:gridSpan w:val="2"/>
          </w:tcPr>
          <w:p w14:paraId="584EDEC0" w14:textId="77777777" w:rsidR="004400D5" w:rsidRDefault="004400D5" w:rsidP="001C210D">
            <w:pPr>
              <w:jc w:val="left"/>
            </w:pPr>
            <w:r>
              <w:rPr>
                <w:b/>
                <w:sz w:val="16"/>
              </w:rPr>
              <w:t>Figure S-routing-marine-07. ecotoxicity: freshwater, inorganics - comparative toxic unit for ecosystems (</w:t>
            </w:r>
            <w:proofErr w:type="spellStart"/>
            <w:r>
              <w:rPr>
                <w:b/>
                <w:sz w:val="16"/>
              </w:rPr>
              <w:t>CTUe</w:t>
            </w:r>
            <w:proofErr w:type="spellEnd"/>
            <w:r>
              <w:rPr>
                <w:b/>
                <w:sz w:val="16"/>
              </w:rPr>
              <w:t>).</w:t>
            </w:r>
          </w:p>
        </w:tc>
      </w:tr>
      <w:tr w:rsidR="004400D5" w14:paraId="0538A643" w14:textId="77777777" w:rsidTr="0052617F">
        <w:tc>
          <w:tcPr>
            <w:tcW w:w="7771" w:type="dxa"/>
            <w:vAlign w:val="center"/>
          </w:tcPr>
          <w:p w14:paraId="59F0750B" w14:textId="77777777" w:rsidR="004400D5" w:rsidRDefault="004400D5" w:rsidP="001C210D">
            <w:pPr>
              <w:spacing w:after="0"/>
              <w:jc w:val="center"/>
            </w:pPr>
            <w:r>
              <w:rPr>
                <w:noProof/>
              </w:rPr>
              <w:lastRenderedPageBreak/>
              <w:drawing>
                <wp:inline distT="0" distB="0" distL="0" distR="0" wp14:anchorId="44C7ED96" wp14:editId="44F2737A">
                  <wp:extent cx="3483428" cy="27432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inorganics_comparative_toxic_unit_for_ecosystems_ctue_routing_comparison_unstacked.png"/>
                          <pic:cNvPicPr/>
                        </pic:nvPicPr>
                        <pic:blipFill>
                          <a:blip r:embed="rId146"/>
                          <a:stretch>
                            <a:fillRect/>
                          </a:stretch>
                        </pic:blipFill>
                        <pic:spPr>
                          <a:xfrm>
                            <a:off x="0" y="0"/>
                            <a:ext cx="3483428" cy="2743200"/>
                          </a:xfrm>
                          <a:prstGeom prst="rect">
                            <a:avLst/>
                          </a:prstGeom>
                        </pic:spPr>
                      </pic:pic>
                    </a:graphicData>
                  </a:graphic>
                </wp:inline>
              </w:drawing>
            </w:r>
          </w:p>
        </w:tc>
        <w:tc>
          <w:tcPr>
            <w:tcW w:w="7771" w:type="dxa"/>
            <w:vAlign w:val="center"/>
          </w:tcPr>
          <w:p w14:paraId="78C6FF2F" w14:textId="77777777" w:rsidR="004400D5" w:rsidRDefault="004400D5" w:rsidP="001C210D">
            <w:pPr>
              <w:spacing w:after="0"/>
              <w:jc w:val="center"/>
            </w:pPr>
            <w:r>
              <w:rPr>
                <w:noProof/>
              </w:rPr>
              <w:drawing>
                <wp:inline distT="0" distB="0" distL="0" distR="0" wp14:anchorId="2444DCF3" wp14:editId="00DD10A7">
                  <wp:extent cx="3483428" cy="27432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inorganics_comparative_toxic_unit_for_ecosystems_ctue_routing_comparison_stacked.png"/>
                          <pic:cNvPicPr/>
                        </pic:nvPicPr>
                        <pic:blipFill>
                          <a:blip r:embed="rId147"/>
                          <a:stretch>
                            <a:fillRect/>
                          </a:stretch>
                        </pic:blipFill>
                        <pic:spPr>
                          <a:xfrm>
                            <a:off x="0" y="0"/>
                            <a:ext cx="3483428" cy="2743200"/>
                          </a:xfrm>
                          <a:prstGeom prst="rect">
                            <a:avLst/>
                          </a:prstGeom>
                        </pic:spPr>
                      </pic:pic>
                    </a:graphicData>
                  </a:graphic>
                </wp:inline>
              </w:drawing>
            </w:r>
          </w:p>
        </w:tc>
      </w:tr>
      <w:tr w:rsidR="004400D5" w14:paraId="1A8A8B52" w14:textId="77777777" w:rsidTr="0052617F">
        <w:tc>
          <w:tcPr>
            <w:tcW w:w="15542" w:type="dxa"/>
            <w:gridSpan w:val="2"/>
          </w:tcPr>
          <w:p w14:paraId="694F194D" w14:textId="77777777" w:rsidR="004400D5" w:rsidRDefault="004400D5" w:rsidP="001C210D">
            <w:pPr>
              <w:jc w:val="left"/>
            </w:pPr>
            <w:r>
              <w:rPr>
                <w:b/>
                <w:sz w:val="16"/>
              </w:rPr>
              <w:t>Figure S-routing-marine-08. ecotoxicity: freshwater, organics - comparative toxic unit for ecosystems (</w:t>
            </w:r>
            <w:proofErr w:type="spellStart"/>
            <w:r>
              <w:rPr>
                <w:b/>
                <w:sz w:val="16"/>
              </w:rPr>
              <w:t>CTUe</w:t>
            </w:r>
            <w:proofErr w:type="spellEnd"/>
            <w:r>
              <w:rPr>
                <w:b/>
                <w:sz w:val="16"/>
              </w:rPr>
              <w:t>).</w:t>
            </w:r>
          </w:p>
        </w:tc>
      </w:tr>
      <w:tr w:rsidR="004400D5" w14:paraId="0B5579C0" w14:textId="77777777" w:rsidTr="0052617F">
        <w:tc>
          <w:tcPr>
            <w:tcW w:w="7771" w:type="dxa"/>
            <w:vAlign w:val="center"/>
          </w:tcPr>
          <w:p w14:paraId="500F954A" w14:textId="77777777" w:rsidR="004400D5" w:rsidRDefault="004400D5" w:rsidP="001C210D">
            <w:pPr>
              <w:spacing w:after="0"/>
              <w:jc w:val="center"/>
            </w:pPr>
            <w:r>
              <w:rPr>
                <w:noProof/>
              </w:rPr>
              <w:drawing>
                <wp:inline distT="0" distB="0" distL="0" distR="0" wp14:anchorId="3BD476E3" wp14:editId="60E1C059">
                  <wp:extent cx="3483428" cy="27432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organics_comparative_toxic_unit_for_ecosystems_ctue_routing_comparison_unstacked.png"/>
                          <pic:cNvPicPr/>
                        </pic:nvPicPr>
                        <pic:blipFill>
                          <a:blip r:embed="rId148"/>
                          <a:stretch>
                            <a:fillRect/>
                          </a:stretch>
                        </pic:blipFill>
                        <pic:spPr>
                          <a:xfrm>
                            <a:off x="0" y="0"/>
                            <a:ext cx="3483428" cy="2743200"/>
                          </a:xfrm>
                          <a:prstGeom prst="rect">
                            <a:avLst/>
                          </a:prstGeom>
                        </pic:spPr>
                      </pic:pic>
                    </a:graphicData>
                  </a:graphic>
                </wp:inline>
              </w:drawing>
            </w:r>
          </w:p>
        </w:tc>
        <w:tc>
          <w:tcPr>
            <w:tcW w:w="7771" w:type="dxa"/>
            <w:vAlign w:val="center"/>
          </w:tcPr>
          <w:p w14:paraId="00DF232F" w14:textId="77777777" w:rsidR="004400D5" w:rsidRDefault="004400D5" w:rsidP="001C210D">
            <w:pPr>
              <w:spacing w:after="0"/>
              <w:jc w:val="center"/>
            </w:pPr>
            <w:r>
              <w:rPr>
                <w:noProof/>
              </w:rPr>
              <w:drawing>
                <wp:inline distT="0" distB="0" distL="0" distR="0" wp14:anchorId="4F9D127D" wp14:editId="57DB1E6D">
                  <wp:extent cx="3483428" cy="27432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organics_comparative_toxic_unit_for_ecosystems_ctue_routing_comparison_stacked.png"/>
                          <pic:cNvPicPr/>
                        </pic:nvPicPr>
                        <pic:blipFill>
                          <a:blip r:embed="rId149"/>
                          <a:stretch>
                            <a:fillRect/>
                          </a:stretch>
                        </pic:blipFill>
                        <pic:spPr>
                          <a:xfrm>
                            <a:off x="0" y="0"/>
                            <a:ext cx="3483428" cy="2743200"/>
                          </a:xfrm>
                          <a:prstGeom prst="rect">
                            <a:avLst/>
                          </a:prstGeom>
                        </pic:spPr>
                      </pic:pic>
                    </a:graphicData>
                  </a:graphic>
                </wp:inline>
              </w:drawing>
            </w:r>
          </w:p>
        </w:tc>
      </w:tr>
      <w:tr w:rsidR="004400D5" w14:paraId="685126F5" w14:textId="77777777" w:rsidTr="0052617F">
        <w:tc>
          <w:tcPr>
            <w:tcW w:w="15542" w:type="dxa"/>
            <w:gridSpan w:val="2"/>
          </w:tcPr>
          <w:p w14:paraId="692C6CA7" w14:textId="77777777" w:rsidR="004400D5" w:rsidRDefault="004400D5" w:rsidP="001C210D">
            <w:pPr>
              <w:jc w:val="left"/>
            </w:pPr>
            <w:r>
              <w:rPr>
                <w:b/>
                <w:sz w:val="16"/>
              </w:rPr>
              <w:t>Figure S-routing-marine-09. energy resources: non-renewable - abiotic depletion potential (ADP): fossil fuels.</w:t>
            </w:r>
          </w:p>
        </w:tc>
      </w:tr>
      <w:tr w:rsidR="004400D5" w14:paraId="18674360" w14:textId="77777777" w:rsidTr="0052617F">
        <w:tc>
          <w:tcPr>
            <w:tcW w:w="7771" w:type="dxa"/>
            <w:vAlign w:val="center"/>
          </w:tcPr>
          <w:p w14:paraId="0C5076E6" w14:textId="77777777" w:rsidR="004400D5" w:rsidRDefault="004400D5" w:rsidP="001C210D">
            <w:pPr>
              <w:spacing w:after="0"/>
              <w:jc w:val="center"/>
            </w:pPr>
            <w:r>
              <w:rPr>
                <w:noProof/>
              </w:rPr>
              <w:lastRenderedPageBreak/>
              <w:drawing>
                <wp:inline distT="0" distB="0" distL="0" distR="0" wp14:anchorId="0C2B0D59" wp14:editId="6AABC953">
                  <wp:extent cx="3483428" cy="27432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nergy_resources_non_renewable_abiotic_depletion_potential_adp_fossil_fuels_routing_comparison_unstacked.png"/>
                          <pic:cNvPicPr/>
                        </pic:nvPicPr>
                        <pic:blipFill>
                          <a:blip r:embed="rId150"/>
                          <a:stretch>
                            <a:fillRect/>
                          </a:stretch>
                        </pic:blipFill>
                        <pic:spPr>
                          <a:xfrm>
                            <a:off x="0" y="0"/>
                            <a:ext cx="3483428" cy="2743200"/>
                          </a:xfrm>
                          <a:prstGeom prst="rect">
                            <a:avLst/>
                          </a:prstGeom>
                        </pic:spPr>
                      </pic:pic>
                    </a:graphicData>
                  </a:graphic>
                </wp:inline>
              </w:drawing>
            </w:r>
          </w:p>
        </w:tc>
        <w:tc>
          <w:tcPr>
            <w:tcW w:w="7771" w:type="dxa"/>
            <w:vAlign w:val="center"/>
          </w:tcPr>
          <w:p w14:paraId="05EE0CA1" w14:textId="77777777" w:rsidR="004400D5" w:rsidRDefault="004400D5" w:rsidP="001C210D">
            <w:pPr>
              <w:spacing w:after="0"/>
              <w:jc w:val="center"/>
            </w:pPr>
            <w:r>
              <w:rPr>
                <w:noProof/>
              </w:rPr>
              <w:drawing>
                <wp:inline distT="0" distB="0" distL="0" distR="0" wp14:anchorId="5B57659E" wp14:editId="42E250E4">
                  <wp:extent cx="3483428" cy="27432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nergy_resources_non_renewable_abiotic_depletion_potential_adp_fossil_fuels_routing_comparison_stacked.png"/>
                          <pic:cNvPicPr/>
                        </pic:nvPicPr>
                        <pic:blipFill>
                          <a:blip r:embed="rId151"/>
                          <a:stretch>
                            <a:fillRect/>
                          </a:stretch>
                        </pic:blipFill>
                        <pic:spPr>
                          <a:xfrm>
                            <a:off x="0" y="0"/>
                            <a:ext cx="3483428" cy="2743200"/>
                          </a:xfrm>
                          <a:prstGeom prst="rect">
                            <a:avLst/>
                          </a:prstGeom>
                        </pic:spPr>
                      </pic:pic>
                    </a:graphicData>
                  </a:graphic>
                </wp:inline>
              </w:drawing>
            </w:r>
          </w:p>
        </w:tc>
      </w:tr>
      <w:tr w:rsidR="004400D5" w14:paraId="5AC8B27D" w14:textId="77777777" w:rsidTr="0052617F">
        <w:tc>
          <w:tcPr>
            <w:tcW w:w="15542" w:type="dxa"/>
            <w:gridSpan w:val="2"/>
          </w:tcPr>
          <w:p w14:paraId="4C9066E8" w14:textId="77777777" w:rsidR="004400D5" w:rsidRDefault="004400D5" w:rsidP="001C210D">
            <w:pPr>
              <w:jc w:val="left"/>
            </w:pPr>
            <w:r>
              <w:rPr>
                <w:b/>
                <w:sz w:val="16"/>
              </w:rPr>
              <w:t>Figure S-routing-marine-10. eutrophication: freshwater - fraction of nutrients reaching freshwater end compartment (P).</w:t>
            </w:r>
          </w:p>
        </w:tc>
      </w:tr>
      <w:tr w:rsidR="004400D5" w14:paraId="4C747171" w14:textId="77777777" w:rsidTr="0052617F">
        <w:tc>
          <w:tcPr>
            <w:tcW w:w="7771" w:type="dxa"/>
            <w:vAlign w:val="center"/>
          </w:tcPr>
          <w:p w14:paraId="607447F0" w14:textId="77777777" w:rsidR="004400D5" w:rsidRDefault="004400D5" w:rsidP="001C210D">
            <w:pPr>
              <w:spacing w:after="0"/>
              <w:jc w:val="center"/>
            </w:pPr>
            <w:r>
              <w:rPr>
                <w:noProof/>
              </w:rPr>
              <w:drawing>
                <wp:inline distT="0" distB="0" distL="0" distR="0" wp14:anchorId="7F460348" wp14:editId="3BF8D3CC">
                  <wp:extent cx="3483428" cy="27432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freshwater_fraction_of_nutrients_reaching_freshwater_end_compartment_p_routing_comparison_unstacked.png"/>
                          <pic:cNvPicPr/>
                        </pic:nvPicPr>
                        <pic:blipFill>
                          <a:blip r:embed="rId152"/>
                          <a:stretch>
                            <a:fillRect/>
                          </a:stretch>
                        </pic:blipFill>
                        <pic:spPr>
                          <a:xfrm>
                            <a:off x="0" y="0"/>
                            <a:ext cx="3483428" cy="2743200"/>
                          </a:xfrm>
                          <a:prstGeom prst="rect">
                            <a:avLst/>
                          </a:prstGeom>
                        </pic:spPr>
                      </pic:pic>
                    </a:graphicData>
                  </a:graphic>
                </wp:inline>
              </w:drawing>
            </w:r>
          </w:p>
        </w:tc>
        <w:tc>
          <w:tcPr>
            <w:tcW w:w="7771" w:type="dxa"/>
            <w:vAlign w:val="center"/>
          </w:tcPr>
          <w:p w14:paraId="67F8BCEB" w14:textId="77777777" w:rsidR="004400D5" w:rsidRDefault="004400D5" w:rsidP="001C210D">
            <w:pPr>
              <w:spacing w:after="0"/>
              <w:jc w:val="center"/>
            </w:pPr>
            <w:r>
              <w:rPr>
                <w:noProof/>
              </w:rPr>
              <w:drawing>
                <wp:inline distT="0" distB="0" distL="0" distR="0" wp14:anchorId="53E20F80" wp14:editId="22798BE6">
                  <wp:extent cx="3483428" cy="27432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freshwater_fraction_of_nutrients_reaching_freshwater_end_compartment_p_routing_comparison_stacked.png"/>
                          <pic:cNvPicPr/>
                        </pic:nvPicPr>
                        <pic:blipFill>
                          <a:blip r:embed="rId153"/>
                          <a:stretch>
                            <a:fillRect/>
                          </a:stretch>
                        </pic:blipFill>
                        <pic:spPr>
                          <a:xfrm>
                            <a:off x="0" y="0"/>
                            <a:ext cx="3483428" cy="2743200"/>
                          </a:xfrm>
                          <a:prstGeom prst="rect">
                            <a:avLst/>
                          </a:prstGeom>
                        </pic:spPr>
                      </pic:pic>
                    </a:graphicData>
                  </a:graphic>
                </wp:inline>
              </w:drawing>
            </w:r>
          </w:p>
        </w:tc>
      </w:tr>
      <w:tr w:rsidR="004400D5" w14:paraId="2D9048C1" w14:textId="77777777" w:rsidTr="0052617F">
        <w:tc>
          <w:tcPr>
            <w:tcW w:w="15542" w:type="dxa"/>
            <w:gridSpan w:val="2"/>
          </w:tcPr>
          <w:p w14:paraId="2A30CF5F" w14:textId="77777777" w:rsidR="004400D5" w:rsidRDefault="004400D5" w:rsidP="001C210D">
            <w:pPr>
              <w:jc w:val="left"/>
            </w:pPr>
            <w:r>
              <w:rPr>
                <w:b/>
                <w:sz w:val="16"/>
              </w:rPr>
              <w:t>Figure S-routing-marine-11. eutrophication: marine - fraction of nutrients reaching marine end compartment (N).</w:t>
            </w:r>
          </w:p>
        </w:tc>
      </w:tr>
      <w:tr w:rsidR="004400D5" w14:paraId="061878BD" w14:textId="77777777" w:rsidTr="0052617F">
        <w:tc>
          <w:tcPr>
            <w:tcW w:w="7771" w:type="dxa"/>
            <w:vAlign w:val="center"/>
          </w:tcPr>
          <w:p w14:paraId="1343D468" w14:textId="77777777" w:rsidR="004400D5" w:rsidRDefault="004400D5" w:rsidP="001C210D">
            <w:pPr>
              <w:spacing w:after="0"/>
              <w:jc w:val="center"/>
            </w:pPr>
            <w:r>
              <w:rPr>
                <w:noProof/>
              </w:rPr>
              <w:lastRenderedPageBreak/>
              <w:drawing>
                <wp:inline distT="0" distB="0" distL="0" distR="0" wp14:anchorId="2BF8CDB3" wp14:editId="02F80906">
                  <wp:extent cx="3483428" cy="27432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marine_fraction_of_nutrients_reaching_marine_end_compartment_n_routing_comparison_unstacked.png"/>
                          <pic:cNvPicPr/>
                        </pic:nvPicPr>
                        <pic:blipFill>
                          <a:blip r:embed="rId154"/>
                          <a:stretch>
                            <a:fillRect/>
                          </a:stretch>
                        </pic:blipFill>
                        <pic:spPr>
                          <a:xfrm>
                            <a:off x="0" y="0"/>
                            <a:ext cx="3483428" cy="2743200"/>
                          </a:xfrm>
                          <a:prstGeom prst="rect">
                            <a:avLst/>
                          </a:prstGeom>
                        </pic:spPr>
                      </pic:pic>
                    </a:graphicData>
                  </a:graphic>
                </wp:inline>
              </w:drawing>
            </w:r>
          </w:p>
        </w:tc>
        <w:tc>
          <w:tcPr>
            <w:tcW w:w="7771" w:type="dxa"/>
            <w:vAlign w:val="center"/>
          </w:tcPr>
          <w:p w14:paraId="2C38476A" w14:textId="77777777" w:rsidR="004400D5" w:rsidRDefault="004400D5" w:rsidP="001C210D">
            <w:pPr>
              <w:spacing w:after="0"/>
              <w:jc w:val="center"/>
            </w:pPr>
            <w:r>
              <w:rPr>
                <w:noProof/>
              </w:rPr>
              <w:drawing>
                <wp:inline distT="0" distB="0" distL="0" distR="0" wp14:anchorId="007ED91D" wp14:editId="1D5BEE47">
                  <wp:extent cx="3483428" cy="27432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marine_fraction_of_nutrients_reaching_marine_end_compartment_n_routing_comparison_stacked.png"/>
                          <pic:cNvPicPr/>
                        </pic:nvPicPr>
                        <pic:blipFill>
                          <a:blip r:embed="rId155"/>
                          <a:stretch>
                            <a:fillRect/>
                          </a:stretch>
                        </pic:blipFill>
                        <pic:spPr>
                          <a:xfrm>
                            <a:off x="0" y="0"/>
                            <a:ext cx="3483428" cy="2743200"/>
                          </a:xfrm>
                          <a:prstGeom prst="rect">
                            <a:avLst/>
                          </a:prstGeom>
                        </pic:spPr>
                      </pic:pic>
                    </a:graphicData>
                  </a:graphic>
                </wp:inline>
              </w:drawing>
            </w:r>
          </w:p>
        </w:tc>
      </w:tr>
      <w:tr w:rsidR="004400D5" w14:paraId="73C7DE12" w14:textId="77777777" w:rsidTr="0052617F">
        <w:tc>
          <w:tcPr>
            <w:tcW w:w="15542" w:type="dxa"/>
            <w:gridSpan w:val="2"/>
          </w:tcPr>
          <w:p w14:paraId="73DCAC38" w14:textId="77777777" w:rsidR="004400D5" w:rsidRDefault="004400D5" w:rsidP="001C210D">
            <w:pPr>
              <w:jc w:val="left"/>
            </w:pPr>
            <w:r>
              <w:rPr>
                <w:b/>
                <w:sz w:val="16"/>
              </w:rPr>
              <w:t>Figure S-routing-marine-12. eutrophication: terrestrial - accumulated exceedance (AE).</w:t>
            </w:r>
          </w:p>
        </w:tc>
      </w:tr>
      <w:tr w:rsidR="004400D5" w14:paraId="77128783" w14:textId="77777777" w:rsidTr="0052617F">
        <w:tc>
          <w:tcPr>
            <w:tcW w:w="7771" w:type="dxa"/>
            <w:vAlign w:val="center"/>
          </w:tcPr>
          <w:p w14:paraId="559F50CC" w14:textId="77777777" w:rsidR="004400D5" w:rsidRDefault="004400D5" w:rsidP="001C210D">
            <w:pPr>
              <w:spacing w:after="0"/>
              <w:jc w:val="center"/>
            </w:pPr>
            <w:r>
              <w:rPr>
                <w:noProof/>
              </w:rPr>
              <w:drawing>
                <wp:inline distT="0" distB="0" distL="0" distR="0" wp14:anchorId="6AD0E1DE" wp14:editId="6A75E4B4">
                  <wp:extent cx="3483428" cy="27432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terrestrial_accumulated_exceedance_ae_routing_comparison_unstacked.png"/>
                          <pic:cNvPicPr/>
                        </pic:nvPicPr>
                        <pic:blipFill>
                          <a:blip r:embed="rId156"/>
                          <a:stretch>
                            <a:fillRect/>
                          </a:stretch>
                        </pic:blipFill>
                        <pic:spPr>
                          <a:xfrm>
                            <a:off x="0" y="0"/>
                            <a:ext cx="3483428" cy="2743200"/>
                          </a:xfrm>
                          <a:prstGeom prst="rect">
                            <a:avLst/>
                          </a:prstGeom>
                        </pic:spPr>
                      </pic:pic>
                    </a:graphicData>
                  </a:graphic>
                </wp:inline>
              </w:drawing>
            </w:r>
          </w:p>
        </w:tc>
        <w:tc>
          <w:tcPr>
            <w:tcW w:w="7771" w:type="dxa"/>
            <w:vAlign w:val="center"/>
          </w:tcPr>
          <w:p w14:paraId="5BEB907A" w14:textId="77777777" w:rsidR="004400D5" w:rsidRDefault="004400D5" w:rsidP="001C210D">
            <w:pPr>
              <w:spacing w:after="0"/>
              <w:jc w:val="center"/>
            </w:pPr>
            <w:r>
              <w:rPr>
                <w:noProof/>
              </w:rPr>
              <w:drawing>
                <wp:inline distT="0" distB="0" distL="0" distR="0" wp14:anchorId="47D3AC2D" wp14:editId="1E810B93">
                  <wp:extent cx="3483428" cy="27432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terrestrial_accumulated_exceedance_ae_routing_comparison_stacked.png"/>
                          <pic:cNvPicPr/>
                        </pic:nvPicPr>
                        <pic:blipFill>
                          <a:blip r:embed="rId157"/>
                          <a:stretch>
                            <a:fillRect/>
                          </a:stretch>
                        </pic:blipFill>
                        <pic:spPr>
                          <a:xfrm>
                            <a:off x="0" y="0"/>
                            <a:ext cx="3483428" cy="2743200"/>
                          </a:xfrm>
                          <a:prstGeom prst="rect">
                            <a:avLst/>
                          </a:prstGeom>
                        </pic:spPr>
                      </pic:pic>
                    </a:graphicData>
                  </a:graphic>
                </wp:inline>
              </w:drawing>
            </w:r>
          </w:p>
        </w:tc>
      </w:tr>
      <w:tr w:rsidR="004400D5" w14:paraId="2F9356FB" w14:textId="77777777" w:rsidTr="0052617F">
        <w:tc>
          <w:tcPr>
            <w:tcW w:w="15542" w:type="dxa"/>
            <w:gridSpan w:val="2"/>
          </w:tcPr>
          <w:p w14:paraId="1CE59BB6" w14:textId="77777777" w:rsidR="004400D5" w:rsidRDefault="004400D5" w:rsidP="001C210D">
            <w:pPr>
              <w:jc w:val="left"/>
            </w:pPr>
            <w:r>
              <w:rPr>
                <w:b/>
                <w:sz w:val="16"/>
              </w:rPr>
              <w:t>Figure S-routing-marine-13. human toxicity: carcinogenic - comparative toxic unit for human (</w:t>
            </w:r>
            <w:proofErr w:type="spellStart"/>
            <w:r>
              <w:rPr>
                <w:b/>
                <w:sz w:val="16"/>
              </w:rPr>
              <w:t>CTUh</w:t>
            </w:r>
            <w:proofErr w:type="spellEnd"/>
            <w:r>
              <w:rPr>
                <w:b/>
                <w:sz w:val="16"/>
              </w:rPr>
              <w:t>).</w:t>
            </w:r>
          </w:p>
        </w:tc>
      </w:tr>
      <w:tr w:rsidR="004400D5" w14:paraId="43488D80" w14:textId="77777777" w:rsidTr="0052617F">
        <w:tc>
          <w:tcPr>
            <w:tcW w:w="7771" w:type="dxa"/>
            <w:vAlign w:val="center"/>
          </w:tcPr>
          <w:p w14:paraId="427CA80F" w14:textId="77777777" w:rsidR="004400D5" w:rsidRDefault="004400D5" w:rsidP="001C210D">
            <w:pPr>
              <w:spacing w:after="0"/>
              <w:jc w:val="center"/>
            </w:pPr>
            <w:r>
              <w:rPr>
                <w:noProof/>
              </w:rPr>
              <w:lastRenderedPageBreak/>
              <w:drawing>
                <wp:inline distT="0" distB="0" distL="0" distR="0" wp14:anchorId="57A5B5FB" wp14:editId="0B434523">
                  <wp:extent cx="3483428" cy="27432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comparative_toxic_unit_for_human_ctuh_routing_comparison_unstacked.png"/>
                          <pic:cNvPicPr/>
                        </pic:nvPicPr>
                        <pic:blipFill>
                          <a:blip r:embed="rId158"/>
                          <a:stretch>
                            <a:fillRect/>
                          </a:stretch>
                        </pic:blipFill>
                        <pic:spPr>
                          <a:xfrm>
                            <a:off x="0" y="0"/>
                            <a:ext cx="3483428" cy="2743200"/>
                          </a:xfrm>
                          <a:prstGeom prst="rect">
                            <a:avLst/>
                          </a:prstGeom>
                        </pic:spPr>
                      </pic:pic>
                    </a:graphicData>
                  </a:graphic>
                </wp:inline>
              </w:drawing>
            </w:r>
          </w:p>
        </w:tc>
        <w:tc>
          <w:tcPr>
            <w:tcW w:w="7771" w:type="dxa"/>
            <w:vAlign w:val="center"/>
          </w:tcPr>
          <w:p w14:paraId="43482F3A" w14:textId="77777777" w:rsidR="004400D5" w:rsidRDefault="004400D5" w:rsidP="001C210D">
            <w:pPr>
              <w:spacing w:after="0"/>
              <w:jc w:val="center"/>
            </w:pPr>
            <w:r>
              <w:rPr>
                <w:noProof/>
              </w:rPr>
              <w:drawing>
                <wp:inline distT="0" distB="0" distL="0" distR="0" wp14:anchorId="2EC01939" wp14:editId="1A945A74">
                  <wp:extent cx="3483428" cy="27432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comparative_toxic_unit_for_human_ctuh_routing_comparison_stacked.png"/>
                          <pic:cNvPicPr/>
                        </pic:nvPicPr>
                        <pic:blipFill>
                          <a:blip r:embed="rId159"/>
                          <a:stretch>
                            <a:fillRect/>
                          </a:stretch>
                        </pic:blipFill>
                        <pic:spPr>
                          <a:xfrm>
                            <a:off x="0" y="0"/>
                            <a:ext cx="3483428" cy="2743200"/>
                          </a:xfrm>
                          <a:prstGeom prst="rect">
                            <a:avLst/>
                          </a:prstGeom>
                        </pic:spPr>
                      </pic:pic>
                    </a:graphicData>
                  </a:graphic>
                </wp:inline>
              </w:drawing>
            </w:r>
          </w:p>
        </w:tc>
      </w:tr>
      <w:tr w:rsidR="004400D5" w14:paraId="4E07F7C2" w14:textId="77777777" w:rsidTr="0052617F">
        <w:tc>
          <w:tcPr>
            <w:tcW w:w="15542" w:type="dxa"/>
            <w:gridSpan w:val="2"/>
          </w:tcPr>
          <w:p w14:paraId="516941A3" w14:textId="77777777" w:rsidR="004400D5" w:rsidRDefault="004400D5" w:rsidP="001C210D">
            <w:pPr>
              <w:jc w:val="left"/>
            </w:pPr>
            <w:r>
              <w:rPr>
                <w:b/>
                <w:sz w:val="16"/>
              </w:rPr>
              <w:t>Figure S-routing-marine-14. human toxicity: carcinogenic, inorganics - comparative toxic unit for human (</w:t>
            </w:r>
            <w:proofErr w:type="spellStart"/>
            <w:r>
              <w:rPr>
                <w:b/>
                <w:sz w:val="16"/>
              </w:rPr>
              <w:t>CTUh</w:t>
            </w:r>
            <w:proofErr w:type="spellEnd"/>
            <w:r>
              <w:rPr>
                <w:b/>
                <w:sz w:val="16"/>
              </w:rPr>
              <w:t>).</w:t>
            </w:r>
          </w:p>
        </w:tc>
      </w:tr>
      <w:tr w:rsidR="004400D5" w14:paraId="09700534" w14:textId="77777777" w:rsidTr="0052617F">
        <w:tc>
          <w:tcPr>
            <w:tcW w:w="7771" w:type="dxa"/>
            <w:vAlign w:val="center"/>
          </w:tcPr>
          <w:p w14:paraId="22B8BCBF" w14:textId="77777777" w:rsidR="004400D5" w:rsidRDefault="004400D5" w:rsidP="001C210D">
            <w:pPr>
              <w:spacing w:after="0"/>
              <w:jc w:val="center"/>
            </w:pPr>
            <w:r>
              <w:rPr>
                <w:noProof/>
              </w:rPr>
              <w:drawing>
                <wp:inline distT="0" distB="0" distL="0" distR="0" wp14:anchorId="485ED734" wp14:editId="7972AF2B">
                  <wp:extent cx="3483428" cy="27432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inorganics_comparative_toxic_unit_for_human_ctuh_routing_comparison_unstacked.png"/>
                          <pic:cNvPicPr/>
                        </pic:nvPicPr>
                        <pic:blipFill>
                          <a:blip r:embed="rId160"/>
                          <a:stretch>
                            <a:fillRect/>
                          </a:stretch>
                        </pic:blipFill>
                        <pic:spPr>
                          <a:xfrm>
                            <a:off x="0" y="0"/>
                            <a:ext cx="3483428" cy="2743200"/>
                          </a:xfrm>
                          <a:prstGeom prst="rect">
                            <a:avLst/>
                          </a:prstGeom>
                        </pic:spPr>
                      </pic:pic>
                    </a:graphicData>
                  </a:graphic>
                </wp:inline>
              </w:drawing>
            </w:r>
          </w:p>
        </w:tc>
        <w:tc>
          <w:tcPr>
            <w:tcW w:w="7771" w:type="dxa"/>
            <w:vAlign w:val="center"/>
          </w:tcPr>
          <w:p w14:paraId="242DBB1D" w14:textId="77777777" w:rsidR="004400D5" w:rsidRDefault="004400D5" w:rsidP="001C210D">
            <w:pPr>
              <w:spacing w:after="0"/>
              <w:jc w:val="center"/>
            </w:pPr>
            <w:r>
              <w:rPr>
                <w:noProof/>
              </w:rPr>
              <w:drawing>
                <wp:inline distT="0" distB="0" distL="0" distR="0" wp14:anchorId="3FB6F730" wp14:editId="6935BBEF">
                  <wp:extent cx="3483428" cy="27432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inorganics_comparative_toxic_unit_for_human_ctuh_routing_comparison_stacked.png"/>
                          <pic:cNvPicPr/>
                        </pic:nvPicPr>
                        <pic:blipFill>
                          <a:blip r:embed="rId161"/>
                          <a:stretch>
                            <a:fillRect/>
                          </a:stretch>
                        </pic:blipFill>
                        <pic:spPr>
                          <a:xfrm>
                            <a:off x="0" y="0"/>
                            <a:ext cx="3483428" cy="2743200"/>
                          </a:xfrm>
                          <a:prstGeom prst="rect">
                            <a:avLst/>
                          </a:prstGeom>
                        </pic:spPr>
                      </pic:pic>
                    </a:graphicData>
                  </a:graphic>
                </wp:inline>
              </w:drawing>
            </w:r>
          </w:p>
        </w:tc>
      </w:tr>
      <w:tr w:rsidR="004400D5" w14:paraId="56B71A5C" w14:textId="77777777" w:rsidTr="0052617F">
        <w:tc>
          <w:tcPr>
            <w:tcW w:w="15542" w:type="dxa"/>
            <w:gridSpan w:val="2"/>
          </w:tcPr>
          <w:p w14:paraId="2984622D" w14:textId="77777777" w:rsidR="004400D5" w:rsidRDefault="004400D5" w:rsidP="001C210D">
            <w:pPr>
              <w:jc w:val="left"/>
            </w:pPr>
            <w:r>
              <w:rPr>
                <w:b/>
                <w:sz w:val="16"/>
              </w:rPr>
              <w:t>Figure S-routing-marine-15. human toxicity: carcinogenic, organics - comparative toxic unit for human (</w:t>
            </w:r>
            <w:proofErr w:type="spellStart"/>
            <w:r>
              <w:rPr>
                <w:b/>
                <w:sz w:val="16"/>
              </w:rPr>
              <w:t>CTUh</w:t>
            </w:r>
            <w:proofErr w:type="spellEnd"/>
            <w:r>
              <w:rPr>
                <w:b/>
                <w:sz w:val="16"/>
              </w:rPr>
              <w:t>).</w:t>
            </w:r>
          </w:p>
        </w:tc>
      </w:tr>
      <w:tr w:rsidR="004400D5" w14:paraId="2BBB160F" w14:textId="77777777" w:rsidTr="0052617F">
        <w:tc>
          <w:tcPr>
            <w:tcW w:w="7771" w:type="dxa"/>
            <w:vAlign w:val="center"/>
          </w:tcPr>
          <w:p w14:paraId="497B163C" w14:textId="77777777" w:rsidR="004400D5" w:rsidRDefault="004400D5" w:rsidP="001C210D">
            <w:pPr>
              <w:spacing w:after="0"/>
              <w:jc w:val="center"/>
            </w:pPr>
            <w:r>
              <w:rPr>
                <w:noProof/>
              </w:rPr>
              <w:lastRenderedPageBreak/>
              <w:drawing>
                <wp:inline distT="0" distB="0" distL="0" distR="0" wp14:anchorId="4D77B550" wp14:editId="047390B6">
                  <wp:extent cx="3483428" cy="27432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organics_comparative_toxic_unit_for_human_ctuh_routing_comparison_unstacked.png"/>
                          <pic:cNvPicPr/>
                        </pic:nvPicPr>
                        <pic:blipFill>
                          <a:blip r:embed="rId162"/>
                          <a:stretch>
                            <a:fillRect/>
                          </a:stretch>
                        </pic:blipFill>
                        <pic:spPr>
                          <a:xfrm>
                            <a:off x="0" y="0"/>
                            <a:ext cx="3483428" cy="2743200"/>
                          </a:xfrm>
                          <a:prstGeom prst="rect">
                            <a:avLst/>
                          </a:prstGeom>
                        </pic:spPr>
                      </pic:pic>
                    </a:graphicData>
                  </a:graphic>
                </wp:inline>
              </w:drawing>
            </w:r>
          </w:p>
        </w:tc>
        <w:tc>
          <w:tcPr>
            <w:tcW w:w="7771" w:type="dxa"/>
            <w:vAlign w:val="center"/>
          </w:tcPr>
          <w:p w14:paraId="1210DB55" w14:textId="77777777" w:rsidR="004400D5" w:rsidRDefault="004400D5" w:rsidP="001C210D">
            <w:pPr>
              <w:spacing w:after="0"/>
              <w:jc w:val="center"/>
            </w:pPr>
            <w:r>
              <w:rPr>
                <w:noProof/>
              </w:rPr>
              <w:drawing>
                <wp:inline distT="0" distB="0" distL="0" distR="0" wp14:anchorId="60835701" wp14:editId="29ADA6BE">
                  <wp:extent cx="3483428" cy="27432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organics_comparative_toxic_unit_for_human_ctuh_routing_comparison_stacked.png"/>
                          <pic:cNvPicPr/>
                        </pic:nvPicPr>
                        <pic:blipFill>
                          <a:blip r:embed="rId163"/>
                          <a:stretch>
                            <a:fillRect/>
                          </a:stretch>
                        </pic:blipFill>
                        <pic:spPr>
                          <a:xfrm>
                            <a:off x="0" y="0"/>
                            <a:ext cx="3483428" cy="2743200"/>
                          </a:xfrm>
                          <a:prstGeom prst="rect">
                            <a:avLst/>
                          </a:prstGeom>
                        </pic:spPr>
                      </pic:pic>
                    </a:graphicData>
                  </a:graphic>
                </wp:inline>
              </w:drawing>
            </w:r>
          </w:p>
        </w:tc>
      </w:tr>
      <w:tr w:rsidR="004400D5" w14:paraId="0B698F33" w14:textId="77777777" w:rsidTr="0052617F">
        <w:tc>
          <w:tcPr>
            <w:tcW w:w="15542" w:type="dxa"/>
            <w:gridSpan w:val="2"/>
          </w:tcPr>
          <w:p w14:paraId="434A108B" w14:textId="77777777" w:rsidR="004400D5" w:rsidRDefault="004400D5" w:rsidP="001C210D">
            <w:pPr>
              <w:jc w:val="left"/>
            </w:pPr>
            <w:r>
              <w:rPr>
                <w:b/>
                <w:sz w:val="16"/>
              </w:rPr>
              <w:t>Figure S-routing-marine-16. human toxicity: non-carcinogenic - comparative toxic unit for human (</w:t>
            </w:r>
            <w:proofErr w:type="spellStart"/>
            <w:r>
              <w:rPr>
                <w:b/>
                <w:sz w:val="16"/>
              </w:rPr>
              <w:t>CTUh</w:t>
            </w:r>
            <w:proofErr w:type="spellEnd"/>
            <w:r>
              <w:rPr>
                <w:b/>
                <w:sz w:val="16"/>
              </w:rPr>
              <w:t>).</w:t>
            </w:r>
          </w:p>
        </w:tc>
      </w:tr>
      <w:tr w:rsidR="004400D5" w14:paraId="08E460E8" w14:textId="77777777" w:rsidTr="0052617F">
        <w:tc>
          <w:tcPr>
            <w:tcW w:w="7771" w:type="dxa"/>
            <w:vAlign w:val="center"/>
          </w:tcPr>
          <w:p w14:paraId="6BA73DD0" w14:textId="77777777" w:rsidR="004400D5" w:rsidRDefault="004400D5" w:rsidP="001C210D">
            <w:pPr>
              <w:spacing w:after="0"/>
              <w:jc w:val="center"/>
            </w:pPr>
            <w:r>
              <w:rPr>
                <w:noProof/>
              </w:rPr>
              <w:drawing>
                <wp:inline distT="0" distB="0" distL="0" distR="0" wp14:anchorId="05E297A6" wp14:editId="60E07FDD">
                  <wp:extent cx="3483428" cy="27432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comparative_toxic_unit_for_human_ctuh_routing_comparison_unstacked.png"/>
                          <pic:cNvPicPr/>
                        </pic:nvPicPr>
                        <pic:blipFill>
                          <a:blip r:embed="rId164"/>
                          <a:stretch>
                            <a:fillRect/>
                          </a:stretch>
                        </pic:blipFill>
                        <pic:spPr>
                          <a:xfrm>
                            <a:off x="0" y="0"/>
                            <a:ext cx="3483428" cy="2743200"/>
                          </a:xfrm>
                          <a:prstGeom prst="rect">
                            <a:avLst/>
                          </a:prstGeom>
                        </pic:spPr>
                      </pic:pic>
                    </a:graphicData>
                  </a:graphic>
                </wp:inline>
              </w:drawing>
            </w:r>
          </w:p>
        </w:tc>
        <w:tc>
          <w:tcPr>
            <w:tcW w:w="7771" w:type="dxa"/>
            <w:vAlign w:val="center"/>
          </w:tcPr>
          <w:p w14:paraId="09FB4DCD" w14:textId="77777777" w:rsidR="004400D5" w:rsidRDefault="004400D5" w:rsidP="001C210D">
            <w:pPr>
              <w:spacing w:after="0"/>
              <w:jc w:val="center"/>
            </w:pPr>
            <w:r>
              <w:rPr>
                <w:noProof/>
              </w:rPr>
              <w:drawing>
                <wp:inline distT="0" distB="0" distL="0" distR="0" wp14:anchorId="1F9622D8" wp14:editId="5DC37EFA">
                  <wp:extent cx="3483428" cy="27432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comparative_toxic_unit_for_human_ctuh_routing_comparison_stacked.png"/>
                          <pic:cNvPicPr/>
                        </pic:nvPicPr>
                        <pic:blipFill>
                          <a:blip r:embed="rId165"/>
                          <a:stretch>
                            <a:fillRect/>
                          </a:stretch>
                        </pic:blipFill>
                        <pic:spPr>
                          <a:xfrm>
                            <a:off x="0" y="0"/>
                            <a:ext cx="3483428" cy="2743200"/>
                          </a:xfrm>
                          <a:prstGeom prst="rect">
                            <a:avLst/>
                          </a:prstGeom>
                        </pic:spPr>
                      </pic:pic>
                    </a:graphicData>
                  </a:graphic>
                </wp:inline>
              </w:drawing>
            </w:r>
          </w:p>
        </w:tc>
      </w:tr>
      <w:tr w:rsidR="004400D5" w14:paraId="3D21E092" w14:textId="77777777" w:rsidTr="0052617F">
        <w:tc>
          <w:tcPr>
            <w:tcW w:w="15542" w:type="dxa"/>
            <w:gridSpan w:val="2"/>
          </w:tcPr>
          <w:p w14:paraId="3C6656EF" w14:textId="77777777" w:rsidR="004400D5" w:rsidRDefault="004400D5" w:rsidP="001C210D">
            <w:pPr>
              <w:jc w:val="left"/>
            </w:pPr>
            <w:r>
              <w:rPr>
                <w:b/>
                <w:sz w:val="16"/>
              </w:rPr>
              <w:t>Figure S-routing-marine-17. human toxicity: non-carcinogenic, inorganics - comparative toxic unit for human (</w:t>
            </w:r>
            <w:proofErr w:type="spellStart"/>
            <w:r>
              <w:rPr>
                <w:b/>
                <w:sz w:val="16"/>
              </w:rPr>
              <w:t>CTUh</w:t>
            </w:r>
            <w:proofErr w:type="spellEnd"/>
            <w:r>
              <w:rPr>
                <w:b/>
                <w:sz w:val="16"/>
              </w:rPr>
              <w:t>).</w:t>
            </w:r>
          </w:p>
        </w:tc>
      </w:tr>
      <w:tr w:rsidR="004400D5" w14:paraId="5D87C105" w14:textId="77777777" w:rsidTr="0052617F">
        <w:tc>
          <w:tcPr>
            <w:tcW w:w="7771" w:type="dxa"/>
            <w:vAlign w:val="center"/>
          </w:tcPr>
          <w:p w14:paraId="57B12165" w14:textId="77777777" w:rsidR="004400D5" w:rsidRDefault="004400D5" w:rsidP="001C210D">
            <w:pPr>
              <w:spacing w:after="0"/>
              <w:jc w:val="center"/>
            </w:pPr>
            <w:r>
              <w:rPr>
                <w:noProof/>
              </w:rPr>
              <w:lastRenderedPageBreak/>
              <w:drawing>
                <wp:inline distT="0" distB="0" distL="0" distR="0" wp14:anchorId="2FEB13BD" wp14:editId="6861081C">
                  <wp:extent cx="3483428" cy="27432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inorganics_comparative_toxic_unit_for_human_ctuh_routing_comparison_unstacked.png"/>
                          <pic:cNvPicPr/>
                        </pic:nvPicPr>
                        <pic:blipFill>
                          <a:blip r:embed="rId166"/>
                          <a:stretch>
                            <a:fillRect/>
                          </a:stretch>
                        </pic:blipFill>
                        <pic:spPr>
                          <a:xfrm>
                            <a:off x="0" y="0"/>
                            <a:ext cx="3483428" cy="2743200"/>
                          </a:xfrm>
                          <a:prstGeom prst="rect">
                            <a:avLst/>
                          </a:prstGeom>
                        </pic:spPr>
                      </pic:pic>
                    </a:graphicData>
                  </a:graphic>
                </wp:inline>
              </w:drawing>
            </w:r>
          </w:p>
        </w:tc>
        <w:tc>
          <w:tcPr>
            <w:tcW w:w="7771" w:type="dxa"/>
            <w:vAlign w:val="center"/>
          </w:tcPr>
          <w:p w14:paraId="415B1029" w14:textId="77777777" w:rsidR="004400D5" w:rsidRDefault="004400D5" w:rsidP="001C210D">
            <w:pPr>
              <w:spacing w:after="0"/>
              <w:jc w:val="center"/>
            </w:pPr>
            <w:r>
              <w:rPr>
                <w:noProof/>
              </w:rPr>
              <w:drawing>
                <wp:inline distT="0" distB="0" distL="0" distR="0" wp14:anchorId="6D80FAD4" wp14:editId="08237CFF">
                  <wp:extent cx="3483428" cy="27432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inorganics_comparative_toxic_unit_for_human_ctuh_routing_comparison_stacked.png"/>
                          <pic:cNvPicPr/>
                        </pic:nvPicPr>
                        <pic:blipFill>
                          <a:blip r:embed="rId167"/>
                          <a:stretch>
                            <a:fillRect/>
                          </a:stretch>
                        </pic:blipFill>
                        <pic:spPr>
                          <a:xfrm>
                            <a:off x="0" y="0"/>
                            <a:ext cx="3483428" cy="2743200"/>
                          </a:xfrm>
                          <a:prstGeom prst="rect">
                            <a:avLst/>
                          </a:prstGeom>
                        </pic:spPr>
                      </pic:pic>
                    </a:graphicData>
                  </a:graphic>
                </wp:inline>
              </w:drawing>
            </w:r>
          </w:p>
        </w:tc>
      </w:tr>
      <w:tr w:rsidR="004400D5" w14:paraId="1F04F87F" w14:textId="77777777" w:rsidTr="0052617F">
        <w:tc>
          <w:tcPr>
            <w:tcW w:w="15542" w:type="dxa"/>
            <w:gridSpan w:val="2"/>
          </w:tcPr>
          <w:p w14:paraId="3C04CBA3" w14:textId="77777777" w:rsidR="004400D5" w:rsidRDefault="004400D5" w:rsidP="001C210D">
            <w:pPr>
              <w:jc w:val="left"/>
            </w:pPr>
            <w:r>
              <w:rPr>
                <w:b/>
                <w:sz w:val="16"/>
              </w:rPr>
              <w:t>Figure S-routing-marine-18. human toxicity: non-carcinogenic, organics - comparative toxic unit for human (</w:t>
            </w:r>
            <w:proofErr w:type="spellStart"/>
            <w:r>
              <w:rPr>
                <w:b/>
                <w:sz w:val="16"/>
              </w:rPr>
              <w:t>CTUh</w:t>
            </w:r>
            <w:proofErr w:type="spellEnd"/>
            <w:r>
              <w:rPr>
                <w:b/>
                <w:sz w:val="16"/>
              </w:rPr>
              <w:t>).</w:t>
            </w:r>
          </w:p>
        </w:tc>
      </w:tr>
      <w:tr w:rsidR="004400D5" w14:paraId="2E96952D" w14:textId="77777777" w:rsidTr="0052617F">
        <w:tc>
          <w:tcPr>
            <w:tcW w:w="7771" w:type="dxa"/>
            <w:vAlign w:val="center"/>
          </w:tcPr>
          <w:p w14:paraId="1CBDD02B" w14:textId="77777777" w:rsidR="004400D5" w:rsidRDefault="004400D5" w:rsidP="001C210D">
            <w:pPr>
              <w:spacing w:after="0"/>
              <w:jc w:val="center"/>
            </w:pPr>
            <w:r>
              <w:rPr>
                <w:noProof/>
              </w:rPr>
              <w:drawing>
                <wp:inline distT="0" distB="0" distL="0" distR="0" wp14:anchorId="547EFE5B" wp14:editId="26F0B9FC">
                  <wp:extent cx="3483428" cy="27432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organics_comparative_toxic_unit_for_human_ctuh_routing_comparison_unstacked.png"/>
                          <pic:cNvPicPr/>
                        </pic:nvPicPr>
                        <pic:blipFill>
                          <a:blip r:embed="rId168"/>
                          <a:stretch>
                            <a:fillRect/>
                          </a:stretch>
                        </pic:blipFill>
                        <pic:spPr>
                          <a:xfrm>
                            <a:off x="0" y="0"/>
                            <a:ext cx="3483428" cy="2743200"/>
                          </a:xfrm>
                          <a:prstGeom prst="rect">
                            <a:avLst/>
                          </a:prstGeom>
                        </pic:spPr>
                      </pic:pic>
                    </a:graphicData>
                  </a:graphic>
                </wp:inline>
              </w:drawing>
            </w:r>
          </w:p>
        </w:tc>
        <w:tc>
          <w:tcPr>
            <w:tcW w:w="7771" w:type="dxa"/>
            <w:vAlign w:val="center"/>
          </w:tcPr>
          <w:p w14:paraId="38E7C5A8" w14:textId="77777777" w:rsidR="004400D5" w:rsidRDefault="004400D5" w:rsidP="001C210D">
            <w:pPr>
              <w:spacing w:after="0"/>
              <w:jc w:val="center"/>
            </w:pPr>
            <w:r>
              <w:rPr>
                <w:noProof/>
              </w:rPr>
              <w:drawing>
                <wp:inline distT="0" distB="0" distL="0" distR="0" wp14:anchorId="7C1BB29D" wp14:editId="4DA02878">
                  <wp:extent cx="3483428" cy="27432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organics_comparative_toxic_unit_for_human_ctuh_routing_comparison_stacked.png"/>
                          <pic:cNvPicPr/>
                        </pic:nvPicPr>
                        <pic:blipFill>
                          <a:blip r:embed="rId169"/>
                          <a:stretch>
                            <a:fillRect/>
                          </a:stretch>
                        </pic:blipFill>
                        <pic:spPr>
                          <a:xfrm>
                            <a:off x="0" y="0"/>
                            <a:ext cx="3483428" cy="2743200"/>
                          </a:xfrm>
                          <a:prstGeom prst="rect">
                            <a:avLst/>
                          </a:prstGeom>
                        </pic:spPr>
                      </pic:pic>
                    </a:graphicData>
                  </a:graphic>
                </wp:inline>
              </w:drawing>
            </w:r>
          </w:p>
        </w:tc>
      </w:tr>
      <w:tr w:rsidR="004400D5" w14:paraId="40AB89E6" w14:textId="77777777" w:rsidTr="0052617F">
        <w:tc>
          <w:tcPr>
            <w:tcW w:w="15542" w:type="dxa"/>
            <w:gridSpan w:val="2"/>
          </w:tcPr>
          <w:p w14:paraId="61E59C56" w14:textId="77777777" w:rsidR="004400D5" w:rsidRDefault="004400D5" w:rsidP="001C210D">
            <w:pPr>
              <w:jc w:val="left"/>
            </w:pPr>
            <w:r>
              <w:rPr>
                <w:b/>
                <w:sz w:val="16"/>
              </w:rPr>
              <w:t xml:space="preserve">Figure S-routing-marine-19. </w:t>
            </w:r>
            <w:proofErr w:type="spellStart"/>
            <w:r>
              <w:rPr>
                <w:b/>
                <w:sz w:val="16"/>
              </w:rPr>
              <w:t>ionising</w:t>
            </w:r>
            <w:proofErr w:type="spellEnd"/>
            <w:r>
              <w:rPr>
                <w:b/>
                <w:sz w:val="16"/>
              </w:rPr>
              <w:t xml:space="preserve"> radiation: human health - human exposure efficiency relative to u235.</w:t>
            </w:r>
          </w:p>
        </w:tc>
      </w:tr>
      <w:tr w:rsidR="004400D5" w14:paraId="407EE9D3" w14:textId="77777777" w:rsidTr="0052617F">
        <w:tc>
          <w:tcPr>
            <w:tcW w:w="7771" w:type="dxa"/>
            <w:vAlign w:val="center"/>
          </w:tcPr>
          <w:p w14:paraId="0FD623A9" w14:textId="77777777" w:rsidR="004400D5" w:rsidRDefault="004400D5" w:rsidP="001C210D">
            <w:pPr>
              <w:spacing w:after="0"/>
              <w:jc w:val="center"/>
            </w:pPr>
            <w:r>
              <w:rPr>
                <w:noProof/>
              </w:rPr>
              <w:lastRenderedPageBreak/>
              <w:drawing>
                <wp:inline distT="0" distB="0" distL="0" distR="0" wp14:anchorId="143D71F7" wp14:editId="1449D990">
                  <wp:extent cx="3483428" cy="27432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ionising_radiation_human_health_human_exposure_efficiency_relative_to_u235_routing_comparison_unstacked.png"/>
                          <pic:cNvPicPr/>
                        </pic:nvPicPr>
                        <pic:blipFill>
                          <a:blip r:embed="rId170"/>
                          <a:stretch>
                            <a:fillRect/>
                          </a:stretch>
                        </pic:blipFill>
                        <pic:spPr>
                          <a:xfrm>
                            <a:off x="0" y="0"/>
                            <a:ext cx="3483428" cy="2743200"/>
                          </a:xfrm>
                          <a:prstGeom prst="rect">
                            <a:avLst/>
                          </a:prstGeom>
                        </pic:spPr>
                      </pic:pic>
                    </a:graphicData>
                  </a:graphic>
                </wp:inline>
              </w:drawing>
            </w:r>
          </w:p>
        </w:tc>
        <w:tc>
          <w:tcPr>
            <w:tcW w:w="7771" w:type="dxa"/>
            <w:vAlign w:val="center"/>
          </w:tcPr>
          <w:p w14:paraId="2522BB79" w14:textId="77777777" w:rsidR="004400D5" w:rsidRDefault="004400D5" w:rsidP="001C210D">
            <w:pPr>
              <w:spacing w:after="0"/>
              <w:jc w:val="center"/>
            </w:pPr>
            <w:r>
              <w:rPr>
                <w:noProof/>
              </w:rPr>
              <w:drawing>
                <wp:inline distT="0" distB="0" distL="0" distR="0" wp14:anchorId="702C3211" wp14:editId="6A899E53">
                  <wp:extent cx="3483428" cy="27432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ionising_radiation_human_health_human_exposure_efficiency_relative_to_u235_routing_comparison_stacked.png"/>
                          <pic:cNvPicPr/>
                        </pic:nvPicPr>
                        <pic:blipFill>
                          <a:blip r:embed="rId171"/>
                          <a:stretch>
                            <a:fillRect/>
                          </a:stretch>
                        </pic:blipFill>
                        <pic:spPr>
                          <a:xfrm>
                            <a:off x="0" y="0"/>
                            <a:ext cx="3483428" cy="2743200"/>
                          </a:xfrm>
                          <a:prstGeom prst="rect">
                            <a:avLst/>
                          </a:prstGeom>
                        </pic:spPr>
                      </pic:pic>
                    </a:graphicData>
                  </a:graphic>
                </wp:inline>
              </w:drawing>
            </w:r>
          </w:p>
        </w:tc>
      </w:tr>
      <w:tr w:rsidR="004400D5" w14:paraId="3D742278" w14:textId="77777777" w:rsidTr="0052617F">
        <w:tc>
          <w:tcPr>
            <w:tcW w:w="15542" w:type="dxa"/>
            <w:gridSpan w:val="2"/>
          </w:tcPr>
          <w:p w14:paraId="5FDD0776" w14:textId="77777777" w:rsidR="004400D5" w:rsidRDefault="004400D5" w:rsidP="001C210D">
            <w:pPr>
              <w:jc w:val="left"/>
            </w:pPr>
            <w:r>
              <w:rPr>
                <w:b/>
                <w:sz w:val="16"/>
              </w:rPr>
              <w:t>Figure S-routing-marine-20. land use - soil quality index.</w:t>
            </w:r>
          </w:p>
        </w:tc>
      </w:tr>
      <w:tr w:rsidR="004400D5" w14:paraId="7CBFBE14" w14:textId="77777777" w:rsidTr="0052617F">
        <w:tc>
          <w:tcPr>
            <w:tcW w:w="7771" w:type="dxa"/>
            <w:vAlign w:val="center"/>
          </w:tcPr>
          <w:p w14:paraId="2B5B1EF3" w14:textId="77777777" w:rsidR="004400D5" w:rsidRDefault="004400D5" w:rsidP="001C210D">
            <w:pPr>
              <w:spacing w:after="0"/>
              <w:jc w:val="center"/>
            </w:pPr>
            <w:r>
              <w:rPr>
                <w:noProof/>
              </w:rPr>
              <w:drawing>
                <wp:inline distT="0" distB="0" distL="0" distR="0" wp14:anchorId="3C8BC26D" wp14:editId="58AE9521">
                  <wp:extent cx="3483428" cy="27432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land_use_soil_quality_index_routing_comparison_unstacked.png"/>
                          <pic:cNvPicPr/>
                        </pic:nvPicPr>
                        <pic:blipFill>
                          <a:blip r:embed="rId172"/>
                          <a:stretch>
                            <a:fillRect/>
                          </a:stretch>
                        </pic:blipFill>
                        <pic:spPr>
                          <a:xfrm>
                            <a:off x="0" y="0"/>
                            <a:ext cx="3483428" cy="2743200"/>
                          </a:xfrm>
                          <a:prstGeom prst="rect">
                            <a:avLst/>
                          </a:prstGeom>
                        </pic:spPr>
                      </pic:pic>
                    </a:graphicData>
                  </a:graphic>
                </wp:inline>
              </w:drawing>
            </w:r>
          </w:p>
        </w:tc>
        <w:tc>
          <w:tcPr>
            <w:tcW w:w="7771" w:type="dxa"/>
            <w:vAlign w:val="center"/>
          </w:tcPr>
          <w:p w14:paraId="61BF2372" w14:textId="77777777" w:rsidR="004400D5" w:rsidRDefault="004400D5" w:rsidP="001C210D">
            <w:pPr>
              <w:spacing w:after="0"/>
              <w:jc w:val="center"/>
            </w:pPr>
            <w:r>
              <w:rPr>
                <w:noProof/>
              </w:rPr>
              <w:drawing>
                <wp:inline distT="0" distB="0" distL="0" distR="0" wp14:anchorId="3C9C0268" wp14:editId="48152D71">
                  <wp:extent cx="3483428" cy="27432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land_use_soil_quality_index_routing_comparison_stacked.png"/>
                          <pic:cNvPicPr/>
                        </pic:nvPicPr>
                        <pic:blipFill>
                          <a:blip r:embed="rId173"/>
                          <a:stretch>
                            <a:fillRect/>
                          </a:stretch>
                        </pic:blipFill>
                        <pic:spPr>
                          <a:xfrm>
                            <a:off x="0" y="0"/>
                            <a:ext cx="3483428" cy="2743200"/>
                          </a:xfrm>
                          <a:prstGeom prst="rect">
                            <a:avLst/>
                          </a:prstGeom>
                        </pic:spPr>
                      </pic:pic>
                    </a:graphicData>
                  </a:graphic>
                </wp:inline>
              </w:drawing>
            </w:r>
          </w:p>
        </w:tc>
      </w:tr>
      <w:tr w:rsidR="004400D5" w14:paraId="11029C25" w14:textId="77777777" w:rsidTr="0052617F">
        <w:tc>
          <w:tcPr>
            <w:tcW w:w="15542" w:type="dxa"/>
            <w:gridSpan w:val="2"/>
          </w:tcPr>
          <w:p w14:paraId="62EBF428" w14:textId="77777777" w:rsidR="004400D5" w:rsidRDefault="004400D5" w:rsidP="001C210D">
            <w:pPr>
              <w:jc w:val="left"/>
            </w:pPr>
            <w:r>
              <w:rPr>
                <w:b/>
                <w:sz w:val="16"/>
              </w:rPr>
              <w:t>Figure S-routing-marine-21. material resources: metals/minerals - abiotic depletion potential (ADP): elements (ultimate reserves).</w:t>
            </w:r>
          </w:p>
        </w:tc>
      </w:tr>
      <w:tr w:rsidR="004400D5" w14:paraId="0915B76F" w14:textId="77777777" w:rsidTr="0052617F">
        <w:tc>
          <w:tcPr>
            <w:tcW w:w="7771" w:type="dxa"/>
            <w:vAlign w:val="center"/>
          </w:tcPr>
          <w:p w14:paraId="2C2CE35A" w14:textId="77777777" w:rsidR="004400D5" w:rsidRDefault="004400D5" w:rsidP="001C210D">
            <w:pPr>
              <w:spacing w:after="0"/>
              <w:jc w:val="center"/>
            </w:pPr>
            <w:r>
              <w:rPr>
                <w:noProof/>
              </w:rPr>
              <w:lastRenderedPageBreak/>
              <w:drawing>
                <wp:inline distT="0" distB="0" distL="0" distR="0" wp14:anchorId="6F7D23D6" wp14:editId="2ED4B624">
                  <wp:extent cx="3483428" cy="2743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material_resources_metals_minerals_abiotic_depletion_potential_adp_elements_ultimate_reserve_routing_comparison_unstacked.png"/>
                          <pic:cNvPicPr/>
                        </pic:nvPicPr>
                        <pic:blipFill>
                          <a:blip r:embed="rId174"/>
                          <a:stretch>
                            <a:fillRect/>
                          </a:stretch>
                        </pic:blipFill>
                        <pic:spPr>
                          <a:xfrm>
                            <a:off x="0" y="0"/>
                            <a:ext cx="3483428" cy="2743200"/>
                          </a:xfrm>
                          <a:prstGeom prst="rect">
                            <a:avLst/>
                          </a:prstGeom>
                        </pic:spPr>
                      </pic:pic>
                    </a:graphicData>
                  </a:graphic>
                </wp:inline>
              </w:drawing>
            </w:r>
          </w:p>
        </w:tc>
        <w:tc>
          <w:tcPr>
            <w:tcW w:w="7771" w:type="dxa"/>
            <w:vAlign w:val="center"/>
          </w:tcPr>
          <w:p w14:paraId="511AB81B" w14:textId="77777777" w:rsidR="004400D5" w:rsidRDefault="004400D5" w:rsidP="001C210D">
            <w:pPr>
              <w:spacing w:after="0"/>
              <w:jc w:val="center"/>
            </w:pPr>
            <w:r>
              <w:rPr>
                <w:noProof/>
              </w:rPr>
              <w:drawing>
                <wp:inline distT="0" distB="0" distL="0" distR="0" wp14:anchorId="315C3E0C" wp14:editId="3AC52A53">
                  <wp:extent cx="3483428" cy="27432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material_resources_metals_minerals_abiotic_depletion_potential_adp_elements_ultimate_reserve_routing_comparison_stacked.png"/>
                          <pic:cNvPicPr/>
                        </pic:nvPicPr>
                        <pic:blipFill>
                          <a:blip r:embed="rId175"/>
                          <a:stretch>
                            <a:fillRect/>
                          </a:stretch>
                        </pic:blipFill>
                        <pic:spPr>
                          <a:xfrm>
                            <a:off x="0" y="0"/>
                            <a:ext cx="3483428" cy="2743200"/>
                          </a:xfrm>
                          <a:prstGeom prst="rect">
                            <a:avLst/>
                          </a:prstGeom>
                        </pic:spPr>
                      </pic:pic>
                    </a:graphicData>
                  </a:graphic>
                </wp:inline>
              </w:drawing>
            </w:r>
          </w:p>
        </w:tc>
      </w:tr>
      <w:tr w:rsidR="004400D5" w14:paraId="00EFAD4A" w14:textId="77777777" w:rsidTr="0052617F">
        <w:tc>
          <w:tcPr>
            <w:tcW w:w="15542" w:type="dxa"/>
            <w:gridSpan w:val="2"/>
          </w:tcPr>
          <w:p w14:paraId="212AC5B6" w14:textId="77777777" w:rsidR="004400D5" w:rsidRDefault="004400D5" w:rsidP="001C210D">
            <w:pPr>
              <w:jc w:val="left"/>
            </w:pPr>
            <w:r>
              <w:rPr>
                <w:b/>
                <w:sz w:val="16"/>
              </w:rPr>
              <w:t>Figure S-routing-marine-22. ozone depletion - ozone depletion potential (ODP).</w:t>
            </w:r>
          </w:p>
        </w:tc>
      </w:tr>
      <w:tr w:rsidR="004400D5" w14:paraId="516EC9F3" w14:textId="77777777" w:rsidTr="0052617F">
        <w:tc>
          <w:tcPr>
            <w:tcW w:w="7771" w:type="dxa"/>
            <w:vAlign w:val="center"/>
          </w:tcPr>
          <w:p w14:paraId="05D79F04" w14:textId="77777777" w:rsidR="004400D5" w:rsidRDefault="004400D5" w:rsidP="001C210D">
            <w:pPr>
              <w:spacing w:after="0"/>
              <w:jc w:val="center"/>
            </w:pPr>
            <w:r>
              <w:rPr>
                <w:noProof/>
              </w:rPr>
              <w:drawing>
                <wp:inline distT="0" distB="0" distL="0" distR="0" wp14:anchorId="38F5956F" wp14:editId="407290A7">
                  <wp:extent cx="3483428" cy="27432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ozone_depletion_ozone_depletion_potential_odp_routing_comparison_unstacked.png"/>
                          <pic:cNvPicPr/>
                        </pic:nvPicPr>
                        <pic:blipFill>
                          <a:blip r:embed="rId176"/>
                          <a:stretch>
                            <a:fillRect/>
                          </a:stretch>
                        </pic:blipFill>
                        <pic:spPr>
                          <a:xfrm>
                            <a:off x="0" y="0"/>
                            <a:ext cx="3483428" cy="2743200"/>
                          </a:xfrm>
                          <a:prstGeom prst="rect">
                            <a:avLst/>
                          </a:prstGeom>
                        </pic:spPr>
                      </pic:pic>
                    </a:graphicData>
                  </a:graphic>
                </wp:inline>
              </w:drawing>
            </w:r>
          </w:p>
        </w:tc>
        <w:tc>
          <w:tcPr>
            <w:tcW w:w="7771" w:type="dxa"/>
            <w:vAlign w:val="center"/>
          </w:tcPr>
          <w:p w14:paraId="3BFC1999" w14:textId="77777777" w:rsidR="004400D5" w:rsidRDefault="004400D5" w:rsidP="001C210D">
            <w:pPr>
              <w:spacing w:after="0"/>
              <w:jc w:val="center"/>
            </w:pPr>
            <w:r>
              <w:rPr>
                <w:noProof/>
              </w:rPr>
              <w:drawing>
                <wp:inline distT="0" distB="0" distL="0" distR="0" wp14:anchorId="06241B88" wp14:editId="3240E11C">
                  <wp:extent cx="3483428" cy="27432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ozone_depletion_ozone_depletion_potential_odp_routing_comparison_stacked.png"/>
                          <pic:cNvPicPr/>
                        </pic:nvPicPr>
                        <pic:blipFill>
                          <a:blip r:embed="rId177"/>
                          <a:stretch>
                            <a:fillRect/>
                          </a:stretch>
                        </pic:blipFill>
                        <pic:spPr>
                          <a:xfrm>
                            <a:off x="0" y="0"/>
                            <a:ext cx="3483428" cy="2743200"/>
                          </a:xfrm>
                          <a:prstGeom prst="rect">
                            <a:avLst/>
                          </a:prstGeom>
                        </pic:spPr>
                      </pic:pic>
                    </a:graphicData>
                  </a:graphic>
                </wp:inline>
              </w:drawing>
            </w:r>
          </w:p>
        </w:tc>
      </w:tr>
      <w:tr w:rsidR="004400D5" w14:paraId="0063D390" w14:textId="77777777" w:rsidTr="0052617F">
        <w:tc>
          <w:tcPr>
            <w:tcW w:w="15542" w:type="dxa"/>
            <w:gridSpan w:val="2"/>
          </w:tcPr>
          <w:p w14:paraId="22465CD3" w14:textId="77777777" w:rsidR="004400D5" w:rsidRDefault="004400D5" w:rsidP="001C210D">
            <w:pPr>
              <w:jc w:val="left"/>
            </w:pPr>
            <w:r>
              <w:rPr>
                <w:b/>
                <w:sz w:val="16"/>
              </w:rPr>
              <w:t>Figure S-routing-marine-23. particulate matter formation - impact on human health.</w:t>
            </w:r>
          </w:p>
        </w:tc>
      </w:tr>
      <w:tr w:rsidR="004400D5" w14:paraId="351E629B" w14:textId="77777777" w:rsidTr="0052617F">
        <w:tc>
          <w:tcPr>
            <w:tcW w:w="7771" w:type="dxa"/>
            <w:vAlign w:val="center"/>
          </w:tcPr>
          <w:p w14:paraId="10B7E4AD" w14:textId="77777777" w:rsidR="004400D5" w:rsidRDefault="004400D5" w:rsidP="001C210D">
            <w:pPr>
              <w:spacing w:after="0"/>
              <w:jc w:val="center"/>
            </w:pPr>
            <w:r>
              <w:rPr>
                <w:noProof/>
              </w:rPr>
              <w:lastRenderedPageBreak/>
              <w:drawing>
                <wp:inline distT="0" distB="0" distL="0" distR="0" wp14:anchorId="7E08CB8E" wp14:editId="3276055E">
                  <wp:extent cx="3483428" cy="27432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articulate_matter_formation_impact_on_human_health_routing_comparison_unstacked.png"/>
                          <pic:cNvPicPr/>
                        </pic:nvPicPr>
                        <pic:blipFill>
                          <a:blip r:embed="rId178"/>
                          <a:stretch>
                            <a:fillRect/>
                          </a:stretch>
                        </pic:blipFill>
                        <pic:spPr>
                          <a:xfrm>
                            <a:off x="0" y="0"/>
                            <a:ext cx="3483428" cy="2743200"/>
                          </a:xfrm>
                          <a:prstGeom prst="rect">
                            <a:avLst/>
                          </a:prstGeom>
                        </pic:spPr>
                      </pic:pic>
                    </a:graphicData>
                  </a:graphic>
                </wp:inline>
              </w:drawing>
            </w:r>
          </w:p>
        </w:tc>
        <w:tc>
          <w:tcPr>
            <w:tcW w:w="7771" w:type="dxa"/>
            <w:vAlign w:val="center"/>
          </w:tcPr>
          <w:p w14:paraId="79CC7E83" w14:textId="77777777" w:rsidR="004400D5" w:rsidRDefault="004400D5" w:rsidP="001C210D">
            <w:pPr>
              <w:spacing w:after="0"/>
              <w:jc w:val="center"/>
            </w:pPr>
            <w:r>
              <w:rPr>
                <w:noProof/>
              </w:rPr>
              <w:drawing>
                <wp:inline distT="0" distB="0" distL="0" distR="0" wp14:anchorId="74B8A782" wp14:editId="6AFF278D">
                  <wp:extent cx="3483428" cy="27432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articulate_matter_formation_impact_on_human_health_routing_comparison_stacked.png"/>
                          <pic:cNvPicPr/>
                        </pic:nvPicPr>
                        <pic:blipFill>
                          <a:blip r:embed="rId179"/>
                          <a:stretch>
                            <a:fillRect/>
                          </a:stretch>
                        </pic:blipFill>
                        <pic:spPr>
                          <a:xfrm>
                            <a:off x="0" y="0"/>
                            <a:ext cx="3483428" cy="2743200"/>
                          </a:xfrm>
                          <a:prstGeom prst="rect">
                            <a:avLst/>
                          </a:prstGeom>
                        </pic:spPr>
                      </pic:pic>
                    </a:graphicData>
                  </a:graphic>
                </wp:inline>
              </w:drawing>
            </w:r>
          </w:p>
        </w:tc>
      </w:tr>
      <w:tr w:rsidR="004400D5" w14:paraId="103B9D6F" w14:textId="77777777" w:rsidTr="0052617F">
        <w:tc>
          <w:tcPr>
            <w:tcW w:w="15542" w:type="dxa"/>
            <w:gridSpan w:val="2"/>
          </w:tcPr>
          <w:p w14:paraId="69B99951" w14:textId="77777777" w:rsidR="004400D5" w:rsidRDefault="004400D5" w:rsidP="001C210D">
            <w:pPr>
              <w:jc w:val="left"/>
            </w:pPr>
            <w:r>
              <w:rPr>
                <w:b/>
                <w:sz w:val="16"/>
              </w:rPr>
              <w:t>Figure S-routing-marine-24. photochemical oxidant formation: human health - tropospheric ozone concentration increase.</w:t>
            </w:r>
          </w:p>
        </w:tc>
      </w:tr>
      <w:tr w:rsidR="004400D5" w14:paraId="5B12E524" w14:textId="77777777" w:rsidTr="0052617F">
        <w:tc>
          <w:tcPr>
            <w:tcW w:w="7771" w:type="dxa"/>
            <w:vAlign w:val="center"/>
          </w:tcPr>
          <w:p w14:paraId="5A13591B" w14:textId="77777777" w:rsidR="004400D5" w:rsidRDefault="004400D5" w:rsidP="001C210D">
            <w:pPr>
              <w:spacing w:after="0"/>
              <w:jc w:val="center"/>
            </w:pPr>
            <w:r>
              <w:rPr>
                <w:noProof/>
              </w:rPr>
              <w:drawing>
                <wp:inline distT="0" distB="0" distL="0" distR="0" wp14:anchorId="599D39B1" wp14:editId="7FBB23AC">
                  <wp:extent cx="3483428" cy="27432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hotochemical_oxidant_formation_human_health_tropospheric_ozone_concentration_increase_routing_comparison_unstacked.png"/>
                          <pic:cNvPicPr/>
                        </pic:nvPicPr>
                        <pic:blipFill>
                          <a:blip r:embed="rId180"/>
                          <a:stretch>
                            <a:fillRect/>
                          </a:stretch>
                        </pic:blipFill>
                        <pic:spPr>
                          <a:xfrm>
                            <a:off x="0" y="0"/>
                            <a:ext cx="3483428" cy="2743200"/>
                          </a:xfrm>
                          <a:prstGeom prst="rect">
                            <a:avLst/>
                          </a:prstGeom>
                        </pic:spPr>
                      </pic:pic>
                    </a:graphicData>
                  </a:graphic>
                </wp:inline>
              </w:drawing>
            </w:r>
          </w:p>
        </w:tc>
        <w:tc>
          <w:tcPr>
            <w:tcW w:w="7771" w:type="dxa"/>
            <w:vAlign w:val="center"/>
          </w:tcPr>
          <w:p w14:paraId="334E39F9" w14:textId="77777777" w:rsidR="004400D5" w:rsidRDefault="004400D5" w:rsidP="001C210D">
            <w:pPr>
              <w:spacing w:after="0"/>
              <w:jc w:val="center"/>
            </w:pPr>
            <w:r>
              <w:rPr>
                <w:noProof/>
              </w:rPr>
              <w:drawing>
                <wp:inline distT="0" distB="0" distL="0" distR="0" wp14:anchorId="49547EA9" wp14:editId="498BF8EE">
                  <wp:extent cx="3483428" cy="27432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hotochemical_oxidant_formation_human_health_tropospheric_ozone_concentration_increase_routing_comparison_stacked.png"/>
                          <pic:cNvPicPr/>
                        </pic:nvPicPr>
                        <pic:blipFill>
                          <a:blip r:embed="rId181"/>
                          <a:stretch>
                            <a:fillRect/>
                          </a:stretch>
                        </pic:blipFill>
                        <pic:spPr>
                          <a:xfrm>
                            <a:off x="0" y="0"/>
                            <a:ext cx="3483428" cy="2743200"/>
                          </a:xfrm>
                          <a:prstGeom prst="rect">
                            <a:avLst/>
                          </a:prstGeom>
                        </pic:spPr>
                      </pic:pic>
                    </a:graphicData>
                  </a:graphic>
                </wp:inline>
              </w:drawing>
            </w:r>
          </w:p>
        </w:tc>
      </w:tr>
      <w:tr w:rsidR="004400D5" w14:paraId="75A93F04" w14:textId="77777777" w:rsidTr="0052617F">
        <w:tc>
          <w:tcPr>
            <w:tcW w:w="15542" w:type="dxa"/>
            <w:gridSpan w:val="2"/>
          </w:tcPr>
          <w:p w14:paraId="7EED6E31" w14:textId="77777777" w:rsidR="004400D5" w:rsidRDefault="004400D5" w:rsidP="001C210D">
            <w:pPr>
              <w:jc w:val="left"/>
            </w:pPr>
            <w:r>
              <w:rPr>
                <w:b/>
                <w:sz w:val="16"/>
              </w:rPr>
              <w:t>Figure S-routing-marine-25. water use - user deprivation potential (deprivation-weighted water consumption).</w:t>
            </w:r>
          </w:p>
        </w:tc>
      </w:tr>
      <w:tr w:rsidR="004400D5" w14:paraId="18EA2AE8" w14:textId="77777777" w:rsidTr="0052617F">
        <w:tc>
          <w:tcPr>
            <w:tcW w:w="7771" w:type="dxa"/>
            <w:vAlign w:val="center"/>
          </w:tcPr>
          <w:p w14:paraId="78E367F9" w14:textId="77777777" w:rsidR="004400D5" w:rsidRDefault="004400D5" w:rsidP="001C210D">
            <w:pPr>
              <w:spacing w:after="0"/>
              <w:jc w:val="center"/>
            </w:pPr>
            <w:r>
              <w:rPr>
                <w:noProof/>
              </w:rPr>
              <w:lastRenderedPageBreak/>
              <w:drawing>
                <wp:inline distT="0" distB="0" distL="0" distR="0" wp14:anchorId="19D98CA5" wp14:editId="49F542AC">
                  <wp:extent cx="3483428" cy="27432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water_use_user_deprivation_potential_deprivation_weighted_water_consumption_routing_comparison_unstacked.png"/>
                          <pic:cNvPicPr/>
                        </pic:nvPicPr>
                        <pic:blipFill>
                          <a:blip r:embed="rId182"/>
                          <a:stretch>
                            <a:fillRect/>
                          </a:stretch>
                        </pic:blipFill>
                        <pic:spPr>
                          <a:xfrm>
                            <a:off x="0" y="0"/>
                            <a:ext cx="3483428" cy="2743200"/>
                          </a:xfrm>
                          <a:prstGeom prst="rect">
                            <a:avLst/>
                          </a:prstGeom>
                        </pic:spPr>
                      </pic:pic>
                    </a:graphicData>
                  </a:graphic>
                </wp:inline>
              </w:drawing>
            </w:r>
          </w:p>
        </w:tc>
        <w:tc>
          <w:tcPr>
            <w:tcW w:w="7771" w:type="dxa"/>
            <w:vAlign w:val="center"/>
          </w:tcPr>
          <w:p w14:paraId="4718AE79" w14:textId="77777777" w:rsidR="004400D5" w:rsidRDefault="004400D5" w:rsidP="001C210D">
            <w:pPr>
              <w:spacing w:after="0"/>
              <w:jc w:val="center"/>
            </w:pPr>
            <w:r>
              <w:rPr>
                <w:noProof/>
              </w:rPr>
              <w:drawing>
                <wp:inline distT="0" distB="0" distL="0" distR="0" wp14:anchorId="610BAB2E" wp14:editId="17B2F6BB">
                  <wp:extent cx="3483428" cy="27432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water_use_user_deprivation_potential_deprivation_weighted_water_consumption_routing_comparison_stacked.png"/>
                          <pic:cNvPicPr/>
                        </pic:nvPicPr>
                        <pic:blipFill>
                          <a:blip r:embed="rId183"/>
                          <a:stretch>
                            <a:fillRect/>
                          </a:stretch>
                        </pic:blipFill>
                        <pic:spPr>
                          <a:xfrm>
                            <a:off x="0" y="0"/>
                            <a:ext cx="3483428" cy="2743200"/>
                          </a:xfrm>
                          <a:prstGeom prst="rect">
                            <a:avLst/>
                          </a:prstGeom>
                        </pic:spPr>
                      </pic:pic>
                    </a:graphicData>
                  </a:graphic>
                </wp:inline>
              </w:drawing>
            </w:r>
          </w:p>
        </w:tc>
      </w:tr>
    </w:tbl>
    <w:p w14:paraId="6A7CBCAD" w14:textId="77777777" w:rsidR="004400D5" w:rsidRDefault="004400D5" w:rsidP="004400D5">
      <w:r>
        <w:br w:type="page"/>
      </w:r>
    </w:p>
    <w:p w14:paraId="4E5F341B" w14:textId="77777777" w:rsidR="004400D5" w:rsidRDefault="004400D5" w:rsidP="004400D5">
      <w:pPr>
        <w:pStyle w:val="Heading20"/>
      </w:pPr>
      <w:bookmarkStart w:id="25" w:name="_Toc233129523"/>
      <w:r>
        <w:lastRenderedPageBreak/>
        <w:t>Direct air capture and carbon storage</w:t>
      </w:r>
      <w:bookmarkEnd w:id="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71"/>
        <w:gridCol w:w="7771"/>
      </w:tblGrid>
      <w:tr w:rsidR="004400D5" w14:paraId="0AA5D37A" w14:textId="77777777" w:rsidTr="0052617F">
        <w:tc>
          <w:tcPr>
            <w:tcW w:w="7771" w:type="dxa"/>
          </w:tcPr>
          <w:p w14:paraId="355EC1EE" w14:textId="77777777" w:rsidR="004400D5" w:rsidRDefault="004400D5" w:rsidP="001C210D">
            <w:pPr>
              <w:jc w:val="left"/>
            </w:pPr>
            <w:r>
              <w:rPr>
                <w:b/>
                <w:sz w:val="16"/>
              </w:rPr>
              <w:t>Unstacked annual impacts</w:t>
            </w:r>
          </w:p>
        </w:tc>
        <w:tc>
          <w:tcPr>
            <w:tcW w:w="7771" w:type="dxa"/>
          </w:tcPr>
          <w:p w14:paraId="0F42A44D" w14:textId="77777777" w:rsidR="004400D5" w:rsidRDefault="004400D5" w:rsidP="001C210D">
            <w:pPr>
              <w:jc w:val="left"/>
            </w:pPr>
            <w:r>
              <w:rPr>
                <w:b/>
                <w:sz w:val="16"/>
              </w:rPr>
              <w:t>Stacked annual impacts</w:t>
            </w:r>
          </w:p>
        </w:tc>
      </w:tr>
      <w:tr w:rsidR="004400D5" w14:paraId="42E21237" w14:textId="77777777" w:rsidTr="0052617F">
        <w:tc>
          <w:tcPr>
            <w:tcW w:w="15542" w:type="dxa"/>
            <w:gridSpan w:val="2"/>
          </w:tcPr>
          <w:p w14:paraId="16AE96F6" w14:textId="77777777" w:rsidR="004400D5" w:rsidRDefault="004400D5" w:rsidP="001C210D">
            <w:pPr>
              <w:jc w:val="left"/>
            </w:pPr>
            <w:r>
              <w:rPr>
                <w:b/>
                <w:sz w:val="16"/>
              </w:rPr>
              <w:t>Figure S-routing-daccs-01. acidification - accumulated exceedance (AE).</w:t>
            </w:r>
          </w:p>
        </w:tc>
      </w:tr>
      <w:tr w:rsidR="004400D5" w14:paraId="30A25EF2" w14:textId="77777777" w:rsidTr="0052617F">
        <w:tc>
          <w:tcPr>
            <w:tcW w:w="7771" w:type="dxa"/>
            <w:vAlign w:val="center"/>
          </w:tcPr>
          <w:p w14:paraId="75E1A051" w14:textId="77777777" w:rsidR="004400D5" w:rsidRDefault="004400D5" w:rsidP="001C210D">
            <w:pPr>
              <w:spacing w:after="0"/>
              <w:jc w:val="center"/>
            </w:pPr>
            <w:r>
              <w:rPr>
                <w:noProof/>
              </w:rPr>
              <w:drawing>
                <wp:inline distT="0" distB="0" distL="0" distR="0" wp14:anchorId="47B01071" wp14:editId="487394D8">
                  <wp:extent cx="3483428" cy="27432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acidification_accumulated_exceedance_ae_routing_comparison_unstacked.png"/>
                          <pic:cNvPicPr/>
                        </pic:nvPicPr>
                        <pic:blipFill>
                          <a:blip r:embed="rId184"/>
                          <a:stretch>
                            <a:fillRect/>
                          </a:stretch>
                        </pic:blipFill>
                        <pic:spPr>
                          <a:xfrm>
                            <a:off x="0" y="0"/>
                            <a:ext cx="3483428" cy="2743200"/>
                          </a:xfrm>
                          <a:prstGeom prst="rect">
                            <a:avLst/>
                          </a:prstGeom>
                        </pic:spPr>
                      </pic:pic>
                    </a:graphicData>
                  </a:graphic>
                </wp:inline>
              </w:drawing>
            </w:r>
          </w:p>
        </w:tc>
        <w:tc>
          <w:tcPr>
            <w:tcW w:w="7771" w:type="dxa"/>
            <w:vAlign w:val="center"/>
          </w:tcPr>
          <w:p w14:paraId="6BD0498C" w14:textId="77777777" w:rsidR="004400D5" w:rsidRDefault="004400D5" w:rsidP="001C210D">
            <w:pPr>
              <w:spacing w:after="0"/>
              <w:jc w:val="center"/>
            </w:pPr>
            <w:r>
              <w:rPr>
                <w:noProof/>
              </w:rPr>
              <w:drawing>
                <wp:inline distT="0" distB="0" distL="0" distR="0" wp14:anchorId="1521FB7D" wp14:editId="53B995CB">
                  <wp:extent cx="3483428" cy="27432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acidification_accumulated_exceedance_ae_routing_comparison_stacked.png"/>
                          <pic:cNvPicPr/>
                        </pic:nvPicPr>
                        <pic:blipFill>
                          <a:blip r:embed="rId185"/>
                          <a:stretch>
                            <a:fillRect/>
                          </a:stretch>
                        </pic:blipFill>
                        <pic:spPr>
                          <a:xfrm>
                            <a:off x="0" y="0"/>
                            <a:ext cx="3483428" cy="2743200"/>
                          </a:xfrm>
                          <a:prstGeom prst="rect">
                            <a:avLst/>
                          </a:prstGeom>
                        </pic:spPr>
                      </pic:pic>
                    </a:graphicData>
                  </a:graphic>
                </wp:inline>
              </w:drawing>
            </w:r>
          </w:p>
        </w:tc>
      </w:tr>
      <w:tr w:rsidR="004400D5" w14:paraId="7456F5A2" w14:textId="77777777" w:rsidTr="0052617F">
        <w:tc>
          <w:tcPr>
            <w:tcW w:w="15542" w:type="dxa"/>
            <w:gridSpan w:val="2"/>
          </w:tcPr>
          <w:p w14:paraId="602130B8" w14:textId="77777777" w:rsidR="004400D5" w:rsidRDefault="004400D5" w:rsidP="001C210D">
            <w:pPr>
              <w:jc w:val="left"/>
            </w:pPr>
            <w:r>
              <w:rPr>
                <w:b/>
                <w:sz w:val="16"/>
              </w:rPr>
              <w:t>Figure S-routing-daccs-02. climate change - global warming potential (GWP100).</w:t>
            </w:r>
          </w:p>
        </w:tc>
      </w:tr>
      <w:tr w:rsidR="004400D5" w14:paraId="5ACC7669" w14:textId="77777777" w:rsidTr="0052617F">
        <w:tc>
          <w:tcPr>
            <w:tcW w:w="7771" w:type="dxa"/>
            <w:vAlign w:val="center"/>
          </w:tcPr>
          <w:p w14:paraId="471A2C2E" w14:textId="77777777" w:rsidR="004400D5" w:rsidRDefault="004400D5" w:rsidP="001C210D">
            <w:pPr>
              <w:spacing w:after="0"/>
              <w:jc w:val="center"/>
            </w:pPr>
            <w:r>
              <w:rPr>
                <w:noProof/>
              </w:rPr>
              <w:drawing>
                <wp:inline distT="0" distB="0" distL="0" distR="0" wp14:anchorId="11B46D1B" wp14:editId="51CA6EE9">
                  <wp:extent cx="3483428" cy="27432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global_warming_potential_gwp100_routing_comparison_unstacked.png"/>
                          <pic:cNvPicPr/>
                        </pic:nvPicPr>
                        <pic:blipFill>
                          <a:blip r:embed="rId186"/>
                          <a:stretch>
                            <a:fillRect/>
                          </a:stretch>
                        </pic:blipFill>
                        <pic:spPr>
                          <a:xfrm>
                            <a:off x="0" y="0"/>
                            <a:ext cx="3483428" cy="2743200"/>
                          </a:xfrm>
                          <a:prstGeom prst="rect">
                            <a:avLst/>
                          </a:prstGeom>
                        </pic:spPr>
                      </pic:pic>
                    </a:graphicData>
                  </a:graphic>
                </wp:inline>
              </w:drawing>
            </w:r>
          </w:p>
        </w:tc>
        <w:tc>
          <w:tcPr>
            <w:tcW w:w="7771" w:type="dxa"/>
            <w:vAlign w:val="center"/>
          </w:tcPr>
          <w:p w14:paraId="521DC2F1" w14:textId="77777777" w:rsidR="004400D5" w:rsidRDefault="004400D5" w:rsidP="001C210D">
            <w:pPr>
              <w:spacing w:after="0"/>
              <w:jc w:val="center"/>
            </w:pPr>
            <w:r>
              <w:rPr>
                <w:noProof/>
              </w:rPr>
              <w:drawing>
                <wp:inline distT="0" distB="0" distL="0" distR="0" wp14:anchorId="5E0DD322" wp14:editId="5369AE2B">
                  <wp:extent cx="3483428" cy="27432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global_warming_potential_gwp100_routing_comparison_stacked.png"/>
                          <pic:cNvPicPr/>
                        </pic:nvPicPr>
                        <pic:blipFill>
                          <a:blip r:embed="rId187"/>
                          <a:stretch>
                            <a:fillRect/>
                          </a:stretch>
                        </pic:blipFill>
                        <pic:spPr>
                          <a:xfrm>
                            <a:off x="0" y="0"/>
                            <a:ext cx="3483428" cy="2743200"/>
                          </a:xfrm>
                          <a:prstGeom prst="rect">
                            <a:avLst/>
                          </a:prstGeom>
                        </pic:spPr>
                      </pic:pic>
                    </a:graphicData>
                  </a:graphic>
                </wp:inline>
              </w:drawing>
            </w:r>
          </w:p>
        </w:tc>
      </w:tr>
      <w:tr w:rsidR="004400D5" w14:paraId="7A1A1F10" w14:textId="77777777" w:rsidTr="0052617F">
        <w:tc>
          <w:tcPr>
            <w:tcW w:w="15542" w:type="dxa"/>
            <w:gridSpan w:val="2"/>
          </w:tcPr>
          <w:p w14:paraId="70E77255" w14:textId="77777777" w:rsidR="004400D5" w:rsidRDefault="004400D5" w:rsidP="001C210D">
            <w:pPr>
              <w:jc w:val="left"/>
            </w:pPr>
            <w:r>
              <w:rPr>
                <w:b/>
                <w:sz w:val="16"/>
              </w:rPr>
              <w:lastRenderedPageBreak/>
              <w:t>Figure S-routing-daccs-03. climate change: biogenic - global warming potential (GWP100).</w:t>
            </w:r>
          </w:p>
        </w:tc>
      </w:tr>
      <w:tr w:rsidR="004400D5" w14:paraId="78A4C12F" w14:textId="77777777" w:rsidTr="0052617F">
        <w:tc>
          <w:tcPr>
            <w:tcW w:w="7771" w:type="dxa"/>
            <w:vAlign w:val="center"/>
          </w:tcPr>
          <w:p w14:paraId="57269023" w14:textId="77777777" w:rsidR="004400D5" w:rsidRDefault="004400D5" w:rsidP="001C210D">
            <w:pPr>
              <w:spacing w:after="0"/>
              <w:jc w:val="center"/>
            </w:pPr>
            <w:r>
              <w:rPr>
                <w:noProof/>
              </w:rPr>
              <w:drawing>
                <wp:inline distT="0" distB="0" distL="0" distR="0" wp14:anchorId="184B9A44" wp14:editId="2769D2BC">
                  <wp:extent cx="3483428" cy="27432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biogenic_global_warming_potential_gwp100_routing_comparison_unstacked.png"/>
                          <pic:cNvPicPr/>
                        </pic:nvPicPr>
                        <pic:blipFill>
                          <a:blip r:embed="rId188"/>
                          <a:stretch>
                            <a:fillRect/>
                          </a:stretch>
                        </pic:blipFill>
                        <pic:spPr>
                          <a:xfrm>
                            <a:off x="0" y="0"/>
                            <a:ext cx="3483428" cy="2743200"/>
                          </a:xfrm>
                          <a:prstGeom prst="rect">
                            <a:avLst/>
                          </a:prstGeom>
                        </pic:spPr>
                      </pic:pic>
                    </a:graphicData>
                  </a:graphic>
                </wp:inline>
              </w:drawing>
            </w:r>
          </w:p>
        </w:tc>
        <w:tc>
          <w:tcPr>
            <w:tcW w:w="7771" w:type="dxa"/>
            <w:vAlign w:val="center"/>
          </w:tcPr>
          <w:p w14:paraId="7D747B22" w14:textId="77777777" w:rsidR="004400D5" w:rsidRDefault="004400D5" w:rsidP="001C210D">
            <w:pPr>
              <w:spacing w:after="0"/>
              <w:jc w:val="center"/>
            </w:pPr>
            <w:r>
              <w:rPr>
                <w:noProof/>
              </w:rPr>
              <w:drawing>
                <wp:inline distT="0" distB="0" distL="0" distR="0" wp14:anchorId="21C63A55" wp14:editId="4CB8A605">
                  <wp:extent cx="3483428" cy="27432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biogenic_global_warming_potential_gwp100_routing_comparison_stacked.png"/>
                          <pic:cNvPicPr/>
                        </pic:nvPicPr>
                        <pic:blipFill>
                          <a:blip r:embed="rId189"/>
                          <a:stretch>
                            <a:fillRect/>
                          </a:stretch>
                        </pic:blipFill>
                        <pic:spPr>
                          <a:xfrm>
                            <a:off x="0" y="0"/>
                            <a:ext cx="3483428" cy="2743200"/>
                          </a:xfrm>
                          <a:prstGeom prst="rect">
                            <a:avLst/>
                          </a:prstGeom>
                        </pic:spPr>
                      </pic:pic>
                    </a:graphicData>
                  </a:graphic>
                </wp:inline>
              </w:drawing>
            </w:r>
          </w:p>
        </w:tc>
      </w:tr>
      <w:tr w:rsidR="004400D5" w14:paraId="4219E8BC" w14:textId="77777777" w:rsidTr="0052617F">
        <w:tc>
          <w:tcPr>
            <w:tcW w:w="15542" w:type="dxa"/>
            <w:gridSpan w:val="2"/>
          </w:tcPr>
          <w:p w14:paraId="63940F40" w14:textId="77777777" w:rsidR="004400D5" w:rsidRDefault="004400D5" w:rsidP="001C210D">
            <w:pPr>
              <w:jc w:val="left"/>
            </w:pPr>
            <w:r>
              <w:rPr>
                <w:b/>
                <w:sz w:val="16"/>
              </w:rPr>
              <w:t>Figure S-routing-daccs-04. climate change: fossil - global warming potential (GWP100).</w:t>
            </w:r>
          </w:p>
        </w:tc>
      </w:tr>
      <w:tr w:rsidR="004400D5" w14:paraId="3A5114B2" w14:textId="77777777" w:rsidTr="0052617F">
        <w:tc>
          <w:tcPr>
            <w:tcW w:w="7771" w:type="dxa"/>
            <w:vAlign w:val="center"/>
          </w:tcPr>
          <w:p w14:paraId="77025002" w14:textId="77777777" w:rsidR="004400D5" w:rsidRDefault="004400D5" w:rsidP="001C210D">
            <w:pPr>
              <w:spacing w:after="0"/>
              <w:jc w:val="center"/>
            </w:pPr>
            <w:r>
              <w:rPr>
                <w:noProof/>
              </w:rPr>
              <w:drawing>
                <wp:inline distT="0" distB="0" distL="0" distR="0" wp14:anchorId="62C5F12B" wp14:editId="5EC1F947">
                  <wp:extent cx="3483428" cy="27432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fossil_global_warming_potential_gwp100_routing_comparison_unstacked.png"/>
                          <pic:cNvPicPr/>
                        </pic:nvPicPr>
                        <pic:blipFill>
                          <a:blip r:embed="rId190"/>
                          <a:stretch>
                            <a:fillRect/>
                          </a:stretch>
                        </pic:blipFill>
                        <pic:spPr>
                          <a:xfrm>
                            <a:off x="0" y="0"/>
                            <a:ext cx="3483428" cy="2743200"/>
                          </a:xfrm>
                          <a:prstGeom prst="rect">
                            <a:avLst/>
                          </a:prstGeom>
                        </pic:spPr>
                      </pic:pic>
                    </a:graphicData>
                  </a:graphic>
                </wp:inline>
              </w:drawing>
            </w:r>
          </w:p>
        </w:tc>
        <w:tc>
          <w:tcPr>
            <w:tcW w:w="7771" w:type="dxa"/>
            <w:vAlign w:val="center"/>
          </w:tcPr>
          <w:p w14:paraId="2EC44328" w14:textId="77777777" w:rsidR="004400D5" w:rsidRDefault="004400D5" w:rsidP="001C210D">
            <w:pPr>
              <w:spacing w:after="0"/>
              <w:jc w:val="center"/>
            </w:pPr>
            <w:r>
              <w:rPr>
                <w:noProof/>
              </w:rPr>
              <w:drawing>
                <wp:inline distT="0" distB="0" distL="0" distR="0" wp14:anchorId="5284FFE5" wp14:editId="5359CBA2">
                  <wp:extent cx="3483428" cy="27432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fossil_global_warming_potential_gwp100_routing_comparison_stacked.png"/>
                          <pic:cNvPicPr/>
                        </pic:nvPicPr>
                        <pic:blipFill>
                          <a:blip r:embed="rId191"/>
                          <a:stretch>
                            <a:fillRect/>
                          </a:stretch>
                        </pic:blipFill>
                        <pic:spPr>
                          <a:xfrm>
                            <a:off x="0" y="0"/>
                            <a:ext cx="3483428" cy="2743200"/>
                          </a:xfrm>
                          <a:prstGeom prst="rect">
                            <a:avLst/>
                          </a:prstGeom>
                        </pic:spPr>
                      </pic:pic>
                    </a:graphicData>
                  </a:graphic>
                </wp:inline>
              </w:drawing>
            </w:r>
          </w:p>
        </w:tc>
      </w:tr>
      <w:tr w:rsidR="004400D5" w14:paraId="6881A063" w14:textId="77777777" w:rsidTr="0052617F">
        <w:tc>
          <w:tcPr>
            <w:tcW w:w="15542" w:type="dxa"/>
            <w:gridSpan w:val="2"/>
          </w:tcPr>
          <w:p w14:paraId="5393CF39" w14:textId="77777777" w:rsidR="004400D5" w:rsidRDefault="004400D5" w:rsidP="001C210D">
            <w:pPr>
              <w:jc w:val="left"/>
            </w:pPr>
            <w:r>
              <w:rPr>
                <w:b/>
                <w:sz w:val="16"/>
              </w:rPr>
              <w:t>Figure S-routing-daccs-05. climate change: land use and land use change - global warming potential (GWP100).</w:t>
            </w:r>
          </w:p>
        </w:tc>
      </w:tr>
      <w:tr w:rsidR="004400D5" w14:paraId="1CAB8943" w14:textId="77777777" w:rsidTr="0052617F">
        <w:tc>
          <w:tcPr>
            <w:tcW w:w="7771" w:type="dxa"/>
            <w:vAlign w:val="center"/>
          </w:tcPr>
          <w:p w14:paraId="4FF2D845" w14:textId="77777777" w:rsidR="004400D5" w:rsidRDefault="004400D5" w:rsidP="001C210D">
            <w:pPr>
              <w:spacing w:after="0"/>
              <w:jc w:val="center"/>
            </w:pPr>
            <w:r>
              <w:rPr>
                <w:noProof/>
              </w:rPr>
              <w:lastRenderedPageBreak/>
              <w:drawing>
                <wp:inline distT="0" distB="0" distL="0" distR="0" wp14:anchorId="36E5DEB8" wp14:editId="2B9DFCA8">
                  <wp:extent cx="3483428" cy="27432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land_use_and_land_use_change_global_warming_potential_gwp100_routing_comparison_unstacked.png"/>
                          <pic:cNvPicPr/>
                        </pic:nvPicPr>
                        <pic:blipFill>
                          <a:blip r:embed="rId192"/>
                          <a:stretch>
                            <a:fillRect/>
                          </a:stretch>
                        </pic:blipFill>
                        <pic:spPr>
                          <a:xfrm>
                            <a:off x="0" y="0"/>
                            <a:ext cx="3483428" cy="2743200"/>
                          </a:xfrm>
                          <a:prstGeom prst="rect">
                            <a:avLst/>
                          </a:prstGeom>
                        </pic:spPr>
                      </pic:pic>
                    </a:graphicData>
                  </a:graphic>
                </wp:inline>
              </w:drawing>
            </w:r>
          </w:p>
        </w:tc>
        <w:tc>
          <w:tcPr>
            <w:tcW w:w="7771" w:type="dxa"/>
            <w:vAlign w:val="center"/>
          </w:tcPr>
          <w:p w14:paraId="325FB4E5" w14:textId="77777777" w:rsidR="004400D5" w:rsidRDefault="004400D5" w:rsidP="001C210D">
            <w:pPr>
              <w:spacing w:after="0"/>
              <w:jc w:val="center"/>
            </w:pPr>
            <w:r>
              <w:rPr>
                <w:noProof/>
              </w:rPr>
              <w:drawing>
                <wp:inline distT="0" distB="0" distL="0" distR="0" wp14:anchorId="66F27B44" wp14:editId="7F6FCF6B">
                  <wp:extent cx="3483428" cy="27432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climate_change_land_use_and_land_use_change_global_warming_potential_gwp100_routing_comparison_stacked.png"/>
                          <pic:cNvPicPr/>
                        </pic:nvPicPr>
                        <pic:blipFill>
                          <a:blip r:embed="rId193"/>
                          <a:stretch>
                            <a:fillRect/>
                          </a:stretch>
                        </pic:blipFill>
                        <pic:spPr>
                          <a:xfrm>
                            <a:off x="0" y="0"/>
                            <a:ext cx="3483428" cy="2743200"/>
                          </a:xfrm>
                          <a:prstGeom prst="rect">
                            <a:avLst/>
                          </a:prstGeom>
                        </pic:spPr>
                      </pic:pic>
                    </a:graphicData>
                  </a:graphic>
                </wp:inline>
              </w:drawing>
            </w:r>
          </w:p>
        </w:tc>
      </w:tr>
      <w:tr w:rsidR="004400D5" w14:paraId="34EAE893" w14:textId="77777777" w:rsidTr="0052617F">
        <w:tc>
          <w:tcPr>
            <w:tcW w:w="15542" w:type="dxa"/>
            <w:gridSpan w:val="2"/>
          </w:tcPr>
          <w:p w14:paraId="7BBDA188" w14:textId="77777777" w:rsidR="004400D5" w:rsidRDefault="004400D5" w:rsidP="001C210D">
            <w:pPr>
              <w:jc w:val="left"/>
            </w:pPr>
            <w:r>
              <w:rPr>
                <w:b/>
                <w:sz w:val="16"/>
              </w:rPr>
              <w:t>Figure S-routing-daccs-06. ecotoxicity: freshwater - comparative toxic unit for ecosystems (</w:t>
            </w:r>
            <w:proofErr w:type="spellStart"/>
            <w:r>
              <w:rPr>
                <w:b/>
                <w:sz w:val="16"/>
              </w:rPr>
              <w:t>CTUe</w:t>
            </w:r>
            <w:proofErr w:type="spellEnd"/>
            <w:r>
              <w:rPr>
                <w:b/>
                <w:sz w:val="16"/>
              </w:rPr>
              <w:t>).</w:t>
            </w:r>
          </w:p>
        </w:tc>
      </w:tr>
      <w:tr w:rsidR="004400D5" w14:paraId="5DE71F9D" w14:textId="77777777" w:rsidTr="0052617F">
        <w:tc>
          <w:tcPr>
            <w:tcW w:w="7771" w:type="dxa"/>
            <w:vAlign w:val="center"/>
          </w:tcPr>
          <w:p w14:paraId="32E92725" w14:textId="77777777" w:rsidR="004400D5" w:rsidRDefault="004400D5" w:rsidP="001C210D">
            <w:pPr>
              <w:spacing w:after="0"/>
              <w:jc w:val="center"/>
            </w:pPr>
            <w:r>
              <w:rPr>
                <w:noProof/>
              </w:rPr>
              <w:drawing>
                <wp:inline distT="0" distB="0" distL="0" distR="0" wp14:anchorId="7F753567" wp14:editId="4E8EA215">
                  <wp:extent cx="3483428" cy="27432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comparative_toxic_unit_for_ecosystems_ctue_routing_comparison_unstacked.png"/>
                          <pic:cNvPicPr/>
                        </pic:nvPicPr>
                        <pic:blipFill>
                          <a:blip r:embed="rId194"/>
                          <a:stretch>
                            <a:fillRect/>
                          </a:stretch>
                        </pic:blipFill>
                        <pic:spPr>
                          <a:xfrm>
                            <a:off x="0" y="0"/>
                            <a:ext cx="3483428" cy="2743200"/>
                          </a:xfrm>
                          <a:prstGeom prst="rect">
                            <a:avLst/>
                          </a:prstGeom>
                        </pic:spPr>
                      </pic:pic>
                    </a:graphicData>
                  </a:graphic>
                </wp:inline>
              </w:drawing>
            </w:r>
          </w:p>
        </w:tc>
        <w:tc>
          <w:tcPr>
            <w:tcW w:w="7771" w:type="dxa"/>
            <w:vAlign w:val="center"/>
          </w:tcPr>
          <w:p w14:paraId="358F84D1" w14:textId="77777777" w:rsidR="004400D5" w:rsidRDefault="004400D5" w:rsidP="001C210D">
            <w:pPr>
              <w:spacing w:after="0"/>
              <w:jc w:val="center"/>
            </w:pPr>
            <w:r>
              <w:rPr>
                <w:noProof/>
              </w:rPr>
              <w:drawing>
                <wp:inline distT="0" distB="0" distL="0" distR="0" wp14:anchorId="50ECEE99" wp14:editId="2C8A3DCC">
                  <wp:extent cx="3483428" cy="27432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comparative_toxic_unit_for_ecosystems_ctue_routing_comparison_stacked.png"/>
                          <pic:cNvPicPr/>
                        </pic:nvPicPr>
                        <pic:blipFill>
                          <a:blip r:embed="rId195"/>
                          <a:stretch>
                            <a:fillRect/>
                          </a:stretch>
                        </pic:blipFill>
                        <pic:spPr>
                          <a:xfrm>
                            <a:off x="0" y="0"/>
                            <a:ext cx="3483428" cy="2743200"/>
                          </a:xfrm>
                          <a:prstGeom prst="rect">
                            <a:avLst/>
                          </a:prstGeom>
                        </pic:spPr>
                      </pic:pic>
                    </a:graphicData>
                  </a:graphic>
                </wp:inline>
              </w:drawing>
            </w:r>
          </w:p>
        </w:tc>
      </w:tr>
      <w:tr w:rsidR="004400D5" w14:paraId="5D6F5DFB" w14:textId="77777777" w:rsidTr="0052617F">
        <w:tc>
          <w:tcPr>
            <w:tcW w:w="15542" w:type="dxa"/>
            <w:gridSpan w:val="2"/>
          </w:tcPr>
          <w:p w14:paraId="06B4B423" w14:textId="77777777" w:rsidR="004400D5" w:rsidRDefault="004400D5" w:rsidP="001C210D">
            <w:pPr>
              <w:jc w:val="left"/>
            </w:pPr>
            <w:r>
              <w:rPr>
                <w:b/>
                <w:sz w:val="16"/>
              </w:rPr>
              <w:t>Figure S-routing-daccs-07. ecotoxicity: freshwater, inorganics - comparative toxic unit for ecosystems (</w:t>
            </w:r>
            <w:proofErr w:type="spellStart"/>
            <w:r>
              <w:rPr>
                <w:b/>
                <w:sz w:val="16"/>
              </w:rPr>
              <w:t>CTUe</w:t>
            </w:r>
            <w:proofErr w:type="spellEnd"/>
            <w:r>
              <w:rPr>
                <w:b/>
                <w:sz w:val="16"/>
              </w:rPr>
              <w:t>).</w:t>
            </w:r>
          </w:p>
        </w:tc>
      </w:tr>
      <w:tr w:rsidR="004400D5" w14:paraId="5213C7A5" w14:textId="77777777" w:rsidTr="0052617F">
        <w:tc>
          <w:tcPr>
            <w:tcW w:w="7771" w:type="dxa"/>
            <w:vAlign w:val="center"/>
          </w:tcPr>
          <w:p w14:paraId="14755A07" w14:textId="77777777" w:rsidR="004400D5" w:rsidRDefault="004400D5" w:rsidP="001C210D">
            <w:pPr>
              <w:spacing w:after="0"/>
              <w:jc w:val="center"/>
            </w:pPr>
            <w:r>
              <w:rPr>
                <w:noProof/>
              </w:rPr>
              <w:lastRenderedPageBreak/>
              <w:drawing>
                <wp:inline distT="0" distB="0" distL="0" distR="0" wp14:anchorId="4E718942" wp14:editId="74AB941F">
                  <wp:extent cx="3483428" cy="27432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inorganics_comparative_toxic_unit_for_ecosystems_ctue_routing_comparison_unstacked.png"/>
                          <pic:cNvPicPr/>
                        </pic:nvPicPr>
                        <pic:blipFill>
                          <a:blip r:embed="rId196"/>
                          <a:stretch>
                            <a:fillRect/>
                          </a:stretch>
                        </pic:blipFill>
                        <pic:spPr>
                          <a:xfrm>
                            <a:off x="0" y="0"/>
                            <a:ext cx="3483428" cy="2743200"/>
                          </a:xfrm>
                          <a:prstGeom prst="rect">
                            <a:avLst/>
                          </a:prstGeom>
                        </pic:spPr>
                      </pic:pic>
                    </a:graphicData>
                  </a:graphic>
                </wp:inline>
              </w:drawing>
            </w:r>
          </w:p>
        </w:tc>
        <w:tc>
          <w:tcPr>
            <w:tcW w:w="7771" w:type="dxa"/>
            <w:vAlign w:val="center"/>
          </w:tcPr>
          <w:p w14:paraId="750B6AF9" w14:textId="77777777" w:rsidR="004400D5" w:rsidRDefault="004400D5" w:rsidP="001C210D">
            <w:pPr>
              <w:spacing w:after="0"/>
              <w:jc w:val="center"/>
            </w:pPr>
            <w:r>
              <w:rPr>
                <w:noProof/>
              </w:rPr>
              <w:drawing>
                <wp:inline distT="0" distB="0" distL="0" distR="0" wp14:anchorId="755E5FB8" wp14:editId="408B1CCA">
                  <wp:extent cx="3483428" cy="27432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inorganics_comparative_toxic_unit_for_ecosystems_ctue_routing_comparison_stacked.png"/>
                          <pic:cNvPicPr/>
                        </pic:nvPicPr>
                        <pic:blipFill>
                          <a:blip r:embed="rId197"/>
                          <a:stretch>
                            <a:fillRect/>
                          </a:stretch>
                        </pic:blipFill>
                        <pic:spPr>
                          <a:xfrm>
                            <a:off x="0" y="0"/>
                            <a:ext cx="3483428" cy="2743200"/>
                          </a:xfrm>
                          <a:prstGeom prst="rect">
                            <a:avLst/>
                          </a:prstGeom>
                        </pic:spPr>
                      </pic:pic>
                    </a:graphicData>
                  </a:graphic>
                </wp:inline>
              </w:drawing>
            </w:r>
          </w:p>
        </w:tc>
      </w:tr>
      <w:tr w:rsidR="004400D5" w14:paraId="1093EAA4" w14:textId="77777777" w:rsidTr="0052617F">
        <w:tc>
          <w:tcPr>
            <w:tcW w:w="15542" w:type="dxa"/>
            <w:gridSpan w:val="2"/>
          </w:tcPr>
          <w:p w14:paraId="5BDEE213" w14:textId="77777777" w:rsidR="004400D5" w:rsidRDefault="004400D5" w:rsidP="001C210D">
            <w:pPr>
              <w:jc w:val="left"/>
            </w:pPr>
            <w:r>
              <w:rPr>
                <w:b/>
                <w:sz w:val="16"/>
              </w:rPr>
              <w:t>Figure S-routing-daccs-08. ecotoxicity: freshwater, organics - comparative toxic unit for ecosystems (</w:t>
            </w:r>
            <w:proofErr w:type="spellStart"/>
            <w:r>
              <w:rPr>
                <w:b/>
                <w:sz w:val="16"/>
              </w:rPr>
              <w:t>CTUe</w:t>
            </w:r>
            <w:proofErr w:type="spellEnd"/>
            <w:r>
              <w:rPr>
                <w:b/>
                <w:sz w:val="16"/>
              </w:rPr>
              <w:t>).</w:t>
            </w:r>
          </w:p>
        </w:tc>
      </w:tr>
      <w:tr w:rsidR="004400D5" w14:paraId="6D8FAC36" w14:textId="77777777" w:rsidTr="0052617F">
        <w:tc>
          <w:tcPr>
            <w:tcW w:w="7771" w:type="dxa"/>
            <w:vAlign w:val="center"/>
          </w:tcPr>
          <w:p w14:paraId="159D5319" w14:textId="77777777" w:rsidR="004400D5" w:rsidRDefault="004400D5" w:rsidP="001C210D">
            <w:pPr>
              <w:spacing w:after="0"/>
              <w:jc w:val="center"/>
            </w:pPr>
            <w:r>
              <w:rPr>
                <w:noProof/>
              </w:rPr>
              <w:drawing>
                <wp:inline distT="0" distB="0" distL="0" distR="0" wp14:anchorId="33DC5078" wp14:editId="2607D254">
                  <wp:extent cx="3483428" cy="27432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organics_comparative_toxic_unit_for_ecosystems_ctue_routing_comparison_unstacked.png"/>
                          <pic:cNvPicPr/>
                        </pic:nvPicPr>
                        <pic:blipFill>
                          <a:blip r:embed="rId198"/>
                          <a:stretch>
                            <a:fillRect/>
                          </a:stretch>
                        </pic:blipFill>
                        <pic:spPr>
                          <a:xfrm>
                            <a:off x="0" y="0"/>
                            <a:ext cx="3483428" cy="2743200"/>
                          </a:xfrm>
                          <a:prstGeom prst="rect">
                            <a:avLst/>
                          </a:prstGeom>
                        </pic:spPr>
                      </pic:pic>
                    </a:graphicData>
                  </a:graphic>
                </wp:inline>
              </w:drawing>
            </w:r>
          </w:p>
        </w:tc>
        <w:tc>
          <w:tcPr>
            <w:tcW w:w="7771" w:type="dxa"/>
            <w:vAlign w:val="center"/>
          </w:tcPr>
          <w:p w14:paraId="4F899E6D" w14:textId="77777777" w:rsidR="004400D5" w:rsidRDefault="004400D5" w:rsidP="001C210D">
            <w:pPr>
              <w:spacing w:after="0"/>
              <w:jc w:val="center"/>
            </w:pPr>
            <w:r>
              <w:rPr>
                <w:noProof/>
              </w:rPr>
              <w:drawing>
                <wp:inline distT="0" distB="0" distL="0" distR="0" wp14:anchorId="151CA5FA" wp14:editId="071829E9">
                  <wp:extent cx="3483428" cy="27432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cotoxicity_freshwater_organics_comparative_toxic_unit_for_ecosystems_ctue_routing_comparison_stacked.png"/>
                          <pic:cNvPicPr/>
                        </pic:nvPicPr>
                        <pic:blipFill>
                          <a:blip r:embed="rId199"/>
                          <a:stretch>
                            <a:fillRect/>
                          </a:stretch>
                        </pic:blipFill>
                        <pic:spPr>
                          <a:xfrm>
                            <a:off x="0" y="0"/>
                            <a:ext cx="3483428" cy="2743200"/>
                          </a:xfrm>
                          <a:prstGeom prst="rect">
                            <a:avLst/>
                          </a:prstGeom>
                        </pic:spPr>
                      </pic:pic>
                    </a:graphicData>
                  </a:graphic>
                </wp:inline>
              </w:drawing>
            </w:r>
          </w:p>
        </w:tc>
      </w:tr>
      <w:tr w:rsidR="004400D5" w14:paraId="7F125092" w14:textId="77777777" w:rsidTr="0052617F">
        <w:tc>
          <w:tcPr>
            <w:tcW w:w="15542" w:type="dxa"/>
            <w:gridSpan w:val="2"/>
          </w:tcPr>
          <w:p w14:paraId="3BCE940B" w14:textId="77777777" w:rsidR="004400D5" w:rsidRDefault="004400D5" w:rsidP="001C210D">
            <w:pPr>
              <w:jc w:val="left"/>
            </w:pPr>
            <w:r>
              <w:rPr>
                <w:b/>
                <w:sz w:val="16"/>
              </w:rPr>
              <w:t>Figure S-routing-daccs-09. energy resources: non-renewable - abiotic depletion potential (ADP): fossil fuels.</w:t>
            </w:r>
          </w:p>
        </w:tc>
      </w:tr>
      <w:tr w:rsidR="004400D5" w14:paraId="38970153" w14:textId="77777777" w:rsidTr="0052617F">
        <w:tc>
          <w:tcPr>
            <w:tcW w:w="7771" w:type="dxa"/>
            <w:vAlign w:val="center"/>
          </w:tcPr>
          <w:p w14:paraId="7CA9E46D" w14:textId="77777777" w:rsidR="004400D5" w:rsidRDefault="004400D5" w:rsidP="001C210D">
            <w:pPr>
              <w:spacing w:after="0"/>
              <w:jc w:val="center"/>
            </w:pPr>
            <w:r>
              <w:rPr>
                <w:noProof/>
              </w:rPr>
              <w:lastRenderedPageBreak/>
              <w:drawing>
                <wp:inline distT="0" distB="0" distL="0" distR="0" wp14:anchorId="450C8B10" wp14:editId="0D3FC03A">
                  <wp:extent cx="3483428" cy="27432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nergy_resources_non_renewable_abiotic_depletion_potential_adp_fossil_fuels_routing_comparison_unstacked.png"/>
                          <pic:cNvPicPr/>
                        </pic:nvPicPr>
                        <pic:blipFill>
                          <a:blip r:embed="rId200"/>
                          <a:stretch>
                            <a:fillRect/>
                          </a:stretch>
                        </pic:blipFill>
                        <pic:spPr>
                          <a:xfrm>
                            <a:off x="0" y="0"/>
                            <a:ext cx="3483428" cy="2743200"/>
                          </a:xfrm>
                          <a:prstGeom prst="rect">
                            <a:avLst/>
                          </a:prstGeom>
                        </pic:spPr>
                      </pic:pic>
                    </a:graphicData>
                  </a:graphic>
                </wp:inline>
              </w:drawing>
            </w:r>
          </w:p>
        </w:tc>
        <w:tc>
          <w:tcPr>
            <w:tcW w:w="7771" w:type="dxa"/>
            <w:vAlign w:val="center"/>
          </w:tcPr>
          <w:p w14:paraId="1CAD1F50" w14:textId="77777777" w:rsidR="004400D5" w:rsidRDefault="004400D5" w:rsidP="001C210D">
            <w:pPr>
              <w:spacing w:after="0"/>
              <w:jc w:val="center"/>
            </w:pPr>
            <w:r>
              <w:rPr>
                <w:noProof/>
              </w:rPr>
              <w:drawing>
                <wp:inline distT="0" distB="0" distL="0" distR="0" wp14:anchorId="61BE3B9F" wp14:editId="5A0238B3">
                  <wp:extent cx="3483428" cy="27432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nergy_resources_non_renewable_abiotic_depletion_potential_adp_fossil_fuels_routing_comparison_stacked.png"/>
                          <pic:cNvPicPr/>
                        </pic:nvPicPr>
                        <pic:blipFill>
                          <a:blip r:embed="rId201"/>
                          <a:stretch>
                            <a:fillRect/>
                          </a:stretch>
                        </pic:blipFill>
                        <pic:spPr>
                          <a:xfrm>
                            <a:off x="0" y="0"/>
                            <a:ext cx="3483428" cy="2743200"/>
                          </a:xfrm>
                          <a:prstGeom prst="rect">
                            <a:avLst/>
                          </a:prstGeom>
                        </pic:spPr>
                      </pic:pic>
                    </a:graphicData>
                  </a:graphic>
                </wp:inline>
              </w:drawing>
            </w:r>
          </w:p>
        </w:tc>
      </w:tr>
      <w:tr w:rsidR="004400D5" w14:paraId="5EB8C21B" w14:textId="77777777" w:rsidTr="0052617F">
        <w:tc>
          <w:tcPr>
            <w:tcW w:w="15542" w:type="dxa"/>
            <w:gridSpan w:val="2"/>
          </w:tcPr>
          <w:p w14:paraId="141AAF03" w14:textId="77777777" w:rsidR="004400D5" w:rsidRDefault="004400D5" w:rsidP="001C210D">
            <w:pPr>
              <w:jc w:val="left"/>
            </w:pPr>
            <w:r>
              <w:rPr>
                <w:b/>
                <w:sz w:val="16"/>
              </w:rPr>
              <w:t>Figure S-routing-daccs-10. eutrophication: freshwater - fraction of nutrients reaching freshwater end compartment (P).</w:t>
            </w:r>
          </w:p>
        </w:tc>
      </w:tr>
      <w:tr w:rsidR="004400D5" w14:paraId="3740DAA0" w14:textId="77777777" w:rsidTr="0052617F">
        <w:tc>
          <w:tcPr>
            <w:tcW w:w="7771" w:type="dxa"/>
            <w:vAlign w:val="center"/>
          </w:tcPr>
          <w:p w14:paraId="70FB729A" w14:textId="77777777" w:rsidR="004400D5" w:rsidRDefault="004400D5" w:rsidP="001C210D">
            <w:pPr>
              <w:spacing w:after="0"/>
              <w:jc w:val="center"/>
            </w:pPr>
            <w:r>
              <w:rPr>
                <w:noProof/>
              </w:rPr>
              <w:drawing>
                <wp:inline distT="0" distB="0" distL="0" distR="0" wp14:anchorId="2246011F" wp14:editId="72A5D0C9">
                  <wp:extent cx="3483428" cy="27432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freshwater_fraction_of_nutrients_reaching_freshwater_end_compartment_p_routing_comparison_unstacked.png"/>
                          <pic:cNvPicPr/>
                        </pic:nvPicPr>
                        <pic:blipFill>
                          <a:blip r:embed="rId202"/>
                          <a:stretch>
                            <a:fillRect/>
                          </a:stretch>
                        </pic:blipFill>
                        <pic:spPr>
                          <a:xfrm>
                            <a:off x="0" y="0"/>
                            <a:ext cx="3483428" cy="2743200"/>
                          </a:xfrm>
                          <a:prstGeom prst="rect">
                            <a:avLst/>
                          </a:prstGeom>
                        </pic:spPr>
                      </pic:pic>
                    </a:graphicData>
                  </a:graphic>
                </wp:inline>
              </w:drawing>
            </w:r>
          </w:p>
        </w:tc>
        <w:tc>
          <w:tcPr>
            <w:tcW w:w="7771" w:type="dxa"/>
            <w:vAlign w:val="center"/>
          </w:tcPr>
          <w:p w14:paraId="79687441" w14:textId="77777777" w:rsidR="004400D5" w:rsidRDefault="004400D5" w:rsidP="001C210D">
            <w:pPr>
              <w:spacing w:after="0"/>
              <w:jc w:val="center"/>
            </w:pPr>
            <w:r>
              <w:rPr>
                <w:noProof/>
              </w:rPr>
              <w:drawing>
                <wp:inline distT="0" distB="0" distL="0" distR="0" wp14:anchorId="5E4796A5" wp14:editId="7B6B19DF">
                  <wp:extent cx="3483428" cy="274320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freshwater_fraction_of_nutrients_reaching_freshwater_end_compartment_p_routing_comparison_stacked.png"/>
                          <pic:cNvPicPr/>
                        </pic:nvPicPr>
                        <pic:blipFill>
                          <a:blip r:embed="rId203"/>
                          <a:stretch>
                            <a:fillRect/>
                          </a:stretch>
                        </pic:blipFill>
                        <pic:spPr>
                          <a:xfrm>
                            <a:off x="0" y="0"/>
                            <a:ext cx="3483428" cy="2743200"/>
                          </a:xfrm>
                          <a:prstGeom prst="rect">
                            <a:avLst/>
                          </a:prstGeom>
                        </pic:spPr>
                      </pic:pic>
                    </a:graphicData>
                  </a:graphic>
                </wp:inline>
              </w:drawing>
            </w:r>
          </w:p>
        </w:tc>
      </w:tr>
      <w:tr w:rsidR="004400D5" w14:paraId="54075156" w14:textId="77777777" w:rsidTr="0052617F">
        <w:tc>
          <w:tcPr>
            <w:tcW w:w="15542" w:type="dxa"/>
            <w:gridSpan w:val="2"/>
          </w:tcPr>
          <w:p w14:paraId="4E0FED16" w14:textId="77777777" w:rsidR="004400D5" w:rsidRDefault="004400D5" w:rsidP="001C210D">
            <w:pPr>
              <w:jc w:val="left"/>
            </w:pPr>
            <w:r>
              <w:rPr>
                <w:b/>
                <w:sz w:val="16"/>
              </w:rPr>
              <w:t>Figure S-routing-daccs-11. eutrophication: marine - fraction of nutrients reaching marine end compartment (N).</w:t>
            </w:r>
          </w:p>
        </w:tc>
      </w:tr>
      <w:tr w:rsidR="004400D5" w14:paraId="17983FD9" w14:textId="77777777" w:rsidTr="0052617F">
        <w:tc>
          <w:tcPr>
            <w:tcW w:w="7771" w:type="dxa"/>
            <w:vAlign w:val="center"/>
          </w:tcPr>
          <w:p w14:paraId="37C8431C" w14:textId="77777777" w:rsidR="004400D5" w:rsidRDefault="004400D5" w:rsidP="001C210D">
            <w:pPr>
              <w:spacing w:after="0"/>
              <w:jc w:val="center"/>
            </w:pPr>
            <w:r>
              <w:rPr>
                <w:noProof/>
              </w:rPr>
              <w:lastRenderedPageBreak/>
              <w:drawing>
                <wp:inline distT="0" distB="0" distL="0" distR="0" wp14:anchorId="56CC695C" wp14:editId="7AF2D718">
                  <wp:extent cx="3483428" cy="27432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marine_fraction_of_nutrients_reaching_marine_end_compartment_n_routing_comparison_unstacked.png"/>
                          <pic:cNvPicPr/>
                        </pic:nvPicPr>
                        <pic:blipFill>
                          <a:blip r:embed="rId204"/>
                          <a:stretch>
                            <a:fillRect/>
                          </a:stretch>
                        </pic:blipFill>
                        <pic:spPr>
                          <a:xfrm>
                            <a:off x="0" y="0"/>
                            <a:ext cx="3483428" cy="2743200"/>
                          </a:xfrm>
                          <a:prstGeom prst="rect">
                            <a:avLst/>
                          </a:prstGeom>
                        </pic:spPr>
                      </pic:pic>
                    </a:graphicData>
                  </a:graphic>
                </wp:inline>
              </w:drawing>
            </w:r>
          </w:p>
        </w:tc>
        <w:tc>
          <w:tcPr>
            <w:tcW w:w="7771" w:type="dxa"/>
            <w:vAlign w:val="center"/>
          </w:tcPr>
          <w:p w14:paraId="18C34E1C" w14:textId="77777777" w:rsidR="004400D5" w:rsidRDefault="004400D5" w:rsidP="001C210D">
            <w:pPr>
              <w:spacing w:after="0"/>
              <w:jc w:val="center"/>
            </w:pPr>
            <w:r>
              <w:rPr>
                <w:noProof/>
              </w:rPr>
              <w:drawing>
                <wp:inline distT="0" distB="0" distL="0" distR="0" wp14:anchorId="5132AA68" wp14:editId="1FC026D5">
                  <wp:extent cx="3483428" cy="27432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marine_fraction_of_nutrients_reaching_marine_end_compartment_n_routing_comparison_stacked.png"/>
                          <pic:cNvPicPr/>
                        </pic:nvPicPr>
                        <pic:blipFill>
                          <a:blip r:embed="rId205"/>
                          <a:stretch>
                            <a:fillRect/>
                          </a:stretch>
                        </pic:blipFill>
                        <pic:spPr>
                          <a:xfrm>
                            <a:off x="0" y="0"/>
                            <a:ext cx="3483428" cy="2743200"/>
                          </a:xfrm>
                          <a:prstGeom prst="rect">
                            <a:avLst/>
                          </a:prstGeom>
                        </pic:spPr>
                      </pic:pic>
                    </a:graphicData>
                  </a:graphic>
                </wp:inline>
              </w:drawing>
            </w:r>
          </w:p>
        </w:tc>
      </w:tr>
      <w:tr w:rsidR="004400D5" w14:paraId="1EA61A17" w14:textId="77777777" w:rsidTr="0052617F">
        <w:tc>
          <w:tcPr>
            <w:tcW w:w="15542" w:type="dxa"/>
            <w:gridSpan w:val="2"/>
          </w:tcPr>
          <w:p w14:paraId="46D619BC" w14:textId="77777777" w:rsidR="004400D5" w:rsidRDefault="004400D5" w:rsidP="001C210D">
            <w:pPr>
              <w:jc w:val="left"/>
            </w:pPr>
            <w:r>
              <w:rPr>
                <w:b/>
                <w:sz w:val="16"/>
              </w:rPr>
              <w:t>Figure S-routing-daccs-12. eutrophication: terrestrial - accumulated exceedance (AE).</w:t>
            </w:r>
          </w:p>
        </w:tc>
      </w:tr>
      <w:tr w:rsidR="004400D5" w14:paraId="084BB873" w14:textId="77777777" w:rsidTr="0052617F">
        <w:tc>
          <w:tcPr>
            <w:tcW w:w="7771" w:type="dxa"/>
            <w:vAlign w:val="center"/>
          </w:tcPr>
          <w:p w14:paraId="6543A132" w14:textId="77777777" w:rsidR="004400D5" w:rsidRDefault="004400D5" w:rsidP="001C210D">
            <w:pPr>
              <w:spacing w:after="0"/>
              <w:jc w:val="center"/>
            </w:pPr>
            <w:r>
              <w:rPr>
                <w:noProof/>
              </w:rPr>
              <w:drawing>
                <wp:inline distT="0" distB="0" distL="0" distR="0" wp14:anchorId="299E850F" wp14:editId="41635575">
                  <wp:extent cx="3483428" cy="27432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terrestrial_accumulated_exceedance_ae_routing_comparison_unstacked.png"/>
                          <pic:cNvPicPr/>
                        </pic:nvPicPr>
                        <pic:blipFill>
                          <a:blip r:embed="rId206"/>
                          <a:stretch>
                            <a:fillRect/>
                          </a:stretch>
                        </pic:blipFill>
                        <pic:spPr>
                          <a:xfrm>
                            <a:off x="0" y="0"/>
                            <a:ext cx="3483428" cy="2743200"/>
                          </a:xfrm>
                          <a:prstGeom prst="rect">
                            <a:avLst/>
                          </a:prstGeom>
                        </pic:spPr>
                      </pic:pic>
                    </a:graphicData>
                  </a:graphic>
                </wp:inline>
              </w:drawing>
            </w:r>
          </w:p>
        </w:tc>
        <w:tc>
          <w:tcPr>
            <w:tcW w:w="7771" w:type="dxa"/>
            <w:vAlign w:val="center"/>
          </w:tcPr>
          <w:p w14:paraId="6E8BE7E2" w14:textId="77777777" w:rsidR="004400D5" w:rsidRDefault="004400D5" w:rsidP="001C210D">
            <w:pPr>
              <w:spacing w:after="0"/>
              <w:jc w:val="center"/>
            </w:pPr>
            <w:r>
              <w:rPr>
                <w:noProof/>
              </w:rPr>
              <w:drawing>
                <wp:inline distT="0" distB="0" distL="0" distR="0" wp14:anchorId="1AD24E83" wp14:editId="111AA560">
                  <wp:extent cx="3483428" cy="27432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eutrophication_terrestrial_accumulated_exceedance_ae_routing_comparison_stacked.png"/>
                          <pic:cNvPicPr/>
                        </pic:nvPicPr>
                        <pic:blipFill>
                          <a:blip r:embed="rId207"/>
                          <a:stretch>
                            <a:fillRect/>
                          </a:stretch>
                        </pic:blipFill>
                        <pic:spPr>
                          <a:xfrm>
                            <a:off x="0" y="0"/>
                            <a:ext cx="3483428" cy="2743200"/>
                          </a:xfrm>
                          <a:prstGeom prst="rect">
                            <a:avLst/>
                          </a:prstGeom>
                        </pic:spPr>
                      </pic:pic>
                    </a:graphicData>
                  </a:graphic>
                </wp:inline>
              </w:drawing>
            </w:r>
          </w:p>
        </w:tc>
      </w:tr>
      <w:tr w:rsidR="004400D5" w14:paraId="18431FB8" w14:textId="77777777" w:rsidTr="0052617F">
        <w:tc>
          <w:tcPr>
            <w:tcW w:w="15542" w:type="dxa"/>
            <w:gridSpan w:val="2"/>
          </w:tcPr>
          <w:p w14:paraId="5BEFC41B" w14:textId="77777777" w:rsidR="004400D5" w:rsidRDefault="004400D5" w:rsidP="001C210D">
            <w:pPr>
              <w:jc w:val="left"/>
            </w:pPr>
            <w:r>
              <w:rPr>
                <w:b/>
                <w:sz w:val="16"/>
              </w:rPr>
              <w:t>Figure S-routing-daccs-13. human toxicity: carcinogenic - comparative toxic unit for human (</w:t>
            </w:r>
            <w:proofErr w:type="spellStart"/>
            <w:r>
              <w:rPr>
                <w:b/>
                <w:sz w:val="16"/>
              </w:rPr>
              <w:t>CTUh</w:t>
            </w:r>
            <w:proofErr w:type="spellEnd"/>
            <w:r>
              <w:rPr>
                <w:b/>
                <w:sz w:val="16"/>
              </w:rPr>
              <w:t>).</w:t>
            </w:r>
          </w:p>
        </w:tc>
      </w:tr>
      <w:tr w:rsidR="004400D5" w14:paraId="327DCC44" w14:textId="77777777" w:rsidTr="0052617F">
        <w:tc>
          <w:tcPr>
            <w:tcW w:w="7771" w:type="dxa"/>
            <w:vAlign w:val="center"/>
          </w:tcPr>
          <w:p w14:paraId="62249C80" w14:textId="77777777" w:rsidR="004400D5" w:rsidRDefault="004400D5" w:rsidP="001C210D">
            <w:pPr>
              <w:spacing w:after="0"/>
              <w:jc w:val="center"/>
            </w:pPr>
            <w:r>
              <w:rPr>
                <w:noProof/>
              </w:rPr>
              <w:lastRenderedPageBreak/>
              <w:drawing>
                <wp:inline distT="0" distB="0" distL="0" distR="0" wp14:anchorId="464706AD" wp14:editId="2DD7FA88">
                  <wp:extent cx="3483428" cy="27432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comparative_toxic_unit_for_human_ctuh_routing_comparison_unstacked.png"/>
                          <pic:cNvPicPr/>
                        </pic:nvPicPr>
                        <pic:blipFill>
                          <a:blip r:embed="rId208"/>
                          <a:stretch>
                            <a:fillRect/>
                          </a:stretch>
                        </pic:blipFill>
                        <pic:spPr>
                          <a:xfrm>
                            <a:off x="0" y="0"/>
                            <a:ext cx="3483428" cy="2743200"/>
                          </a:xfrm>
                          <a:prstGeom prst="rect">
                            <a:avLst/>
                          </a:prstGeom>
                        </pic:spPr>
                      </pic:pic>
                    </a:graphicData>
                  </a:graphic>
                </wp:inline>
              </w:drawing>
            </w:r>
          </w:p>
        </w:tc>
        <w:tc>
          <w:tcPr>
            <w:tcW w:w="7771" w:type="dxa"/>
            <w:vAlign w:val="center"/>
          </w:tcPr>
          <w:p w14:paraId="3194BF5B" w14:textId="77777777" w:rsidR="004400D5" w:rsidRDefault="004400D5" w:rsidP="001C210D">
            <w:pPr>
              <w:spacing w:after="0"/>
              <w:jc w:val="center"/>
            </w:pPr>
            <w:r>
              <w:rPr>
                <w:noProof/>
              </w:rPr>
              <w:drawing>
                <wp:inline distT="0" distB="0" distL="0" distR="0" wp14:anchorId="51B30B85" wp14:editId="5CCDDE88">
                  <wp:extent cx="3483428" cy="27432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comparative_toxic_unit_for_human_ctuh_routing_comparison_stacked.png"/>
                          <pic:cNvPicPr/>
                        </pic:nvPicPr>
                        <pic:blipFill>
                          <a:blip r:embed="rId209"/>
                          <a:stretch>
                            <a:fillRect/>
                          </a:stretch>
                        </pic:blipFill>
                        <pic:spPr>
                          <a:xfrm>
                            <a:off x="0" y="0"/>
                            <a:ext cx="3483428" cy="2743200"/>
                          </a:xfrm>
                          <a:prstGeom prst="rect">
                            <a:avLst/>
                          </a:prstGeom>
                        </pic:spPr>
                      </pic:pic>
                    </a:graphicData>
                  </a:graphic>
                </wp:inline>
              </w:drawing>
            </w:r>
          </w:p>
        </w:tc>
      </w:tr>
      <w:tr w:rsidR="004400D5" w14:paraId="177FC71C" w14:textId="77777777" w:rsidTr="0052617F">
        <w:tc>
          <w:tcPr>
            <w:tcW w:w="15542" w:type="dxa"/>
            <w:gridSpan w:val="2"/>
          </w:tcPr>
          <w:p w14:paraId="1F122E1D" w14:textId="77777777" w:rsidR="004400D5" w:rsidRDefault="004400D5" w:rsidP="001C210D">
            <w:pPr>
              <w:jc w:val="left"/>
            </w:pPr>
            <w:r>
              <w:rPr>
                <w:b/>
                <w:sz w:val="16"/>
              </w:rPr>
              <w:t>Figure S-routing-daccs-14. human toxicity: carcinogenic, inorganics - comparative toxic unit for human (</w:t>
            </w:r>
            <w:proofErr w:type="spellStart"/>
            <w:r>
              <w:rPr>
                <w:b/>
                <w:sz w:val="16"/>
              </w:rPr>
              <w:t>CTUh</w:t>
            </w:r>
            <w:proofErr w:type="spellEnd"/>
            <w:r>
              <w:rPr>
                <w:b/>
                <w:sz w:val="16"/>
              </w:rPr>
              <w:t>).</w:t>
            </w:r>
          </w:p>
        </w:tc>
      </w:tr>
      <w:tr w:rsidR="004400D5" w14:paraId="07FCAB73" w14:textId="77777777" w:rsidTr="0052617F">
        <w:tc>
          <w:tcPr>
            <w:tcW w:w="7771" w:type="dxa"/>
            <w:vAlign w:val="center"/>
          </w:tcPr>
          <w:p w14:paraId="1C0635F8" w14:textId="77777777" w:rsidR="004400D5" w:rsidRDefault="004400D5" w:rsidP="001C210D">
            <w:pPr>
              <w:spacing w:after="0"/>
              <w:jc w:val="center"/>
            </w:pPr>
            <w:r>
              <w:rPr>
                <w:noProof/>
              </w:rPr>
              <w:drawing>
                <wp:inline distT="0" distB="0" distL="0" distR="0" wp14:anchorId="60DEF2DA" wp14:editId="6417812A">
                  <wp:extent cx="3483428" cy="274320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inorganics_comparative_toxic_unit_for_human_ctuh_routing_comparison_unstacked.png"/>
                          <pic:cNvPicPr/>
                        </pic:nvPicPr>
                        <pic:blipFill>
                          <a:blip r:embed="rId210"/>
                          <a:stretch>
                            <a:fillRect/>
                          </a:stretch>
                        </pic:blipFill>
                        <pic:spPr>
                          <a:xfrm>
                            <a:off x="0" y="0"/>
                            <a:ext cx="3483428" cy="2743200"/>
                          </a:xfrm>
                          <a:prstGeom prst="rect">
                            <a:avLst/>
                          </a:prstGeom>
                        </pic:spPr>
                      </pic:pic>
                    </a:graphicData>
                  </a:graphic>
                </wp:inline>
              </w:drawing>
            </w:r>
          </w:p>
        </w:tc>
        <w:tc>
          <w:tcPr>
            <w:tcW w:w="7771" w:type="dxa"/>
            <w:vAlign w:val="center"/>
          </w:tcPr>
          <w:p w14:paraId="355138CC" w14:textId="77777777" w:rsidR="004400D5" w:rsidRDefault="004400D5" w:rsidP="001C210D">
            <w:pPr>
              <w:spacing w:after="0"/>
              <w:jc w:val="center"/>
            </w:pPr>
            <w:r>
              <w:rPr>
                <w:noProof/>
              </w:rPr>
              <w:drawing>
                <wp:inline distT="0" distB="0" distL="0" distR="0" wp14:anchorId="74C31EA4" wp14:editId="7C7B797A">
                  <wp:extent cx="3483428" cy="27432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inorganics_comparative_toxic_unit_for_human_ctuh_routing_comparison_stacked.png"/>
                          <pic:cNvPicPr/>
                        </pic:nvPicPr>
                        <pic:blipFill>
                          <a:blip r:embed="rId211"/>
                          <a:stretch>
                            <a:fillRect/>
                          </a:stretch>
                        </pic:blipFill>
                        <pic:spPr>
                          <a:xfrm>
                            <a:off x="0" y="0"/>
                            <a:ext cx="3483428" cy="2743200"/>
                          </a:xfrm>
                          <a:prstGeom prst="rect">
                            <a:avLst/>
                          </a:prstGeom>
                        </pic:spPr>
                      </pic:pic>
                    </a:graphicData>
                  </a:graphic>
                </wp:inline>
              </w:drawing>
            </w:r>
          </w:p>
        </w:tc>
      </w:tr>
      <w:tr w:rsidR="004400D5" w14:paraId="4D508B6B" w14:textId="77777777" w:rsidTr="0052617F">
        <w:tc>
          <w:tcPr>
            <w:tcW w:w="15542" w:type="dxa"/>
            <w:gridSpan w:val="2"/>
          </w:tcPr>
          <w:p w14:paraId="034A1D3E" w14:textId="77777777" w:rsidR="004400D5" w:rsidRDefault="004400D5" w:rsidP="001C210D">
            <w:pPr>
              <w:jc w:val="left"/>
            </w:pPr>
            <w:r>
              <w:rPr>
                <w:b/>
                <w:sz w:val="16"/>
              </w:rPr>
              <w:t>Figure S-routing-daccs-15. human toxicity: carcinogenic, organics - comparative toxic unit for human (</w:t>
            </w:r>
            <w:proofErr w:type="spellStart"/>
            <w:r>
              <w:rPr>
                <w:b/>
                <w:sz w:val="16"/>
              </w:rPr>
              <w:t>CTUh</w:t>
            </w:r>
            <w:proofErr w:type="spellEnd"/>
            <w:r>
              <w:rPr>
                <w:b/>
                <w:sz w:val="16"/>
              </w:rPr>
              <w:t>).</w:t>
            </w:r>
          </w:p>
        </w:tc>
      </w:tr>
      <w:tr w:rsidR="004400D5" w14:paraId="4D40D2DC" w14:textId="77777777" w:rsidTr="0052617F">
        <w:tc>
          <w:tcPr>
            <w:tcW w:w="7771" w:type="dxa"/>
            <w:vAlign w:val="center"/>
          </w:tcPr>
          <w:p w14:paraId="2601750C" w14:textId="77777777" w:rsidR="004400D5" w:rsidRDefault="004400D5" w:rsidP="001C210D">
            <w:pPr>
              <w:spacing w:after="0"/>
              <w:jc w:val="center"/>
            </w:pPr>
            <w:r>
              <w:rPr>
                <w:noProof/>
              </w:rPr>
              <w:lastRenderedPageBreak/>
              <w:drawing>
                <wp:inline distT="0" distB="0" distL="0" distR="0" wp14:anchorId="27F03FEC" wp14:editId="46D10B4A">
                  <wp:extent cx="3483428" cy="27432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organics_comparative_toxic_unit_for_human_ctuh_routing_comparison_unstacked.png"/>
                          <pic:cNvPicPr/>
                        </pic:nvPicPr>
                        <pic:blipFill>
                          <a:blip r:embed="rId212"/>
                          <a:stretch>
                            <a:fillRect/>
                          </a:stretch>
                        </pic:blipFill>
                        <pic:spPr>
                          <a:xfrm>
                            <a:off x="0" y="0"/>
                            <a:ext cx="3483428" cy="2743200"/>
                          </a:xfrm>
                          <a:prstGeom prst="rect">
                            <a:avLst/>
                          </a:prstGeom>
                        </pic:spPr>
                      </pic:pic>
                    </a:graphicData>
                  </a:graphic>
                </wp:inline>
              </w:drawing>
            </w:r>
          </w:p>
        </w:tc>
        <w:tc>
          <w:tcPr>
            <w:tcW w:w="7771" w:type="dxa"/>
            <w:vAlign w:val="center"/>
          </w:tcPr>
          <w:p w14:paraId="20F40A6E" w14:textId="77777777" w:rsidR="004400D5" w:rsidRDefault="004400D5" w:rsidP="001C210D">
            <w:pPr>
              <w:spacing w:after="0"/>
              <w:jc w:val="center"/>
            </w:pPr>
            <w:r>
              <w:rPr>
                <w:noProof/>
              </w:rPr>
              <w:drawing>
                <wp:inline distT="0" distB="0" distL="0" distR="0" wp14:anchorId="5CAAE575" wp14:editId="23318F99">
                  <wp:extent cx="3483428" cy="274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carcinogenic_organics_comparative_toxic_unit_for_human_ctuh_routing_comparison_stacked.png"/>
                          <pic:cNvPicPr/>
                        </pic:nvPicPr>
                        <pic:blipFill>
                          <a:blip r:embed="rId213"/>
                          <a:stretch>
                            <a:fillRect/>
                          </a:stretch>
                        </pic:blipFill>
                        <pic:spPr>
                          <a:xfrm>
                            <a:off x="0" y="0"/>
                            <a:ext cx="3483428" cy="2743200"/>
                          </a:xfrm>
                          <a:prstGeom prst="rect">
                            <a:avLst/>
                          </a:prstGeom>
                        </pic:spPr>
                      </pic:pic>
                    </a:graphicData>
                  </a:graphic>
                </wp:inline>
              </w:drawing>
            </w:r>
          </w:p>
        </w:tc>
      </w:tr>
      <w:tr w:rsidR="004400D5" w14:paraId="7A2289BB" w14:textId="77777777" w:rsidTr="0052617F">
        <w:tc>
          <w:tcPr>
            <w:tcW w:w="15542" w:type="dxa"/>
            <w:gridSpan w:val="2"/>
          </w:tcPr>
          <w:p w14:paraId="4AE624E7" w14:textId="77777777" w:rsidR="004400D5" w:rsidRDefault="004400D5" w:rsidP="001C210D">
            <w:pPr>
              <w:jc w:val="left"/>
            </w:pPr>
            <w:r>
              <w:rPr>
                <w:b/>
                <w:sz w:val="16"/>
              </w:rPr>
              <w:t>Figure S-routing-daccs-16. human toxicity: non-carcinogenic - comparative toxic unit for human (</w:t>
            </w:r>
            <w:proofErr w:type="spellStart"/>
            <w:r>
              <w:rPr>
                <w:b/>
                <w:sz w:val="16"/>
              </w:rPr>
              <w:t>CTUh</w:t>
            </w:r>
            <w:proofErr w:type="spellEnd"/>
            <w:r>
              <w:rPr>
                <w:b/>
                <w:sz w:val="16"/>
              </w:rPr>
              <w:t>).</w:t>
            </w:r>
          </w:p>
        </w:tc>
      </w:tr>
      <w:tr w:rsidR="004400D5" w14:paraId="25E5F0C9" w14:textId="77777777" w:rsidTr="0052617F">
        <w:tc>
          <w:tcPr>
            <w:tcW w:w="7771" w:type="dxa"/>
            <w:vAlign w:val="center"/>
          </w:tcPr>
          <w:p w14:paraId="1A0AC6A5" w14:textId="77777777" w:rsidR="004400D5" w:rsidRDefault="004400D5" w:rsidP="001C210D">
            <w:pPr>
              <w:spacing w:after="0"/>
              <w:jc w:val="center"/>
            </w:pPr>
            <w:r>
              <w:rPr>
                <w:noProof/>
              </w:rPr>
              <w:drawing>
                <wp:inline distT="0" distB="0" distL="0" distR="0" wp14:anchorId="3F5EAF1B" wp14:editId="2E708670">
                  <wp:extent cx="3483428" cy="27432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comparative_toxic_unit_for_human_ctuh_routing_comparison_unstacked.png"/>
                          <pic:cNvPicPr/>
                        </pic:nvPicPr>
                        <pic:blipFill>
                          <a:blip r:embed="rId214"/>
                          <a:stretch>
                            <a:fillRect/>
                          </a:stretch>
                        </pic:blipFill>
                        <pic:spPr>
                          <a:xfrm>
                            <a:off x="0" y="0"/>
                            <a:ext cx="3483428" cy="2743200"/>
                          </a:xfrm>
                          <a:prstGeom prst="rect">
                            <a:avLst/>
                          </a:prstGeom>
                        </pic:spPr>
                      </pic:pic>
                    </a:graphicData>
                  </a:graphic>
                </wp:inline>
              </w:drawing>
            </w:r>
          </w:p>
        </w:tc>
        <w:tc>
          <w:tcPr>
            <w:tcW w:w="7771" w:type="dxa"/>
            <w:vAlign w:val="center"/>
          </w:tcPr>
          <w:p w14:paraId="2A735739" w14:textId="77777777" w:rsidR="004400D5" w:rsidRDefault="004400D5" w:rsidP="001C210D">
            <w:pPr>
              <w:spacing w:after="0"/>
              <w:jc w:val="center"/>
            </w:pPr>
            <w:r>
              <w:rPr>
                <w:noProof/>
              </w:rPr>
              <w:drawing>
                <wp:inline distT="0" distB="0" distL="0" distR="0" wp14:anchorId="2DE2322F" wp14:editId="59ABF117">
                  <wp:extent cx="3483428" cy="27432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comparative_toxic_unit_for_human_ctuh_routing_comparison_stacked.png"/>
                          <pic:cNvPicPr/>
                        </pic:nvPicPr>
                        <pic:blipFill>
                          <a:blip r:embed="rId215"/>
                          <a:stretch>
                            <a:fillRect/>
                          </a:stretch>
                        </pic:blipFill>
                        <pic:spPr>
                          <a:xfrm>
                            <a:off x="0" y="0"/>
                            <a:ext cx="3483428" cy="2743200"/>
                          </a:xfrm>
                          <a:prstGeom prst="rect">
                            <a:avLst/>
                          </a:prstGeom>
                        </pic:spPr>
                      </pic:pic>
                    </a:graphicData>
                  </a:graphic>
                </wp:inline>
              </w:drawing>
            </w:r>
          </w:p>
        </w:tc>
      </w:tr>
      <w:tr w:rsidR="004400D5" w14:paraId="6E591155" w14:textId="77777777" w:rsidTr="0052617F">
        <w:tc>
          <w:tcPr>
            <w:tcW w:w="15542" w:type="dxa"/>
            <w:gridSpan w:val="2"/>
          </w:tcPr>
          <w:p w14:paraId="01532903" w14:textId="77777777" w:rsidR="004400D5" w:rsidRDefault="004400D5" w:rsidP="001C210D">
            <w:pPr>
              <w:jc w:val="left"/>
            </w:pPr>
            <w:r>
              <w:rPr>
                <w:b/>
                <w:sz w:val="16"/>
              </w:rPr>
              <w:t>Figure S-routing-daccs-17. human toxicity: non-carcinogenic, inorganics - comparative toxic unit for human (</w:t>
            </w:r>
            <w:proofErr w:type="spellStart"/>
            <w:r>
              <w:rPr>
                <w:b/>
                <w:sz w:val="16"/>
              </w:rPr>
              <w:t>CTUh</w:t>
            </w:r>
            <w:proofErr w:type="spellEnd"/>
            <w:r>
              <w:rPr>
                <w:b/>
                <w:sz w:val="16"/>
              </w:rPr>
              <w:t>).</w:t>
            </w:r>
          </w:p>
        </w:tc>
      </w:tr>
      <w:tr w:rsidR="004400D5" w14:paraId="6322A942" w14:textId="77777777" w:rsidTr="0052617F">
        <w:tc>
          <w:tcPr>
            <w:tcW w:w="7771" w:type="dxa"/>
            <w:vAlign w:val="center"/>
          </w:tcPr>
          <w:p w14:paraId="69FAE163" w14:textId="77777777" w:rsidR="004400D5" w:rsidRDefault="004400D5" w:rsidP="001C210D">
            <w:pPr>
              <w:spacing w:after="0"/>
              <w:jc w:val="center"/>
            </w:pPr>
            <w:r>
              <w:rPr>
                <w:noProof/>
              </w:rPr>
              <w:lastRenderedPageBreak/>
              <w:drawing>
                <wp:inline distT="0" distB="0" distL="0" distR="0" wp14:anchorId="344CEC27" wp14:editId="060C641F">
                  <wp:extent cx="3483428" cy="27432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inorganics_comparative_toxic_unit_for_human_ctuh_routing_comparison_unstacked.png"/>
                          <pic:cNvPicPr/>
                        </pic:nvPicPr>
                        <pic:blipFill>
                          <a:blip r:embed="rId216"/>
                          <a:stretch>
                            <a:fillRect/>
                          </a:stretch>
                        </pic:blipFill>
                        <pic:spPr>
                          <a:xfrm>
                            <a:off x="0" y="0"/>
                            <a:ext cx="3483428" cy="2743200"/>
                          </a:xfrm>
                          <a:prstGeom prst="rect">
                            <a:avLst/>
                          </a:prstGeom>
                        </pic:spPr>
                      </pic:pic>
                    </a:graphicData>
                  </a:graphic>
                </wp:inline>
              </w:drawing>
            </w:r>
          </w:p>
        </w:tc>
        <w:tc>
          <w:tcPr>
            <w:tcW w:w="7771" w:type="dxa"/>
            <w:vAlign w:val="center"/>
          </w:tcPr>
          <w:p w14:paraId="58A593C4" w14:textId="77777777" w:rsidR="004400D5" w:rsidRDefault="004400D5" w:rsidP="001C210D">
            <w:pPr>
              <w:spacing w:after="0"/>
              <w:jc w:val="center"/>
            </w:pPr>
            <w:r>
              <w:rPr>
                <w:noProof/>
              </w:rPr>
              <w:drawing>
                <wp:inline distT="0" distB="0" distL="0" distR="0" wp14:anchorId="2469A579" wp14:editId="03FDCCE1">
                  <wp:extent cx="3483428" cy="27432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inorganics_comparative_toxic_unit_for_human_ctuh_routing_comparison_stacked.png"/>
                          <pic:cNvPicPr/>
                        </pic:nvPicPr>
                        <pic:blipFill>
                          <a:blip r:embed="rId217"/>
                          <a:stretch>
                            <a:fillRect/>
                          </a:stretch>
                        </pic:blipFill>
                        <pic:spPr>
                          <a:xfrm>
                            <a:off x="0" y="0"/>
                            <a:ext cx="3483428" cy="2743200"/>
                          </a:xfrm>
                          <a:prstGeom prst="rect">
                            <a:avLst/>
                          </a:prstGeom>
                        </pic:spPr>
                      </pic:pic>
                    </a:graphicData>
                  </a:graphic>
                </wp:inline>
              </w:drawing>
            </w:r>
          </w:p>
        </w:tc>
      </w:tr>
      <w:tr w:rsidR="004400D5" w14:paraId="57363510" w14:textId="77777777" w:rsidTr="0052617F">
        <w:tc>
          <w:tcPr>
            <w:tcW w:w="15542" w:type="dxa"/>
            <w:gridSpan w:val="2"/>
          </w:tcPr>
          <w:p w14:paraId="43C427C3" w14:textId="77777777" w:rsidR="004400D5" w:rsidRDefault="004400D5" w:rsidP="001C210D">
            <w:pPr>
              <w:jc w:val="left"/>
            </w:pPr>
            <w:r>
              <w:rPr>
                <w:b/>
                <w:sz w:val="16"/>
              </w:rPr>
              <w:t>Figure S-routing-daccs-18. human toxicity: non-carcinogenic, organics - comparative toxic unit for human (</w:t>
            </w:r>
            <w:proofErr w:type="spellStart"/>
            <w:r>
              <w:rPr>
                <w:b/>
                <w:sz w:val="16"/>
              </w:rPr>
              <w:t>CTUh</w:t>
            </w:r>
            <w:proofErr w:type="spellEnd"/>
            <w:r>
              <w:rPr>
                <w:b/>
                <w:sz w:val="16"/>
              </w:rPr>
              <w:t>).</w:t>
            </w:r>
          </w:p>
        </w:tc>
      </w:tr>
      <w:tr w:rsidR="004400D5" w14:paraId="6D8E58AE" w14:textId="77777777" w:rsidTr="0052617F">
        <w:tc>
          <w:tcPr>
            <w:tcW w:w="7771" w:type="dxa"/>
            <w:vAlign w:val="center"/>
          </w:tcPr>
          <w:p w14:paraId="559E7CC1" w14:textId="77777777" w:rsidR="004400D5" w:rsidRDefault="004400D5" w:rsidP="001C210D">
            <w:pPr>
              <w:spacing w:after="0"/>
              <w:jc w:val="center"/>
            </w:pPr>
            <w:r>
              <w:rPr>
                <w:noProof/>
              </w:rPr>
              <w:drawing>
                <wp:inline distT="0" distB="0" distL="0" distR="0" wp14:anchorId="3AA996E0" wp14:editId="170DDFA0">
                  <wp:extent cx="3483428" cy="27432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organics_comparative_toxic_unit_for_human_ctuh_routing_comparison_unstacked.png"/>
                          <pic:cNvPicPr/>
                        </pic:nvPicPr>
                        <pic:blipFill>
                          <a:blip r:embed="rId218"/>
                          <a:stretch>
                            <a:fillRect/>
                          </a:stretch>
                        </pic:blipFill>
                        <pic:spPr>
                          <a:xfrm>
                            <a:off x="0" y="0"/>
                            <a:ext cx="3483428" cy="2743200"/>
                          </a:xfrm>
                          <a:prstGeom prst="rect">
                            <a:avLst/>
                          </a:prstGeom>
                        </pic:spPr>
                      </pic:pic>
                    </a:graphicData>
                  </a:graphic>
                </wp:inline>
              </w:drawing>
            </w:r>
          </w:p>
        </w:tc>
        <w:tc>
          <w:tcPr>
            <w:tcW w:w="7771" w:type="dxa"/>
            <w:vAlign w:val="center"/>
          </w:tcPr>
          <w:p w14:paraId="3C24DF11" w14:textId="77777777" w:rsidR="004400D5" w:rsidRDefault="004400D5" w:rsidP="001C210D">
            <w:pPr>
              <w:spacing w:after="0"/>
              <w:jc w:val="center"/>
            </w:pPr>
            <w:r>
              <w:rPr>
                <w:noProof/>
              </w:rPr>
              <w:drawing>
                <wp:inline distT="0" distB="0" distL="0" distR="0" wp14:anchorId="0A48C536" wp14:editId="24C2520E">
                  <wp:extent cx="3483428" cy="27432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human_toxicity_non_carcinogenic_organics_comparative_toxic_unit_for_human_ctuh_routing_comparison_stacked.png"/>
                          <pic:cNvPicPr/>
                        </pic:nvPicPr>
                        <pic:blipFill>
                          <a:blip r:embed="rId219"/>
                          <a:stretch>
                            <a:fillRect/>
                          </a:stretch>
                        </pic:blipFill>
                        <pic:spPr>
                          <a:xfrm>
                            <a:off x="0" y="0"/>
                            <a:ext cx="3483428" cy="2743200"/>
                          </a:xfrm>
                          <a:prstGeom prst="rect">
                            <a:avLst/>
                          </a:prstGeom>
                        </pic:spPr>
                      </pic:pic>
                    </a:graphicData>
                  </a:graphic>
                </wp:inline>
              </w:drawing>
            </w:r>
          </w:p>
        </w:tc>
      </w:tr>
      <w:tr w:rsidR="004400D5" w14:paraId="0432C8DB" w14:textId="77777777" w:rsidTr="0052617F">
        <w:tc>
          <w:tcPr>
            <w:tcW w:w="15542" w:type="dxa"/>
            <w:gridSpan w:val="2"/>
          </w:tcPr>
          <w:p w14:paraId="08ECEC52" w14:textId="77777777" w:rsidR="004400D5" w:rsidRDefault="004400D5" w:rsidP="001C210D">
            <w:pPr>
              <w:jc w:val="left"/>
            </w:pPr>
            <w:r>
              <w:rPr>
                <w:b/>
                <w:sz w:val="16"/>
              </w:rPr>
              <w:t xml:space="preserve">Figure S-routing-daccs-19. </w:t>
            </w:r>
            <w:proofErr w:type="spellStart"/>
            <w:r>
              <w:rPr>
                <w:b/>
                <w:sz w:val="16"/>
              </w:rPr>
              <w:t>ionising</w:t>
            </w:r>
            <w:proofErr w:type="spellEnd"/>
            <w:r>
              <w:rPr>
                <w:b/>
                <w:sz w:val="16"/>
              </w:rPr>
              <w:t xml:space="preserve"> radiation: human health - human exposure efficiency relative to u235.</w:t>
            </w:r>
          </w:p>
        </w:tc>
      </w:tr>
      <w:tr w:rsidR="004400D5" w14:paraId="1CF5241B" w14:textId="77777777" w:rsidTr="0052617F">
        <w:tc>
          <w:tcPr>
            <w:tcW w:w="7771" w:type="dxa"/>
            <w:vAlign w:val="center"/>
          </w:tcPr>
          <w:p w14:paraId="2B501C7A" w14:textId="77777777" w:rsidR="004400D5" w:rsidRDefault="004400D5" w:rsidP="001C210D">
            <w:pPr>
              <w:spacing w:after="0"/>
              <w:jc w:val="center"/>
            </w:pPr>
            <w:r>
              <w:rPr>
                <w:noProof/>
              </w:rPr>
              <w:lastRenderedPageBreak/>
              <w:drawing>
                <wp:inline distT="0" distB="0" distL="0" distR="0" wp14:anchorId="4DD2A7B8" wp14:editId="2579265F">
                  <wp:extent cx="3483428" cy="27432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ionising_radiation_human_health_human_exposure_efficiency_relative_to_u235_routing_comparison_unstacked.png"/>
                          <pic:cNvPicPr/>
                        </pic:nvPicPr>
                        <pic:blipFill>
                          <a:blip r:embed="rId220"/>
                          <a:stretch>
                            <a:fillRect/>
                          </a:stretch>
                        </pic:blipFill>
                        <pic:spPr>
                          <a:xfrm>
                            <a:off x="0" y="0"/>
                            <a:ext cx="3483428" cy="2743200"/>
                          </a:xfrm>
                          <a:prstGeom prst="rect">
                            <a:avLst/>
                          </a:prstGeom>
                        </pic:spPr>
                      </pic:pic>
                    </a:graphicData>
                  </a:graphic>
                </wp:inline>
              </w:drawing>
            </w:r>
          </w:p>
        </w:tc>
        <w:tc>
          <w:tcPr>
            <w:tcW w:w="7771" w:type="dxa"/>
            <w:vAlign w:val="center"/>
          </w:tcPr>
          <w:p w14:paraId="3B614086" w14:textId="77777777" w:rsidR="004400D5" w:rsidRDefault="004400D5" w:rsidP="001C210D">
            <w:pPr>
              <w:spacing w:after="0"/>
              <w:jc w:val="center"/>
            </w:pPr>
            <w:r>
              <w:rPr>
                <w:noProof/>
              </w:rPr>
              <w:drawing>
                <wp:inline distT="0" distB="0" distL="0" distR="0" wp14:anchorId="33C1CCE6" wp14:editId="2CDE6AD9">
                  <wp:extent cx="3483428" cy="27432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ionising_radiation_human_health_human_exposure_efficiency_relative_to_u235_routing_comparison_stacked.png"/>
                          <pic:cNvPicPr/>
                        </pic:nvPicPr>
                        <pic:blipFill>
                          <a:blip r:embed="rId221"/>
                          <a:stretch>
                            <a:fillRect/>
                          </a:stretch>
                        </pic:blipFill>
                        <pic:spPr>
                          <a:xfrm>
                            <a:off x="0" y="0"/>
                            <a:ext cx="3483428" cy="2743200"/>
                          </a:xfrm>
                          <a:prstGeom prst="rect">
                            <a:avLst/>
                          </a:prstGeom>
                        </pic:spPr>
                      </pic:pic>
                    </a:graphicData>
                  </a:graphic>
                </wp:inline>
              </w:drawing>
            </w:r>
          </w:p>
        </w:tc>
      </w:tr>
      <w:tr w:rsidR="004400D5" w14:paraId="03ADC580" w14:textId="77777777" w:rsidTr="0052617F">
        <w:tc>
          <w:tcPr>
            <w:tcW w:w="15542" w:type="dxa"/>
            <w:gridSpan w:val="2"/>
          </w:tcPr>
          <w:p w14:paraId="0376E7F8" w14:textId="77777777" w:rsidR="004400D5" w:rsidRDefault="004400D5" w:rsidP="001C210D">
            <w:pPr>
              <w:jc w:val="left"/>
            </w:pPr>
            <w:r>
              <w:rPr>
                <w:b/>
                <w:sz w:val="16"/>
              </w:rPr>
              <w:t>Figure S-routing-daccs-20. land use - soil quality index.</w:t>
            </w:r>
          </w:p>
        </w:tc>
      </w:tr>
      <w:tr w:rsidR="004400D5" w14:paraId="4E615E23" w14:textId="77777777" w:rsidTr="0052617F">
        <w:tc>
          <w:tcPr>
            <w:tcW w:w="7771" w:type="dxa"/>
            <w:vAlign w:val="center"/>
          </w:tcPr>
          <w:p w14:paraId="3C7E8004" w14:textId="77777777" w:rsidR="004400D5" w:rsidRDefault="004400D5" w:rsidP="001C210D">
            <w:pPr>
              <w:spacing w:after="0"/>
              <w:jc w:val="center"/>
            </w:pPr>
            <w:r>
              <w:rPr>
                <w:noProof/>
              </w:rPr>
              <w:drawing>
                <wp:inline distT="0" distB="0" distL="0" distR="0" wp14:anchorId="6BB5D1C2" wp14:editId="393CF1E5">
                  <wp:extent cx="3483428" cy="27432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land_use_soil_quality_index_routing_comparison_unstacked.png"/>
                          <pic:cNvPicPr/>
                        </pic:nvPicPr>
                        <pic:blipFill>
                          <a:blip r:embed="rId222"/>
                          <a:stretch>
                            <a:fillRect/>
                          </a:stretch>
                        </pic:blipFill>
                        <pic:spPr>
                          <a:xfrm>
                            <a:off x="0" y="0"/>
                            <a:ext cx="3483428" cy="2743200"/>
                          </a:xfrm>
                          <a:prstGeom prst="rect">
                            <a:avLst/>
                          </a:prstGeom>
                        </pic:spPr>
                      </pic:pic>
                    </a:graphicData>
                  </a:graphic>
                </wp:inline>
              </w:drawing>
            </w:r>
          </w:p>
        </w:tc>
        <w:tc>
          <w:tcPr>
            <w:tcW w:w="7771" w:type="dxa"/>
            <w:vAlign w:val="center"/>
          </w:tcPr>
          <w:p w14:paraId="5C01DBFD" w14:textId="77777777" w:rsidR="004400D5" w:rsidRDefault="004400D5" w:rsidP="001C210D">
            <w:pPr>
              <w:spacing w:after="0"/>
              <w:jc w:val="center"/>
            </w:pPr>
            <w:r>
              <w:rPr>
                <w:noProof/>
              </w:rPr>
              <w:drawing>
                <wp:inline distT="0" distB="0" distL="0" distR="0" wp14:anchorId="72189FC0" wp14:editId="35B5867B">
                  <wp:extent cx="3483428" cy="274320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land_use_soil_quality_index_routing_comparison_stacked.png"/>
                          <pic:cNvPicPr/>
                        </pic:nvPicPr>
                        <pic:blipFill>
                          <a:blip r:embed="rId223"/>
                          <a:stretch>
                            <a:fillRect/>
                          </a:stretch>
                        </pic:blipFill>
                        <pic:spPr>
                          <a:xfrm>
                            <a:off x="0" y="0"/>
                            <a:ext cx="3483428" cy="2743200"/>
                          </a:xfrm>
                          <a:prstGeom prst="rect">
                            <a:avLst/>
                          </a:prstGeom>
                        </pic:spPr>
                      </pic:pic>
                    </a:graphicData>
                  </a:graphic>
                </wp:inline>
              </w:drawing>
            </w:r>
          </w:p>
        </w:tc>
      </w:tr>
      <w:tr w:rsidR="004400D5" w14:paraId="31652501" w14:textId="77777777" w:rsidTr="0052617F">
        <w:tc>
          <w:tcPr>
            <w:tcW w:w="15542" w:type="dxa"/>
            <w:gridSpan w:val="2"/>
          </w:tcPr>
          <w:p w14:paraId="08654DC5" w14:textId="77777777" w:rsidR="004400D5" w:rsidRDefault="004400D5" w:rsidP="001C210D">
            <w:pPr>
              <w:jc w:val="left"/>
            </w:pPr>
            <w:r>
              <w:rPr>
                <w:b/>
                <w:sz w:val="16"/>
              </w:rPr>
              <w:t>Figure S-routing-daccs-21. material resources: metals/minerals - abiotic depletion potential (ADP): elements (ultimate reserves).</w:t>
            </w:r>
          </w:p>
        </w:tc>
      </w:tr>
      <w:tr w:rsidR="004400D5" w14:paraId="61724A88" w14:textId="77777777" w:rsidTr="0052617F">
        <w:tc>
          <w:tcPr>
            <w:tcW w:w="7771" w:type="dxa"/>
            <w:vAlign w:val="center"/>
          </w:tcPr>
          <w:p w14:paraId="1049782D" w14:textId="77777777" w:rsidR="004400D5" w:rsidRDefault="004400D5" w:rsidP="001C210D">
            <w:pPr>
              <w:spacing w:after="0"/>
              <w:jc w:val="center"/>
            </w:pPr>
            <w:r>
              <w:rPr>
                <w:noProof/>
              </w:rPr>
              <w:lastRenderedPageBreak/>
              <w:drawing>
                <wp:inline distT="0" distB="0" distL="0" distR="0" wp14:anchorId="0FF4EE95" wp14:editId="4271920F">
                  <wp:extent cx="3483428" cy="27432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material_resources_metals_minerals_abiotic_depletion_potential_adp_elements_ultimate_reserve_routing_comparison_unstacked.png"/>
                          <pic:cNvPicPr/>
                        </pic:nvPicPr>
                        <pic:blipFill>
                          <a:blip r:embed="rId224"/>
                          <a:stretch>
                            <a:fillRect/>
                          </a:stretch>
                        </pic:blipFill>
                        <pic:spPr>
                          <a:xfrm>
                            <a:off x="0" y="0"/>
                            <a:ext cx="3483428" cy="2743200"/>
                          </a:xfrm>
                          <a:prstGeom prst="rect">
                            <a:avLst/>
                          </a:prstGeom>
                        </pic:spPr>
                      </pic:pic>
                    </a:graphicData>
                  </a:graphic>
                </wp:inline>
              </w:drawing>
            </w:r>
          </w:p>
        </w:tc>
        <w:tc>
          <w:tcPr>
            <w:tcW w:w="7771" w:type="dxa"/>
            <w:vAlign w:val="center"/>
          </w:tcPr>
          <w:p w14:paraId="6D93FD88" w14:textId="77777777" w:rsidR="004400D5" w:rsidRDefault="004400D5" w:rsidP="001C210D">
            <w:pPr>
              <w:spacing w:after="0"/>
              <w:jc w:val="center"/>
            </w:pPr>
            <w:r>
              <w:rPr>
                <w:noProof/>
              </w:rPr>
              <w:drawing>
                <wp:inline distT="0" distB="0" distL="0" distR="0" wp14:anchorId="19FD31AD" wp14:editId="216786BA">
                  <wp:extent cx="3483428" cy="27432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material_resources_metals_minerals_abiotic_depletion_potential_adp_elements_ultimate_reserve_routing_comparison_stacked.png"/>
                          <pic:cNvPicPr/>
                        </pic:nvPicPr>
                        <pic:blipFill>
                          <a:blip r:embed="rId225"/>
                          <a:stretch>
                            <a:fillRect/>
                          </a:stretch>
                        </pic:blipFill>
                        <pic:spPr>
                          <a:xfrm>
                            <a:off x="0" y="0"/>
                            <a:ext cx="3483428" cy="2743200"/>
                          </a:xfrm>
                          <a:prstGeom prst="rect">
                            <a:avLst/>
                          </a:prstGeom>
                        </pic:spPr>
                      </pic:pic>
                    </a:graphicData>
                  </a:graphic>
                </wp:inline>
              </w:drawing>
            </w:r>
          </w:p>
        </w:tc>
      </w:tr>
      <w:tr w:rsidR="004400D5" w14:paraId="01C3E379" w14:textId="77777777" w:rsidTr="0052617F">
        <w:tc>
          <w:tcPr>
            <w:tcW w:w="15542" w:type="dxa"/>
            <w:gridSpan w:val="2"/>
          </w:tcPr>
          <w:p w14:paraId="78A23478" w14:textId="77777777" w:rsidR="004400D5" w:rsidRDefault="004400D5" w:rsidP="001C210D">
            <w:pPr>
              <w:jc w:val="left"/>
            </w:pPr>
            <w:r>
              <w:rPr>
                <w:b/>
                <w:sz w:val="16"/>
              </w:rPr>
              <w:t>Figure S-routing-daccs-22. ozone depletion - ozone depletion potential (ODP).</w:t>
            </w:r>
          </w:p>
        </w:tc>
      </w:tr>
      <w:tr w:rsidR="004400D5" w14:paraId="0C976B87" w14:textId="77777777" w:rsidTr="0052617F">
        <w:tc>
          <w:tcPr>
            <w:tcW w:w="7771" w:type="dxa"/>
            <w:vAlign w:val="center"/>
          </w:tcPr>
          <w:p w14:paraId="52FA4072" w14:textId="77777777" w:rsidR="004400D5" w:rsidRDefault="004400D5" w:rsidP="001C210D">
            <w:pPr>
              <w:spacing w:after="0"/>
              <w:jc w:val="center"/>
            </w:pPr>
            <w:r>
              <w:rPr>
                <w:noProof/>
              </w:rPr>
              <w:drawing>
                <wp:inline distT="0" distB="0" distL="0" distR="0" wp14:anchorId="1BA84EFC" wp14:editId="22EAE2FB">
                  <wp:extent cx="3483428" cy="27432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ozone_depletion_ozone_depletion_potential_odp_routing_comparison_unstacked.png"/>
                          <pic:cNvPicPr/>
                        </pic:nvPicPr>
                        <pic:blipFill>
                          <a:blip r:embed="rId226"/>
                          <a:stretch>
                            <a:fillRect/>
                          </a:stretch>
                        </pic:blipFill>
                        <pic:spPr>
                          <a:xfrm>
                            <a:off x="0" y="0"/>
                            <a:ext cx="3483428" cy="2743200"/>
                          </a:xfrm>
                          <a:prstGeom prst="rect">
                            <a:avLst/>
                          </a:prstGeom>
                        </pic:spPr>
                      </pic:pic>
                    </a:graphicData>
                  </a:graphic>
                </wp:inline>
              </w:drawing>
            </w:r>
          </w:p>
        </w:tc>
        <w:tc>
          <w:tcPr>
            <w:tcW w:w="7771" w:type="dxa"/>
            <w:vAlign w:val="center"/>
          </w:tcPr>
          <w:p w14:paraId="658724B0" w14:textId="77777777" w:rsidR="004400D5" w:rsidRDefault="004400D5" w:rsidP="001C210D">
            <w:pPr>
              <w:spacing w:after="0"/>
              <w:jc w:val="center"/>
            </w:pPr>
            <w:r>
              <w:rPr>
                <w:noProof/>
              </w:rPr>
              <w:drawing>
                <wp:inline distT="0" distB="0" distL="0" distR="0" wp14:anchorId="28126AF6" wp14:editId="659E268C">
                  <wp:extent cx="3483428" cy="27432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ozone_depletion_ozone_depletion_potential_odp_routing_comparison_stacked.png"/>
                          <pic:cNvPicPr/>
                        </pic:nvPicPr>
                        <pic:blipFill>
                          <a:blip r:embed="rId227"/>
                          <a:stretch>
                            <a:fillRect/>
                          </a:stretch>
                        </pic:blipFill>
                        <pic:spPr>
                          <a:xfrm>
                            <a:off x="0" y="0"/>
                            <a:ext cx="3483428" cy="2743200"/>
                          </a:xfrm>
                          <a:prstGeom prst="rect">
                            <a:avLst/>
                          </a:prstGeom>
                        </pic:spPr>
                      </pic:pic>
                    </a:graphicData>
                  </a:graphic>
                </wp:inline>
              </w:drawing>
            </w:r>
          </w:p>
        </w:tc>
      </w:tr>
      <w:tr w:rsidR="004400D5" w14:paraId="5AB7BFB6" w14:textId="77777777" w:rsidTr="0052617F">
        <w:tc>
          <w:tcPr>
            <w:tcW w:w="15542" w:type="dxa"/>
            <w:gridSpan w:val="2"/>
          </w:tcPr>
          <w:p w14:paraId="2804C9A0" w14:textId="77777777" w:rsidR="004400D5" w:rsidRDefault="004400D5" w:rsidP="001C210D">
            <w:pPr>
              <w:jc w:val="left"/>
            </w:pPr>
            <w:r>
              <w:rPr>
                <w:b/>
                <w:sz w:val="16"/>
              </w:rPr>
              <w:t>Figure S-routing-daccs-23. particulate matter formation - impact on human health.</w:t>
            </w:r>
          </w:p>
        </w:tc>
      </w:tr>
      <w:tr w:rsidR="004400D5" w14:paraId="4D64DC17" w14:textId="77777777" w:rsidTr="0052617F">
        <w:tc>
          <w:tcPr>
            <w:tcW w:w="7771" w:type="dxa"/>
            <w:vAlign w:val="center"/>
          </w:tcPr>
          <w:p w14:paraId="564298FC" w14:textId="77777777" w:rsidR="004400D5" w:rsidRDefault="004400D5" w:rsidP="001C210D">
            <w:pPr>
              <w:spacing w:after="0"/>
              <w:jc w:val="center"/>
            </w:pPr>
            <w:r>
              <w:rPr>
                <w:noProof/>
              </w:rPr>
              <w:lastRenderedPageBreak/>
              <w:drawing>
                <wp:inline distT="0" distB="0" distL="0" distR="0" wp14:anchorId="7F39B820" wp14:editId="645999B6">
                  <wp:extent cx="3483428" cy="27432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articulate_matter_formation_impact_on_human_health_routing_comparison_unstacked.png"/>
                          <pic:cNvPicPr/>
                        </pic:nvPicPr>
                        <pic:blipFill>
                          <a:blip r:embed="rId228"/>
                          <a:stretch>
                            <a:fillRect/>
                          </a:stretch>
                        </pic:blipFill>
                        <pic:spPr>
                          <a:xfrm>
                            <a:off x="0" y="0"/>
                            <a:ext cx="3483428" cy="2743200"/>
                          </a:xfrm>
                          <a:prstGeom prst="rect">
                            <a:avLst/>
                          </a:prstGeom>
                        </pic:spPr>
                      </pic:pic>
                    </a:graphicData>
                  </a:graphic>
                </wp:inline>
              </w:drawing>
            </w:r>
          </w:p>
        </w:tc>
        <w:tc>
          <w:tcPr>
            <w:tcW w:w="7771" w:type="dxa"/>
            <w:vAlign w:val="center"/>
          </w:tcPr>
          <w:p w14:paraId="53F3DCA7" w14:textId="77777777" w:rsidR="004400D5" w:rsidRDefault="004400D5" w:rsidP="001C210D">
            <w:pPr>
              <w:spacing w:after="0"/>
              <w:jc w:val="center"/>
            </w:pPr>
            <w:r>
              <w:rPr>
                <w:noProof/>
              </w:rPr>
              <w:drawing>
                <wp:inline distT="0" distB="0" distL="0" distR="0" wp14:anchorId="5C6ABF25" wp14:editId="0633DB17">
                  <wp:extent cx="3483428" cy="27432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articulate_matter_formation_impact_on_human_health_routing_comparison_stacked.png"/>
                          <pic:cNvPicPr/>
                        </pic:nvPicPr>
                        <pic:blipFill>
                          <a:blip r:embed="rId229"/>
                          <a:stretch>
                            <a:fillRect/>
                          </a:stretch>
                        </pic:blipFill>
                        <pic:spPr>
                          <a:xfrm>
                            <a:off x="0" y="0"/>
                            <a:ext cx="3483428" cy="2743200"/>
                          </a:xfrm>
                          <a:prstGeom prst="rect">
                            <a:avLst/>
                          </a:prstGeom>
                        </pic:spPr>
                      </pic:pic>
                    </a:graphicData>
                  </a:graphic>
                </wp:inline>
              </w:drawing>
            </w:r>
          </w:p>
        </w:tc>
      </w:tr>
      <w:tr w:rsidR="004400D5" w14:paraId="3D292234" w14:textId="77777777" w:rsidTr="0052617F">
        <w:tc>
          <w:tcPr>
            <w:tcW w:w="15542" w:type="dxa"/>
            <w:gridSpan w:val="2"/>
          </w:tcPr>
          <w:p w14:paraId="315C4E00" w14:textId="77777777" w:rsidR="004400D5" w:rsidRDefault="004400D5" w:rsidP="001C210D">
            <w:pPr>
              <w:jc w:val="left"/>
            </w:pPr>
            <w:r>
              <w:rPr>
                <w:b/>
                <w:sz w:val="16"/>
              </w:rPr>
              <w:t>Figure S-routing-daccs-24. photochemical oxidant formation: human health - tropospheric ozone concentration increase.</w:t>
            </w:r>
          </w:p>
        </w:tc>
      </w:tr>
      <w:tr w:rsidR="004400D5" w14:paraId="5F4F1DF8" w14:textId="77777777" w:rsidTr="0052617F">
        <w:tc>
          <w:tcPr>
            <w:tcW w:w="7771" w:type="dxa"/>
            <w:vAlign w:val="center"/>
          </w:tcPr>
          <w:p w14:paraId="6E11F450" w14:textId="77777777" w:rsidR="004400D5" w:rsidRDefault="004400D5" w:rsidP="001C210D">
            <w:pPr>
              <w:spacing w:after="0"/>
              <w:jc w:val="center"/>
            </w:pPr>
            <w:r>
              <w:rPr>
                <w:noProof/>
              </w:rPr>
              <w:drawing>
                <wp:inline distT="0" distB="0" distL="0" distR="0" wp14:anchorId="0E68C35F" wp14:editId="641BC7F6">
                  <wp:extent cx="3483428" cy="27432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hotochemical_oxidant_formation_human_health_tropospheric_ozone_concentration_increase_routing_comparison_unstacked.png"/>
                          <pic:cNvPicPr/>
                        </pic:nvPicPr>
                        <pic:blipFill>
                          <a:blip r:embed="rId230"/>
                          <a:stretch>
                            <a:fillRect/>
                          </a:stretch>
                        </pic:blipFill>
                        <pic:spPr>
                          <a:xfrm>
                            <a:off x="0" y="0"/>
                            <a:ext cx="3483428" cy="2743200"/>
                          </a:xfrm>
                          <a:prstGeom prst="rect">
                            <a:avLst/>
                          </a:prstGeom>
                        </pic:spPr>
                      </pic:pic>
                    </a:graphicData>
                  </a:graphic>
                </wp:inline>
              </w:drawing>
            </w:r>
          </w:p>
        </w:tc>
        <w:tc>
          <w:tcPr>
            <w:tcW w:w="7771" w:type="dxa"/>
            <w:vAlign w:val="center"/>
          </w:tcPr>
          <w:p w14:paraId="41D68F95" w14:textId="77777777" w:rsidR="004400D5" w:rsidRDefault="004400D5" w:rsidP="001C210D">
            <w:pPr>
              <w:spacing w:after="0"/>
              <w:jc w:val="center"/>
            </w:pPr>
            <w:r>
              <w:rPr>
                <w:noProof/>
              </w:rPr>
              <w:drawing>
                <wp:inline distT="0" distB="0" distL="0" distR="0" wp14:anchorId="18D307E7" wp14:editId="72E2F318">
                  <wp:extent cx="3483428" cy="27432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photochemical_oxidant_formation_human_health_tropospheric_ozone_concentration_increase_routing_comparison_stacked.png"/>
                          <pic:cNvPicPr/>
                        </pic:nvPicPr>
                        <pic:blipFill>
                          <a:blip r:embed="rId231"/>
                          <a:stretch>
                            <a:fillRect/>
                          </a:stretch>
                        </pic:blipFill>
                        <pic:spPr>
                          <a:xfrm>
                            <a:off x="0" y="0"/>
                            <a:ext cx="3483428" cy="2743200"/>
                          </a:xfrm>
                          <a:prstGeom prst="rect">
                            <a:avLst/>
                          </a:prstGeom>
                        </pic:spPr>
                      </pic:pic>
                    </a:graphicData>
                  </a:graphic>
                </wp:inline>
              </w:drawing>
            </w:r>
          </w:p>
        </w:tc>
      </w:tr>
      <w:tr w:rsidR="004400D5" w14:paraId="4C53FBF7" w14:textId="77777777" w:rsidTr="0052617F">
        <w:tc>
          <w:tcPr>
            <w:tcW w:w="15542" w:type="dxa"/>
            <w:gridSpan w:val="2"/>
          </w:tcPr>
          <w:p w14:paraId="793DA0EF" w14:textId="77777777" w:rsidR="004400D5" w:rsidRDefault="004400D5" w:rsidP="001C210D">
            <w:pPr>
              <w:jc w:val="left"/>
            </w:pPr>
            <w:r>
              <w:rPr>
                <w:b/>
                <w:sz w:val="16"/>
              </w:rPr>
              <w:t>Figure S-routing-daccs-25. water use - user deprivation potential (deprivation-weighted water consumption).</w:t>
            </w:r>
          </w:p>
        </w:tc>
      </w:tr>
      <w:tr w:rsidR="004400D5" w14:paraId="34AF903C" w14:textId="77777777" w:rsidTr="0052617F">
        <w:tc>
          <w:tcPr>
            <w:tcW w:w="7771" w:type="dxa"/>
            <w:vAlign w:val="center"/>
          </w:tcPr>
          <w:p w14:paraId="4CF61868" w14:textId="77777777" w:rsidR="004400D5" w:rsidRDefault="004400D5" w:rsidP="001C210D">
            <w:pPr>
              <w:spacing w:after="0"/>
              <w:jc w:val="center"/>
            </w:pPr>
            <w:r>
              <w:rPr>
                <w:noProof/>
              </w:rPr>
              <w:lastRenderedPageBreak/>
              <w:drawing>
                <wp:inline distT="0" distB="0" distL="0" distR="0" wp14:anchorId="0794D92E" wp14:editId="745C7E1E">
                  <wp:extent cx="3483428" cy="27432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water_use_user_deprivation_potential_deprivation_weighted_water_consumption_routing_comparison_unstacked.png"/>
                          <pic:cNvPicPr/>
                        </pic:nvPicPr>
                        <pic:blipFill>
                          <a:blip r:embed="rId232"/>
                          <a:stretch>
                            <a:fillRect/>
                          </a:stretch>
                        </pic:blipFill>
                        <pic:spPr>
                          <a:xfrm>
                            <a:off x="0" y="0"/>
                            <a:ext cx="3483428" cy="2743200"/>
                          </a:xfrm>
                          <a:prstGeom prst="rect">
                            <a:avLst/>
                          </a:prstGeom>
                        </pic:spPr>
                      </pic:pic>
                    </a:graphicData>
                  </a:graphic>
                </wp:inline>
              </w:drawing>
            </w:r>
          </w:p>
        </w:tc>
        <w:tc>
          <w:tcPr>
            <w:tcW w:w="7771" w:type="dxa"/>
            <w:vAlign w:val="center"/>
          </w:tcPr>
          <w:p w14:paraId="18133A48" w14:textId="77777777" w:rsidR="004400D5" w:rsidRDefault="004400D5" w:rsidP="001C210D">
            <w:pPr>
              <w:spacing w:after="0"/>
              <w:jc w:val="center"/>
            </w:pPr>
            <w:r>
              <w:rPr>
                <w:noProof/>
              </w:rPr>
              <w:drawing>
                <wp:inline distT="0" distB="0" distL="0" distR="0" wp14:anchorId="1B5F3EE2" wp14:editId="2FFC32DA">
                  <wp:extent cx="3483428" cy="27432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_v3_1_water_use_user_deprivation_potential_deprivation_weighted_water_consumption_routing_comparison_stacked.png"/>
                          <pic:cNvPicPr/>
                        </pic:nvPicPr>
                        <pic:blipFill>
                          <a:blip r:embed="rId233"/>
                          <a:stretch>
                            <a:fillRect/>
                          </a:stretch>
                        </pic:blipFill>
                        <pic:spPr>
                          <a:xfrm>
                            <a:off x="0" y="0"/>
                            <a:ext cx="3483428" cy="2743200"/>
                          </a:xfrm>
                          <a:prstGeom prst="rect">
                            <a:avLst/>
                          </a:prstGeom>
                        </pic:spPr>
                      </pic:pic>
                    </a:graphicData>
                  </a:graphic>
                </wp:inline>
              </w:drawing>
            </w:r>
          </w:p>
        </w:tc>
      </w:tr>
    </w:tbl>
    <w:p w14:paraId="4E3D0A7D" w14:textId="77777777" w:rsidR="004400D5" w:rsidRDefault="004400D5" w:rsidP="004400D5"/>
    <w:p w14:paraId="78767BC0" w14:textId="77777777" w:rsidR="00EA62D7" w:rsidRDefault="00EA62D7">
      <w:pPr>
        <w:sectPr w:rsidR="00EA62D7" w:rsidSect="008C1996">
          <w:pgSz w:w="16838" w:h="11906" w:orient="landscape"/>
          <w:pgMar w:top="550" w:right="648" w:bottom="1237" w:left="648" w:header="288" w:footer="288" w:gutter="0"/>
          <w:cols w:space="720"/>
        </w:sectPr>
      </w:pPr>
    </w:p>
    <w:p w14:paraId="0BB0850B" w14:textId="048C293C" w:rsidR="00095124" w:rsidRDefault="00095124" w:rsidP="00095124">
      <w:pPr>
        <w:pStyle w:val="Heading1"/>
        <w:numPr>
          <w:ilvl w:val="0"/>
          <w:numId w:val="0"/>
        </w:numPr>
      </w:pPr>
      <w:bookmarkStart w:id="26" w:name="_Toc233129524"/>
      <w:r>
        <w:lastRenderedPageBreak/>
        <w:t>References</w:t>
      </w:r>
      <w:bookmarkEnd w:id="26"/>
    </w:p>
    <w:p w14:paraId="2CB95CF7" w14:textId="355B0B8D" w:rsidR="00095124" w:rsidRDefault="00095124" w:rsidP="00095124">
      <w:proofErr w:type="spellStart"/>
      <w:r>
        <w:t>Diepers</w:t>
      </w:r>
      <w:proofErr w:type="spellEnd"/>
      <w:r>
        <w:t xml:space="preserve"> et al. (2026). </w:t>
      </w:r>
      <w:proofErr w:type="spellStart"/>
      <w:r>
        <w:t>bw_timex</w:t>
      </w:r>
      <w:proofErr w:type="spellEnd"/>
      <w:r>
        <w:t xml:space="preserve">: A Python Package for Time-Explicit Life Cycle Assessment. Journal of </w:t>
      </w:r>
      <w:proofErr w:type="gramStart"/>
      <w:r>
        <w:t>Open Source</w:t>
      </w:r>
      <w:proofErr w:type="gramEnd"/>
      <w:r>
        <w:t xml:space="preserve"> Software, 11(120), 9621, https://doi.org/10.21105/joss.09621.</w:t>
      </w:r>
    </w:p>
    <w:p w14:paraId="26E18937" w14:textId="77777777" w:rsidR="00095124" w:rsidRDefault="00095124" w:rsidP="00095124">
      <w:r>
        <w:t>Astrup, T., Mosbaek, H., and Christensen, T. H. (2006). Assessment of long-term leaching from waste incineration air-pollution-control residues. Waste Management, 26(8), 803-814. https://doi.org/10.1016/j.wasman.2005.12.008.</w:t>
      </w:r>
    </w:p>
    <w:p w14:paraId="3559D82D" w14:textId="77777777" w:rsidR="00095124" w:rsidRPr="001E30A8" w:rsidRDefault="00095124" w:rsidP="00095124">
      <w:pPr>
        <w:rPr>
          <w:lang w:val="de-CH"/>
        </w:rPr>
      </w:pPr>
      <w:r>
        <w:t xml:space="preserve">Baun, D. L., and Christensen, T. H. (2004). Speciation of heavy metals in landfill leachate: A review. </w:t>
      </w:r>
      <w:proofErr w:type="spellStart"/>
      <w:r w:rsidRPr="001E30A8">
        <w:rPr>
          <w:lang w:val="de-CH"/>
        </w:rPr>
        <w:t>Waste</w:t>
      </w:r>
      <w:proofErr w:type="spellEnd"/>
      <w:r w:rsidRPr="001E30A8">
        <w:rPr>
          <w:lang w:val="de-CH"/>
        </w:rPr>
        <w:t xml:space="preserve"> Management &amp; Research, 22(1), 3-23. https://doi.org/10.1177/0734242X04042146.</w:t>
      </w:r>
    </w:p>
    <w:p w14:paraId="52C6FDFA" w14:textId="77777777" w:rsidR="00095124" w:rsidRDefault="00095124" w:rsidP="00095124">
      <w:r w:rsidRPr="001E30A8">
        <w:rPr>
          <w:lang w:val="de-CH"/>
        </w:rPr>
        <w:t xml:space="preserve">Christensen, T. H., Kjeldsen, P., Bjerg, P. L., Jensen, D. L., Christensen, J. B., Baun, A., Albrechtsen, H.-J., and Heron, G. (2001). </w:t>
      </w:r>
      <w:r>
        <w:t>Biogeochemistry of landfill leachate plumes. Applied Geochemistry, 16(7-8), 659-718. https://doi.org/10.1016/S0883-2927(00)00082-2.</w:t>
      </w:r>
    </w:p>
    <w:p w14:paraId="370A5289" w14:textId="77777777" w:rsidR="00095124" w:rsidRDefault="00095124" w:rsidP="00095124">
      <w:r>
        <w:t>Doka, G. (2003). Life Cycle Inventories of Waste Treatment Services. ecoinvent report No. 13. Swiss Centre for Life Cycle Inventories, Duebendorf.</w:t>
      </w:r>
    </w:p>
    <w:p w14:paraId="220D2F22" w14:textId="77777777" w:rsidR="00095124" w:rsidRDefault="00095124" w:rsidP="00095124">
      <w:r>
        <w:t>Environment Agency. (2003). LandSim 2.5: groundwater risk assessment tool for landfill design (LIT 1773). Environment Agency.</w:t>
      </w:r>
    </w:p>
    <w:p w14:paraId="6ED5EB43" w14:textId="77777777" w:rsidR="00095124" w:rsidRDefault="00095124" w:rsidP="00095124">
      <w:r>
        <w:t>Hischier, R., Weidema, B., Althaus, H.-J., Bauer, C., Doka, G., Dones, R., Frischknecht, R., Hellweg, S., Humbert, S., Jungbluth, N., Koellner, T., Loerincik, Y., Margni, M., and Nemecek, T. (2010). Implementation of Life Cycle Impact Assessment Methods. ecoinvent report No. 3, v2.2. Swiss Centre for Life Cycle Inventories.</w:t>
      </w:r>
    </w:p>
    <w:p w14:paraId="1FAF6739" w14:textId="77777777" w:rsidR="00095124" w:rsidRDefault="00095124" w:rsidP="00095124">
      <w:r>
        <w:t>Kjeldsen, P., Barlaz, M. A., Rooker, A. P., Baun, A., Ledin, A., and Christensen, T. H. (2002). Present and long-term composition of MSW landfill leachate: A review. Critical Reviews in Environmental Science and Technology, 32(4), 297-336. https://doi.org/10.1080/10643380290813462.</w:t>
      </w:r>
    </w:p>
    <w:p w14:paraId="2717AF2E" w14:textId="77777777" w:rsidR="00095124" w:rsidRDefault="00095124" w:rsidP="00095124">
      <w:r>
        <w:t>U.S. Environmental Protection Agency. (1999). Understanding Variation in Partition Coefficient, Kd, Values. Volume II: Review of Geochemistry and Available Kd Values for Cadmium, Cesium, Chromium, Lead, Plutonium, Radon, Strontium, Thorium, Tritium (3H), and Uranium (EPA 402-R-99-004B). U.S. EPA.</w:t>
      </w:r>
    </w:p>
    <w:p w14:paraId="52A83766" w14:textId="77777777" w:rsidR="00095124" w:rsidRDefault="00095124" w:rsidP="00095124">
      <w:r>
        <w:t>U.S. Environmental Protection Agency. (2004). Understanding Variation in Partition Coefficient, Kd, Values. Volume III: Review of Geochemistry and Available Kd Values for Americium, Arsenic, Curium, Iodine, Neptunium, Radium, and Technetium (EPA 402-R-04-002C). U.S. EPA.</w:t>
      </w:r>
    </w:p>
    <w:p w14:paraId="795C0C2A" w14:textId="73CEC6EE" w:rsidR="0057045C" w:rsidRDefault="00095124">
      <w:pPr>
        <w:sectPr w:rsidR="0057045C">
          <w:pgSz w:w="11906" w:h="16838" w:code="9"/>
          <w:pgMar w:top="2835" w:right="2608" w:bottom="3175" w:left="2665" w:header="2494" w:footer="2466" w:gutter="0"/>
          <w:lnNumType w:countBy="1" w:restart="continuous"/>
          <w:cols w:space="709"/>
          <w:noEndnote/>
          <w:titlePg/>
          <w:docGrid w:linePitch="326"/>
        </w:sectPr>
      </w:pPr>
      <w:r>
        <w:lastRenderedPageBreak/>
        <w:t>Zhao, R., Gupta, A., Novak, J. T., and Goldsmith, C. D. (2017). Evolution of nitrogen species in landfill leachates under various stabilization states. Waste Management, 69, 392-401. https://doi.org/10.1016/j.wasman.2017.08.028</w:t>
      </w:r>
    </w:p>
    <w:p w14:paraId="124DFCA7" w14:textId="77777777" w:rsidR="00DD4E94" w:rsidRDefault="00DD4E94" w:rsidP="00247429">
      <w:pPr>
        <w:pStyle w:val="Heading1"/>
        <w:numPr>
          <w:ilvl w:val="0"/>
          <w:numId w:val="0"/>
        </w:numPr>
      </w:pPr>
    </w:p>
    <w:sectPr w:rsidR="00DD4E94" w:rsidSect="001D285E">
      <w:pgSz w:w="16838" w:h="11906" w:orient="landscape" w:code="9"/>
      <w:pgMar w:top="648" w:right="648" w:bottom="648" w:left="648" w:header="2494" w:footer="2466" w:gutter="0"/>
      <w:lnNumType w:countBy="1" w:restart="continuous"/>
      <w:cols w:space="709"/>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endnote w:type="separator" w:id="-1">
    <w:p w14:paraId="3F8D0679" w14:textId="77777777" w:rsidR="002515B2" w:rsidRDefault="002515B2">
      <w:r>
        <w:separator/>
      </w:r>
    </w:p>
    <w:p w14:paraId="203E1DF6" w14:textId="77777777" w:rsidR="002515B2" w:rsidRDefault="002515B2"/>
  </w:endnote>
  <w:endnote w:type="continuationSeparator" w:id="0">
    <w:p w14:paraId="273D9F53" w14:textId="77777777" w:rsidR="002515B2" w:rsidRDefault="002515B2">
      <w:r>
        <w:continuationSeparator/>
      </w:r>
    </w:p>
    <w:p w14:paraId="0215EC8D" w14:textId="77777777" w:rsidR="002515B2" w:rsidRDefault="002515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Times">
    <w:altName w:val="Sylfaen"/>
    <w:panose1 w:val="020B06040202020202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ms Rmn">
    <w:panose1 w:val="020B0604020202020204"/>
    <w:charset w:val="00"/>
    <w:family w:val="roman"/>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Batang">
    <w:altName w:val="바탕"/>
    <w:panose1 w:val="02030600000101010101"/>
    <w:charset w:val="81"/>
    <w:family w:val="roman"/>
    <w:pitch w:val="variable"/>
    <w:sig w:usb0="B00002AF" w:usb1="69D77CFB" w:usb2="00000030" w:usb3="00000000" w:csb0="0008009F"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footnote w:type="separator" w:id="-1">
    <w:p w14:paraId="0A142734" w14:textId="77777777" w:rsidR="002515B2" w:rsidRDefault="002515B2">
      <w:r>
        <w:separator/>
      </w:r>
    </w:p>
    <w:p w14:paraId="42309F67" w14:textId="77777777" w:rsidR="002515B2" w:rsidRDefault="002515B2"/>
  </w:footnote>
  <w:footnote w:type="continuationSeparator" w:id="0">
    <w:p w14:paraId="23A0EA39" w14:textId="77777777" w:rsidR="002515B2" w:rsidRDefault="002515B2">
      <w:r>
        <w:continuationSeparator/>
      </w:r>
    </w:p>
    <w:p w14:paraId="6F464F77" w14:textId="77777777" w:rsidR="002515B2" w:rsidRDefault="002515B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abstractNum w:abstractNumId="0" w15:restartNumberingAfterBreak="0">
    <w:nsid w:val="FFFFFFFB"/>
    <w:multiLevelType w:val="multilevel"/>
    <w:tmpl w:val="64C8CD70"/>
    <w:lvl w:ilvl="0">
      <w:numFmt w:val="bullet"/>
      <w:pStyle w:val="subitem"/>
      <w:lvlText w:val="–"/>
      <w:lvlJc w:val="left"/>
      <w:pPr>
        <w:tabs>
          <w:tab w:val="num" w:pos="598"/>
        </w:tabs>
        <w:ind w:left="598" w:hanging="360"/>
      </w:pPr>
      <w:rPr>
        <w:rFonts w:ascii="Times" w:eastAsia="Times New Roman" w:hAnsi="Times" w:hint="default"/>
      </w:rPr>
    </w:lvl>
    <w:lvl w:ilvl="1">
      <w:numFmt w:val="none"/>
      <w:lvlText w:val=""/>
      <w:lvlJc w:val="left"/>
    </w:lvl>
    <w:lvl w:ilvl="2">
      <w:numFmt w:val="none"/>
      <w:lvlText w:val=""/>
      <w:lvlJc w:val="left"/>
    </w:lvl>
    <w:lvl w:ilvl="3">
      <w:numFmt w:val="decimal"/>
      <w:lvlText w:val="%4"/>
      <w:legacy w:legacy="1" w:legacySpace="0" w:legacyIndent="0"/>
      <w:lvlJc w:val="left"/>
      <w:rPr>
        <w:rFonts w:ascii="Tms Rmn" w:hAnsi="Tms Rmn" w:hint="default"/>
      </w:rPr>
    </w:lvl>
    <w:lvl w:ilvl="4">
      <w:numFmt w:val="decimal"/>
      <w:lvlText w:val="%5"/>
      <w:legacy w:legacy="1" w:legacySpace="0" w:legacyIndent="0"/>
      <w:lvlJc w:val="left"/>
      <w:rPr>
        <w:rFonts w:ascii="Tms Rmn" w:hAnsi="Tms Rmn" w:hint="default"/>
      </w:rPr>
    </w:lvl>
    <w:lvl w:ilvl="5">
      <w:numFmt w:val="decimal"/>
      <w:lvlText w:val="%6"/>
      <w:legacy w:legacy="1" w:legacySpace="0" w:legacyIndent="0"/>
      <w:lvlJc w:val="left"/>
      <w:rPr>
        <w:rFonts w:ascii="Tms Rmn" w:hAnsi="Tms Rmn" w:hint="default"/>
      </w:rPr>
    </w:lvl>
    <w:lvl w:ilvl="6">
      <w:numFmt w:val="decimal"/>
      <w:lvlText w:val="%7"/>
      <w:legacy w:legacy="1" w:legacySpace="0" w:legacyIndent="0"/>
      <w:lvlJc w:val="left"/>
      <w:rPr>
        <w:rFonts w:ascii="Tms Rmn" w:hAnsi="Tms Rmn" w:hint="default"/>
      </w:rPr>
    </w:lvl>
    <w:lvl w:ilvl="7">
      <w:numFmt w:val="decimal"/>
      <w:lvlText w:val="%8"/>
      <w:legacy w:legacy="1" w:legacySpace="0" w:legacyIndent="0"/>
      <w:lvlJc w:val="left"/>
      <w:rPr>
        <w:rFonts w:ascii="Tms Rmn" w:hAnsi="Tms Rmn" w:hint="default"/>
      </w:rPr>
    </w:lvl>
    <w:lvl w:ilvl="8">
      <w:numFmt w:val="decimal"/>
      <w:lvlText w:val="%9"/>
      <w:legacy w:legacy="1" w:legacySpace="0" w:legacyIndent="0"/>
      <w:lvlJc w:val="left"/>
      <w:rPr>
        <w:rFonts w:ascii="Tms Rmn" w:hAnsi="Tms Rmn" w:hint="default"/>
      </w:rPr>
    </w:lvl>
  </w:abstractNum>
  <w:abstractNum w:abstractNumId="1" w15:restartNumberingAfterBreak="0">
    <w:nsid w:val="041A1054"/>
    <w:multiLevelType w:val="multilevel"/>
    <w:tmpl w:val="FC66620E"/>
    <w:name w:val="H0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5F06DBE"/>
    <w:multiLevelType w:val="hybridMultilevel"/>
    <w:tmpl w:val="AE1840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A63721"/>
    <w:multiLevelType w:val="hybridMultilevel"/>
    <w:tmpl w:val="80B62A74"/>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4" w15:restartNumberingAfterBreak="0">
    <w:nsid w:val="08B66B64"/>
    <w:multiLevelType w:val="multilevel"/>
    <w:tmpl w:val="A1C8DC9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9BD4F70"/>
    <w:multiLevelType w:val="hybridMultilevel"/>
    <w:tmpl w:val="10ACF3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2960FE"/>
    <w:multiLevelType w:val="multilevel"/>
    <w:tmpl w:val="9AC8879C"/>
    <w:name w:val="H0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0DD56149"/>
    <w:multiLevelType w:val="hybridMultilevel"/>
    <w:tmpl w:val="28A0D4D2"/>
    <w:lvl w:ilvl="0" w:tplc="08090001">
      <w:start w:val="1"/>
      <w:numFmt w:val="bullet"/>
      <w:lvlText w:val=""/>
      <w:lvlJc w:val="left"/>
      <w:pPr>
        <w:ind w:left="1953" w:hanging="360"/>
      </w:pPr>
      <w:rPr>
        <w:rFonts w:ascii="Symbol" w:hAnsi="Symbol" w:hint="default"/>
      </w:rPr>
    </w:lvl>
    <w:lvl w:ilvl="1" w:tplc="08090003" w:tentative="1">
      <w:start w:val="1"/>
      <w:numFmt w:val="bullet"/>
      <w:lvlText w:val="o"/>
      <w:lvlJc w:val="left"/>
      <w:pPr>
        <w:ind w:left="2673" w:hanging="360"/>
      </w:pPr>
      <w:rPr>
        <w:rFonts w:ascii="Courier New" w:hAnsi="Courier New" w:cs="Courier New" w:hint="default"/>
      </w:rPr>
    </w:lvl>
    <w:lvl w:ilvl="2" w:tplc="08090005" w:tentative="1">
      <w:start w:val="1"/>
      <w:numFmt w:val="bullet"/>
      <w:lvlText w:val=""/>
      <w:lvlJc w:val="left"/>
      <w:pPr>
        <w:ind w:left="3393" w:hanging="360"/>
      </w:pPr>
      <w:rPr>
        <w:rFonts w:ascii="Wingdings" w:hAnsi="Wingdings" w:hint="default"/>
      </w:rPr>
    </w:lvl>
    <w:lvl w:ilvl="3" w:tplc="08090001" w:tentative="1">
      <w:start w:val="1"/>
      <w:numFmt w:val="bullet"/>
      <w:lvlText w:val=""/>
      <w:lvlJc w:val="left"/>
      <w:pPr>
        <w:ind w:left="4113" w:hanging="360"/>
      </w:pPr>
      <w:rPr>
        <w:rFonts w:ascii="Symbol" w:hAnsi="Symbol" w:hint="default"/>
      </w:rPr>
    </w:lvl>
    <w:lvl w:ilvl="4" w:tplc="08090003" w:tentative="1">
      <w:start w:val="1"/>
      <w:numFmt w:val="bullet"/>
      <w:lvlText w:val="o"/>
      <w:lvlJc w:val="left"/>
      <w:pPr>
        <w:ind w:left="4833" w:hanging="360"/>
      </w:pPr>
      <w:rPr>
        <w:rFonts w:ascii="Courier New" w:hAnsi="Courier New" w:cs="Courier New" w:hint="default"/>
      </w:rPr>
    </w:lvl>
    <w:lvl w:ilvl="5" w:tplc="08090005" w:tentative="1">
      <w:start w:val="1"/>
      <w:numFmt w:val="bullet"/>
      <w:lvlText w:val=""/>
      <w:lvlJc w:val="left"/>
      <w:pPr>
        <w:ind w:left="5553" w:hanging="360"/>
      </w:pPr>
      <w:rPr>
        <w:rFonts w:ascii="Wingdings" w:hAnsi="Wingdings" w:hint="default"/>
      </w:rPr>
    </w:lvl>
    <w:lvl w:ilvl="6" w:tplc="08090001" w:tentative="1">
      <w:start w:val="1"/>
      <w:numFmt w:val="bullet"/>
      <w:lvlText w:val=""/>
      <w:lvlJc w:val="left"/>
      <w:pPr>
        <w:ind w:left="6273" w:hanging="360"/>
      </w:pPr>
      <w:rPr>
        <w:rFonts w:ascii="Symbol" w:hAnsi="Symbol" w:hint="default"/>
      </w:rPr>
    </w:lvl>
    <w:lvl w:ilvl="7" w:tplc="08090003" w:tentative="1">
      <w:start w:val="1"/>
      <w:numFmt w:val="bullet"/>
      <w:lvlText w:val="o"/>
      <w:lvlJc w:val="left"/>
      <w:pPr>
        <w:ind w:left="6993" w:hanging="360"/>
      </w:pPr>
      <w:rPr>
        <w:rFonts w:ascii="Courier New" w:hAnsi="Courier New" w:cs="Courier New" w:hint="default"/>
      </w:rPr>
    </w:lvl>
    <w:lvl w:ilvl="8" w:tplc="08090005" w:tentative="1">
      <w:start w:val="1"/>
      <w:numFmt w:val="bullet"/>
      <w:lvlText w:val=""/>
      <w:lvlJc w:val="left"/>
      <w:pPr>
        <w:ind w:left="7713" w:hanging="360"/>
      </w:pPr>
      <w:rPr>
        <w:rFonts w:ascii="Wingdings" w:hAnsi="Wingdings" w:hint="default"/>
      </w:rPr>
    </w:lvl>
  </w:abstractNum>
  <w:abstractNum w:abstractNumId="8" w15:restartNumberingAfterBreak="0">
    <w:nsid w:val="105003D2"/>
    <w:multiLevelType w:val="hybridMultilevel"/>
    <w:tmpl w:val="2D52FA80"/>
    <w:lvl w:ilvl="0" w:tplc="6AC0D5F2">
      <w:start w:val="6"/>
      <w:numFmt w:val="decimal"/>
      <w:lvlText w:val="%1"/>
      <w:lvlJc w:val="left"/>
      <w:pPr>
        <w:ind w:left="598" w:hanging="360"/>
      </w:pPr>
      <w:rPr>
        <w:rFonts w:hint="default"/>
      </w:rPr>
    </w:lvl>
    <w:lvl w:ilvl="1" w:tplc="04090019" w:tentative="1">
      <w:start w:val="1"/>
      <w:numFmt w:val="lowerLetter"/>
      <w:lvlText w:val="%2."/>
      <w:lvlJc w:val="left"/>
      <w:pPr>
        <w:ind w:left="1318" w:hanging="360"/>
      </w:pPr>
    </w:lvl>
    <w:lvl w:ilvl="2" w:tplc="0409001B" w:tentative="1">
      <w:start w:val="1"/>
      <w:numFmt w:val="lowerRoman"/>
      <w:lvlText w:val="%3."/>
      <w:lvlJc w:val="right"/>
      <w:pPr>
        <w:ind w:left="2038" w:hanging="180"/>
      </w:pPr>
    </w:lvl>
    <w:lvl w:ilvl="3" w:tplc="0409000F" w:tentative="1">
      <w:start w:val="1"/>
      <w:numFmt w:val="decimal"/>
      <w:lvlText w:val="%4."/>
      <w:lvlJc w:val="left"/>
      <w:pPr>
        <w:ind w:left="2758" w:hanging="360"/>
      </w:pPr>
    </w:lvl>
    <w:lvl w:ilvl="4" w:tplc="04090019" w:tentative="1">
      <w:start w:val="1"/>
      <w:numFmt w:val="lowerLetter"/>
      <w:lvlText w:val="%5."/>
      <w:lvlJc w:val="left"/>
      <w:pPr>
        <w:ind w:left="3478" w:hanging="360"/>
      </w:pPr>
    </w:lvl>
    <w:lvl w:ilvl="5" w:tplc="0409001B" w:tentative="1">
      <w:start w:val="1"/>
      <w:numFmt w:val="lowerRoman"/>
      <w:lvlText w:val="%6."/>
      <w:lvlJc w:val="right"/>
      <w:pPr>
        <w:ind w:left="4198" w:hanging="180"/>
      </w:pPr>
    </w:lvl>
    <w:lvl w:ilvl="6" w:tplc="0409000F" w:tentative="1">
      <w:start w:val="1"/>
      <w:numFmt w:val="decimal"/>
      <w:lvlText w:val="%7."/>
      <w:lvlJc w:val="left"/>
      <w:pPr>
        <w:ind w:left="4918" w:hanging="360"/>
      </w:pPr>
    </w:lvl>
    <w:lvl w:ilvl="7" w:tplc="04090019" w:tentative="1">
      <w:start w:val="1"/>
      <w:numFmt w:val="lowerLetter"/>
      <w:lvlText w:val="%8."/>
      <w:lvlJc w:val="left"/>
      <w:pPr>
        <w:ind w:left="5638" w:hanging="360"/>
      </w:pPr>
    </w:lvl>
    <w:lvl w:ilvl="8" w:tplc="0409001B" w:tentative="1">
      <w:start w:val="1"/>
      <w:numFmt w:val="lowerRoman"/>
      <w:lvlText w:val="%9."/>
      <w:lvlJc w:val="right"/>
      <w:pPr>
        <w:ind w:left="6358" w:hanging="180"/>
      </w:pPr>
    </w:lvl>
  </w:abstractNum>
  <w:abstractNum w:abstractNumId="9" w15:restartNumberingAfterBreak="0">
    <w:nsid w:val="11FB76A0"/>
    <w:multiLevelType w:val="hybridMultilevel"/>
    <w:tmpl w:val="E48A2ADC"/>
    <w:lvl w:ilvl="0" w:tplc="0809000F">
      <w:start w:val="1"/>
      <w:numFmt w:val="decimal"/>
      <w:lvlText w:val="%1."/>
      <w:lvlJc w:val="left"/>
      <w:pPr>
        <w:ind w:left="360" w:hanging="360"/>
      </w:pPr>
      <w:rPr>
        <w:rFont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3C9443C"/>
    <w:multiLevelType w:val="hybridMultilevel"/>
    <w:tmpl w:val="FB105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BF009E4"/>
    <w:multiLevelType w:val="hybridMultilevel"/>
    <w:tmpl w:val="9F282E74"/>
    <w:lvl w:ilvl="0" w:tplc="5F966B7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C5811A9"/>
    <w:multiLevelType w:val="hybridMultilevel"/>
    <w:tmpl w:val="0128A344"/>
    <w:lvl w:ilvl="0" w:tplc="5B484A84">
      <w:start w:val="1"/>
      <w:numFmt w:val="bullet"/>
      <w:pStyle w:val="bulletitem"/>
      <w:lvlText w:val=""/>
      <w:lvlJc w:val="left"/>
      <w:pPr>
        <w:tabs>
          <w:tab w:val="num" w:pos="238"/>
        </w:tabs>
        <w:ind w:left="238" w:hanging="238"/>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CCA17AC"/>
    <w:multiLevelType w:val="multilevel"/>
    <w:tmpl w:val="00C49CF2"/>
    <w:name w:val="H0"/>
    <w:lvl w:ilvl="0">
      <w:start w:val="2"/>
      <w:numFmt w:val="decimal"/>
      <w:lvlRestart w:val="0"/>
      <w:lvlText w:val="%1."/>
      <w:lvlJc w:val="left"/>
      <w:pPr>
        <w:ind w:left="0" w:firstLine="0"/>
      </w:pPr>
      <w:rPr>
        <w:rFonts w:hint="default"/>
      </w:rPr>
    </w:lvl>
    <w:lvl w:ilvl="1">
      <w:start w:val="1"/>
      <w:numFmt w:val="decimal"/>
      <w:isLgl/>
      <w:suff w:val="space"/>
      <w:lvlText w:val="%1.%2"/>
      <w:lvlJc w:val="left"/>
      <w:pPr>
        <w:ind w:left="0" w:firstLine="0"/>
      </w:pPr>
      <w:rPr>
        <w:rFonts w:hint="default"/>
      </w:rPr>
    </w:lvl>
    <w:lvl w:ilvl="2">
      <w:start w:val="1"/>
      <w:numFmt w:val="decimal"/>
      <w:isLg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8"/>
      <w:lvlJc w:val="left"/>
      <w:pPr>
        <w:ind w:left="0" w:firstLine="0"/>
      </w:pPr>
      <w:rPr>
        <w:rFonts w:hint="default"/>
      </w:rPr>
    </w:lvl>
    <w:lvl w:ilvl="8">
      <w:start w:val="1"/>
      <w:numFmt w:val="none"/>
      <w:lvlText w:val="%9"/>
      <w:lvlJc w:val="left"/>
      <w:pPr>
        <w:ind w:left="0" w:firstLine="0"/>
      </w:pPr>
      <w:rPr>
        <w:rFonts w:hint="default"/>
      </w:rPr>
    </w:lvl>
  </w:abstractNum>
  <w:abstractNum w:abstractNumId="14" w15:restartNumberingAfterBreak="0">
    <w:nsid w:val="1E1C52B0"/>
    <w:multiLevelType w:val="multilevel"/>
    <w:tmpl w:val="19A8AE6C"/>
    <w:name w:val="H03"/>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EE0408C"/>
    <w:multiLevelType w:val="hybridMultilevel"/>
    <w:tmpl w:val="06705C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0F22A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23E513D"/>
    <w:multiLevelType w:val="multilevel"/>
    <w:tmpl w:val="A1C8DC9A"/>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36F187A"/>
    <w:multiLevelType w:val="hybridMultilevel"/>
    <w:tmpl w:val="673A8B96"/>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19" w15:restartNumberingAfterBreak="0">
    <w:nsid w:val="242557FB"/>
    <w:multiLevelType w:val="hybridMultilevel"/>
    <w:tmpl w:val="0B2841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61D5D06"/>
    <w:multiLevelType w:val="hybridMultilevel"/>
    <w:tmpl w:val="0B12121C"/>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21" w15:restartNumberingAfterBreak="0">
    <w:nsid w:val="29A02C50"/>
    <w:multiLevelType w:val="hybridMultilevel"/>
    <w:tmpl w:val="5568FF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9D624E6"/>
    <w:multiLevelType w:val="hybridMultilevel"/>
    <w:tmpl w:val="97ECDF26"/>
    <w:lvl w:ilvl="0" w:tplc="5C466384">
      <w:start w:val="1"/>
      <w:numFmt w:val="decimal"/>
      <w:lvlRestart w:val="0"/>
      <w:lvlText w:val="[%1]"/>
      <w:lvlJc w:val="left"/>
      <w:pPr>
        <w:ind w:left="369" w:hanging="369"/>
      </w:pPr>
      <w:rPr>
        <w:rFonts w:hint="default"/>
      </w:rPr>
    </w:lvl>
    <w:lvl w:ilvl="1" w:tplc="40090019" w:tentative="1">
      <w:start w:val="1"/>
      <w:numFmt w:val="lowerLetter"/>
      <w:lvlText w:val="%2."/>
      <w:lvlJc w:val="left"/>
      <w:pPr>
        <w:ind w:left="1089" w:hanging="360"/>
      </w:pPr>
    </w:lvl>
    <w:lvl w:ilvl="2" w:tplc="4009001B" w:tentative="1">
      <w:start w:val="1"/>
      <w:numFmt w:val="lowerRoman"/>
      <w:lvlText w:val="%3."/>
      <w:lvlJc w:val="right"/>
      <w:pPr>
        <w:ind w:left="1809" w:hanging="180"/>
      </w:pPr>
    </w:lvl>
    <w:lvl w:ilvl="3" w:tplc="4009000F" w:tentative="1">
      <w:start w:val="1"/>
      <w:numFmt w:val="decimal"/>
      <w:lvlText w:val="%4."/>
      <w:lvlJc w:val="left"/>
      <w:pPr>
        <w:ind w:left="2529" w:hanging="360"/>
      </w:pPr>
    </w:lvl>
    <w:lvl w:ilvl="4" w:tplc="40090019" w:tentative="1">
      <w:start w:val="1"/>
      <w:numFmt w:val="lowerLetter"/>
      <w:lvlText w:val="%5."/>
      <w:lvlJc w:val="left"/>
      <w:pPr>
        <w:ind w:left="3249" w:hanging="360"/>
      </w:pPr>
    </w:lvl>
    <w:lvl w:ilvl="5" w:tplc="4009001B" w:tentative="1">
      <w:start w:val="1"/>
      <w:numFmt w:val="lowerRoman"/>
      <w:lvlText w:val="%6."/>
      <w:lvlJc w:val="right"/>
      <w:pPr>
        <w:ind w:left="3969" w:hanging="180"/>
      </w:pPr>
    </w:lvl>
    <w:lvl w:ilvl="6" w:tplc="4009000F" w:tentative="1">
      <w:start w:val="1"/>
      <w:numFmt w:val="decimal"/>
      <w:lvlText w:val="%7."/>
      <w:lvlJc w:val="left"/>
      <w:pPr>
        <w:ind w:left="4689" w:hanging="360"/>
      </w:pPr>
    </w:lvl>
    <w:lvl w:ilvl="7" w:tplc="40090019" w:tentative="1">
      <w:start w:val="1"/>
      <w:numFmt w:val="lowerLetter"/>
      <w:lvlText w:val="%8."/>
      <w:lvlJc w:val="left"/>
      <w:pPr>
        <w:ind w:left="5409" w:hanging="360"/>
      </w:pPr>
    </w:lvl>
    <w:lvl w:ilvl="8" w:tplc="4009001B" w:tentative="1">
      <w:start w:val="1"/>
      <w:numFmt w:val="lowerRoman"/>
      <w:lvlText w:val="%9."/>
      <w:lvlJc w:val="right"/>
      <w:pPr>
        <w:ind w:left="6129" w:hanging="180"/>
      </w:pPr>
    </w:lvl>
  </w:abstractNum>
  <w:abstractNum w:abstractNumId="23" w15:restartNumberingAfterBreak="0">
    <w:nsid w:val="2BC968A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CAB57B7"/>
    <w:multiLevelType w:val="hybridMultilevel"/>
    <w:tmpl w:val="8BD27A6A"/>
    <w:lvl w:ilvl="0" w:tplc="08090001">
      <w:start w:val="1"/>
      <w:numFmt w:val="bullet"/>
      <w:lvlText w:val=""/>
      <w:lvlJc w:val="left"/>
      <w:pPr>
        <w:ind w:left="958" w:hanging="360"/>
      </w:pPr>
      <w:rPr>
        <w:rFonts w:ascii="Symbol" w:hAnsi="Symbol" w:hint="default"/>
      </w:rPr>
    </w:lvl>
    <w:lvl w:ilvl="1" w:tplc="08090003" w:tentative="1">
      <w:start w:val="1"/>
      <w:numFmt w:val="bullet"/>
      <w:lvlText w:val="o"/>
      <w:lvlJc w:val="left"/>
      <w:pPr>
        <w:ind w:left="1678" w:hanging="360"/>
      </w:pPr>
      <w:rPr>
        <w:rFonts w:ascii="Courier New" w:hAnsi="Courier New" w:cs="Courier New" w:hint="default"/>
      </w:rPr>
    </w:lvl>
    <w:lvl w:ilvl="2" w:tplc="08090005" w:tentative="1">
      <w:start w:val="1"/>
      <w:numFmt w:val="bullet"/>
      <w:lvlText w:val=""/>
      <w:lvlJc w:val="left"/>
      <w:pPr>
        <w:ind w:left="2398" w:hanging="360"/>
      </w:pPr>
      <w:rPr>
        <w:rFonts w:ascii="Wingdings" w:hAnsi="Wingdings" w:hint="default"/>
      </w:rPr>
    </w:lvl>
    <w:lvl w:ilvl="3" w:tplc="08090001" w:tentative="1">
      <w:start w:val="1"/>
      <w:numFmt w:val="bullet"/>
      <w:lvlText w:val=""/>
      <w:lvlJc w:val="left"/>
      <w:pPr>
        <w:ind w:left="3118" w:hanging="360"/>
      </w:pPr>
      <w:rPr>
        <w:rFonts w:ascii="Symbol" w:hAnsi="Symbol" w:hint="default"/>
      </w:rPr>
    </w:lvl>
    <w:lvl w:ilvl="4" w:tplc="08090003" w:tentative="1">
      <w:start w:val="1"/>
      <w:numFmt w:val="bullet"/>
      <w:lvlText w:val="o"/>
      <w:lvlJc w:val="left"/>
      <w:pPr>
        <w:ind w:left="3838" w:hanging="360"/>
      </w:pPr>
      <w:rPr>
        <w:rFonts w:ascii="Courier New" w:hAnsi="Courier New" w:cs="Courier New" w:hint="default"/>
      </w:rPr>
    </w:lvl>
    <w:lvl w:ilvl="5" w:tplc="08090005" w:tentative="1">
      <w:start w:val="1"/>
      <w:numFmt w:val="bullet"/>
      <w:lvlText w:val=""/>
      <w:lvlJc w:val="left"/>
      <w:pPr>
        <w:ind w:left="4558" w:hanging="360"/>
      </w:pPr>
      <w:rPr>
        <w:rFonts w:ascii="Wingdings" w:hAnsi="Wingdings" w:hint="default"/>
      </w:rPr>
    </w:lvl>
    <w:lvl w:ilvl="6" w:tplc="08090001" w:tentative="1">
      <w:start w:val="1"/>
      <w:numFmt w:val="bullet"/>
      <w:lvlText w:val=""/>
      <w:lvlJc w:val="left"/>
      <w:pPr>
        <w:ind w:left="5278" w:hanging="360"/>
      </w:pPr>
      <w:rPr>
        <w:rFonts w:ascii="Symbol" w:hAnsi="Symbol" w:hint="default"/>
      </w:rPr>
    </w:lvl>
    <w:lvl w:ilvl="7" w:tplc="08090003" w:tentative="1">
      <w:start w:val="1"/>
      <w:numFmt w:val="bullet"/>
      <w:lvlText w:val="o"/>
      <w:lvlJc w:val="left"/>
      <w:pPr>
        <w:ind w:left="5998" w:hanging="360"/>
      </w:pPr>
      <w:rPr>
        <w:rFonts w:ascii="Courier New" w:hAnsi="Courier New" w:cs="Courier New" w:hint="default"/>
      </w:rPr>
    </w:lvl>
    <w:lvl w:ilvl="8" w:tplc="08090005" w:tentative="1">
      <w:start w:val="1"/>
      <w:numFmt w:val="bullet"/>
      <w:lvlText w:val=""/>
      <w:lvlJc w:val="left"/>
      <w:pPr>
        <w:ind w:left="6718" w:hanging="360"/>
      </w:pPr>
      <w:rPr>
        <w:rFonts w:ascii="Wingdings" w:hAnsi="Wingdings" w:hint="default"/>
      </w:rPr>
    </w:lvl>
  </w:abstractNum>
  <w:abstractNum w:abstractNumId="25" w15:restartNumberingAfterBreak="0">
    <w:nsid w:val="320D6C31"/>
    <w:multiLevelType w:val="hybridMultilevel"/>
    <w:tmpl w:val="E398E510"/>
    <w:lvl w:ilvl="0" w:tplc="20385550">
      <w:start w:val="1"/>
      <w:numFmt w:val="decimal"/>
      <w:lvlRestart w:val="0"/>
      <w:lvlText w:val="[%1]"/>
      <w:lvlJc w:val="left"/>
      <w:pPr>
        <w:ind w:left="369" w:hanging="369"/>
      </w:pPr>
      <w:rPr>
        <w:rFonts w:hint="default"/>
      </w:rPr>
    </w:lvl>
    <w:lvl w:ilvl="1" w:tplc="40090019" w:tentative="1">
      <w:start w:val="1"/>
      <w:numFmt w:val="lowerLetter"/>
      <w:lvlText w:val="%2."/>
      <w:lvlJc w:val="left"/>
      <w:pPr>
        <w:ind w:left="1089" w:hanging="360"/>
      </w:pPr>
    </w:lvl>
    <w:lvl w:ilvl="2" w:tplc="4009001B" w:tentative="1">
      <w:start w:val="1"/>
      <w:numFmt w:val="lowerRoman"/>
      <w:lvlText w:val="%3."/>
      <w:lvlJc w:val="right"/>
      <w:pPr>
        <w:ind w:left="1809" w:hanging="180"/>
      </w:pPr>
    </w:lvl>
    <w:lvl w:ilvl="3" w:tplc="4009000F" w:tentative="1">
      <w:start w:val="1"/>
      <w:numFmt w:val="decimal"/>
      <w:lvlText w:val="%4."/>
      <w:lvlJc w:val="left"/>
      <w:pPr>
        <w:ind w:left="2529" w:hanging="360"/>
      </w:pPr>
    </w:lvl>
    <w:lvl w:ilvl="4" w:tplc="40090019" w:tentative="1">
      <w:start w:val="1"/>
      <w:numFmt w:val="lowerLetter"/>
      <w:lvlText w:val="%5."/>
      <w:lvlJc w:val="left"/>
      <w:pPr>
        <w:ind w:left="3249" w:hanging="360"/>
      </w:pPr>
    </w:lvl>
    <w:lvl w:ilvl="5" w:tplc="4009001B" w:tentative="1">
      <w:start w:val="1"/>
      <w:numFmt w:val="lowerRoman"/>
      <w:lvlText w:val="%6."/>
      <w:lvlJc w:val="right"/>
      <w:pPr>
        <w:ind w:left="3969" w:hanging="180"/>
      </w:pPr>
    </w:lvl>
    <w:lvl w:ilvl="6" w:tplc="4009000F" w:tentative="1">
      <w:start w:val="1"/>
      <w:numFmt w:val="decimal"/>
      <w:lvlText w:val="%7."/>
      <w:lvlJc w:val="left"/>
      <w:pPr>
        <w:ind w:left="4689" w:hanging="360"/>
      </w:pPr>
    </w:lvl>
    <w:lvl w:ilvl="7" w:tplc="40090019" w:tentative="1">
      <w:start w:val="1"/>
      <w:numFmt w:val="lowerLetter"/>
      <w:lvlText w:val="%8."/>
      <w:lvlJc w:val="left"/>
      <w:pPr>
        <w:ind w:left="5409" w:hanging="360"/>
      </w:pPr>
    </w:lvl>
    <w:lvl w:ilvl="8" w:tplc="4009001B" w:tentative="1">
      <w:start w:val="1"/>
      <w:numFmt w:val="lowerRoman"/>
      <w:lvlText w:val="%9."/>
      <w:lvlJc w:val="right"/>
      <w:pPr>
        <w:ind w:left="6129" w:hanging="180"/>
      </w:pPr>
    </w:lvl>
  </w:abstractNum>
  <w:abstractNum w:abstractNumId="26" w15:restartNumberingAfterBreak="0">
    <w:nsid w:val="331B442F"/>
    <w:multiLevelType w:val="multilevel"/>
    <w:tmpl w:val="71FA1B9A"/>
    <w:lvl w:ilvl="0">
      <w:start w:val="1"/>
      <w:numFmt w:val="decimal"/>
      <w:lvlText w:val="%1."/>
      <w:lvlJc w:val="left"/>
      <w:pPr>
        <w:ind w:left="360" w:hanging="360"/>
      </w:pPr>
      <w:rPr>
        <w:rFonts w:hint="default"/>
      </w:rPr>
    </w:lvl>
    <w:lvl w:ilvl="1">
      <w:start w:val="1"/>
      <w:numFmt w:val="decimal"/>
      <w:pStyle w:val="Heading1"/>
      <w:isLgl/>
      <w:suff w:val="space"/>
      <w:lvlText w:val="%1.%2"/>
      <w:lvlJc w:val="left"/>
      <w:pPr>
        <w:ind w:left="0" w:firstLine="0"/>
      </w:pPr>
      <w:rPr>
        <w:rFonts w:hint="default"/>
      </w:rPr>
    </w:lvl>
    <w:lvl w:ilvl="2">
      <w:start w:val="1"/>
      <w:numFmt w:val="decimal"/>
      <w:isLg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7" w15:restartNumberingAfterBreak="0">
    <w:nsid w:val="3A173C53"/>
    <w:multiLevelType w:val="multilevel"/>
    <w:tmpl w:val="4009001D"/>
    <w:styleLink w:val="Ulistt"/>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3AD37F9A"/>
    <w:multiLevelType w:val="hybridMultilevel"/>
    <w:tmpl w:val="A0B49A7A"/>
    <w:lvl w:ilvl="0" w:tplc="5F966B7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CF71568"/>
    <w:multiLevelType w:val="hybridMultilevel"/>
    <w:tmpl w:val="F5BA7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01A576F"/>
    <w:multiLevelType w:val="hybridMultilevel"/>
    <w:tmpl w:val="A1FE2594"/>
    <w:lvl w:ilvl="0" w:tplc="0809000F">
      <w:start w:val="10"/>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01F1D97"/>
    <w:multiLevelType w:val="multilevel"/>
    <w:tmpl w:val="F9D617A0"/>
    <w:styleLink w:val="Olist"/>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42DB064B"/>
    <w:multiLevelType w:val="hybridMultilevel"/>
    <w:tmpl w:val="36527038"/>
    <w:lvl w:ilvl="0" w:tplc="5F966B7A">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44482EFD"/>
    <w:multiLevelType w:val="hybridMultilevel"/>
    <w:tmpl w:val="7A7ED9FE"/>
    <w:lvl w:ilvl="0" w:tplc="CFD47EC2">
      <w:start w:val="6"/>
      <w:numFmt w:val="bullet"/>
      <w:lvlText w:val=""/>
      <w:lvlJc w:val="left"/>
      <w:pPr>
        <w:ind w:left="598" w:hanging="360"/>
      </w:pPr>
      <w:rPr>
        <w:rFonts w:ascii="Symbol" w:eastAsia="Batang" w:hAnsi="Symbol" w:cs="Times New Roman" w:hint="default"/>
      </w:rPr>
    </w:lvl>
    <w:lvl w:ilvl="1" w:tplc="04090003" w:tentative="1">
      <w:start w:val="1"/>
      <w:numFmt w:val="bullet"/>
      <w:lvlText w:val="o"/>
      <w:lvlJc w:val="left"/>
      <w:pPr>
        <w:ind w:left="1318" w:hanging="360"/>
      </w:pPr>
      <w:rPr>
        <w:rFonts w:ascii="Courier New" w:hAnsi="Courier New" w:cs="Courier New" w:hint="default"/>
      </w:rPr>
    </w:lvl>
    <w:lvl w:ilvl="2" w:tplc="04090005" w:tentative="1">
      <w:start w:val="1"/>
      <w:numFmt w:val="bullet"/>
      <w:lvlText w:val=""/>
      <w:lvlJc w:val="left"/>
      <w:pPr>
        <w:ind w:left="2038" w:hanging="360"/>
      </w:pPr>
      <w:rPr>
        <w:rFonts w:ascii="Wingdings" w:hAnsi="Wingdings" w:hint="default"/>
      </w:rPr>
    </w:lvl>
    <w:lvl w:ilvl="3" w:tplc="04090001" w:tentative="1">
      <w:start w:val="1"/>
      <w:numFmt w:val="bullet"/>
      <w:lvlText w:val=""/>
      <w:lvlJc w:val="left"/>
      <w:pPr>
        <w:ind w:left="2758" w:hanging="360"/>
      </w:pPr>
      <w:rPr>
        <w:rFonts w:ascii="Symbol" w:hAnsi="Symbol" w:hint="default"/>
      </w:rPr>
    </w:lvl>
    <w:lvl w:ilvl="4" w:tplc="04090003" w:tentative="1">
      <w:start w:val="1"/>
      <w:numFmt w:val="bullet"/>
      <w:lvlText w:val="o"/>
      <w:lvlJc w:val="left"/>
      <w:pPr>
        <w:ind w:left="3478" w:hanging="360"/>
      </w:pPr>
      <w:rPr>
        <w:rFonts w:ascii="Courier New" w:hAnsi="Courier New" w:cs="Courier New" w:hint="default"/>
      </w:rPr>
    </w:lvl>
    <w:lvl w:ilvl="5" w:tplc="04090005" w:tentative="1">
      <w:start w:val="1"/>
      <w:numFmt w:val="bullet"/>
      <w:lvlText w:val=""/>
      <w:lvlJc w:val="left"/>
      <w:pPr>
        <w:ind w:left="4198" w:hanging="360"/>
      </w:pPr>
      <w:rPr>
        <w:rFonts w:ascii="Wingdings" w:hAnsi="Wingdings" w:hint="default"/>
      </w:rPr>
    </w:lvl>
    <w:lvl w:ilvl="6" w:tplc="04090001" w:tentative="1">
      <w:start w:val="1"/>
      <w:numFmt w:val="bullet"/>
      <w:lvlText w:val=""/>
      <w:lvlJc w:val="left"/>
      <w:pPr>
        <w:ind w:left="4918" w:hanging="360"/>
      </w:pPr>
      <w:rPr>
        <w:rFonts w:ascii="Symbol" w:hAnsi="Symbol" w:hint="default"/>
      </w:rPr>
    </w:lvl>
    <w:lvl w:ilvl="7" w:tplc="04090003" w:tentative="1">
      <w:start w:val="1"/>
      <w:numFmt w:val="bullet"/>
      <w:lvlText w:val="o"/>
      <w:lvlJc w:val="left"/>
      <w:pPr>
        <w:ind w:left="5638" w:hanging="360"/>
      </w:pPr>
      <w:rPr>
        <w:rFonts w:ascii="Courier New" w:hAnsi="Courier New" w:cs="Courier New" w:hint="default"/>
      </w:rPr>
    </w:lvl>
    <w:lvl w:ilvl="8" w:tplc="04090005" w:tentative="1">
      <w:start w:val="1"/>
      <w:numFmt w:val="bullet"/>
      <w:lvlText w:val=""/>
      <w:lvlJc w:val="left"/>
      <w:pPr>
        <w:ind w:left="6358" w:hanging="360"/>
      </w:pPr>
      <w:rPr>
        <w:rFonts w:ascii="Wingdings" w:hAnsi="Wingdings" w:hint="default"/>
      </w:rPr>
    </w:lvl>
  </w:abstractNum>
  <w:abstractNum w:abstractNumId="34" w15:restartNumberingAfterBreak="0">
    <w:nsid w:val="47490D7B"/>
    <w:multiLevelType w:val="hybridMultilevel"/>
    <w:tmpl w:val="9E6C2A1A"/>
    <w:lvl w:ilvl="0" w:tplc="08090001">
      <w:start w:val="1"/>
      <w:numFmt w:val="bullet"/>
      <w:lvlText w:val=""/>
      <w:lvlJc w:val="left"/>
      <w:pPr>
        <w:ind w:left="958" w:hanging="360"/>
      </w:pPr>
      <w:rPr>
        <w:rFonts w:ascii="Symbol" w:hAnsi="Symbol" w:hint="default"/>
      </w:rPr>
    </w:lvl>
    <w:lvl w:ilvl="1" w:tplc="08090003" w:tentative="1">
      <w:start w:val="1"/>
      <w:numFmt w:val="bullet"/>
      <w:lvlText w:val="o"/>
      <w:lvlJc w:val="left"/>
      <w:pPr>
        <w:ind w:left="1678" w:hanging="360"/>
      </w:pPr>
      <w:rPr>
        <w:rFonts w:ascii="Courier New" w:hAnsi="Courier New" w:cs="Courier New" w:hint="default"/>
      </w:rPr>
    </w:lvl>
    <w:lvl w:ilvl="2" w:tplc="08090005" w:tentative="1">
      <w:start w:val="1"/>
      <w:numFmt w:val="bullet"/>
      <w:lvlText w:val=""/>
      <w:lvlJc w:val="left"/>
      <w:pPr>
        <w:ind w:left="2398" w:hanging="360"/>
      </w:pPr>
      <w:rPr>
        <w:rFonts w:ascii="Wingdings" w:hAnsi="Wingdings" w:hint="default"/>
      </w:rPr>
    </w:lvl>
    <w:lvl w:ilvl="3" w:tplc="08090001" w:tentative="1">
      <w:start w:val="1"/>
      <w:numFmt w:val="bullet"/>
      <w:lvlText w:val=""/>
      <w:lvlJc w:val="left"/>
      <w:pPr>
        <w:ind w:left="3118" w:hanging="360"/>
      </w:pPr>
      <w:rPr>
        <w:rFonts w:ascii="Symbol" w:hAnsi="Symbol" w:hint="default"/>
      </w:rPr>
    </w:lvl>
    <w:lvl w:ilvl="4" w:tplc="08090003" w:tentative="1">
      <w:start w:val="1"/>
      <w:numFmt w:val="bullet"/>
      <w:lvlText w:val="o"/>
      <w:lvlJc w:val="left"/>
      <w:pPr>
        <w:ind w:left="3838" w:hanging="360"/>
      </w:pPr>
      <w:rPr>
        <w:rFonts w:ascii="Courier New" w:hAnsi="Courier New" w:cs="Courier New" w:hint="default"/>
      </w:rPr>
    </w:lvl>
    <w:lvl w:ilvl="5" w:tplc="08090005" w:tentative="1">
      <w:start w:val="1"/>
      <w:numFmt w:val="bullet"/>
      <w:lvlText w:val=""/>
      <w:lvlJc w:val="left"/>
      <w:pPr>
        <w:ind w:left="4558" w:hanging="360"/>
      </w:pPr>
      <w:rPr>
        <w:rFonts w:ascii="Wingdings" w:hAnsi="Wingdings" w:hint="default"/>
      </w:rPr>
    </w:lvl>
    <w:lvl w:ilvl="6" w:tplc="08090001" w:tentative="1">
      <w:start w:val="1"/>
      <w:numFmt w:val="bullet"/>
      <w:lvlText w:val=""/>
      <w:lvlJc w:val="left"/>
      <w:pPr>
        <w:ind w:left="5278" w:hanging="360"/>
      </w:pPr>
      <w:rPr>
        <w:rFonts w:ascii="Symbol" w:hAnsi="Symbol" w:hint="default"/>
      </w:rPr>
    </w:lvl>
    <w:lvl w:ilvl="7" w:tplc="08090003" w:tentative="1">
      <w:start w:val="1"/>
      <w:numFmt w:val="bullet"/>
      <w:lvlText w:val="o"/>
      <w:lvlJc w:val="left"/>
      <w:pPr>
        <w:ind w:left="5998" w:hanging="360"/>
      </w:pPr>
      <w:rPr>
        <w:rFonts w:ascii="Courier New" w:hAnsi="Courier New" w:cs="Courier New" w:hint="default"/>
      </w:rPr>
    </w:lvl>
    <w:lvl w:ilvl="8" w:tplc="08090005" w:tentative="1">
      <w:start w:val="1"/>
      <w:numFmt w:val="bullet"/>
      <w:lvlText w:val=""/>
      <w:lvlJc w:val="left"/>
      <w:pPr>
        <w:ind w:left="6718" w:hanging="360"/>
      </w:pPr>
      <w:rPr>
        <w:rFonts w:ascii="Wingdings" w:hAnsi="Wingdings" w:hint="default"/>
      </w:rPr>
    </w:lvl>
  </w:abstractNum>
  <w:abstractNum w:abstractNumId="35" w15:restartNumberingAfterBreak="0">
    <w:nsid w:val="4A557170"/>
    <w:multiLevelType w:val="multilevel"/>
    <w:tmpl w:val="9A985178"/>
    <w:styleLink w:val="UList"/>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4E5441BB"/>
    <w:multiLevelType w:val="multilevel"/>
    <w:tmpl w:val="F972363A"/>
    <w:name w:val="H02"/>
    <w:lvl w:ilvl="0">
      <w:start w:val="56"/>
      <w:numFmt w:val="decimal"/>
      <w:lvlRestart w:val="0"/>
      <w:lvlText w:val="%1."/>
      <w:lvlJc w:val="left"/>
      <w:pPr>
        <w:ind w:left="0" w:firstLine="0"/>
      </w:pPr>
      <w:rPr>
        <w:rFonts w:hint="default"/>
      </w:rPr>
    </w:lvl>
    <w:lvl w:ilvl="1">
      <w:start w:val="1"/>
      <w:numFmt w:val="decimal"/>
      <w:isLgl/>
      <w:suff w:val="space"/>
      <w:lvlText w:val="%1.%2"/>
      <w:lvlJc w:val="left"/>
      <w:pPr>
        <w:ind w:left="0" w:firstLine="0"/>
      </w:pPr>
      <w:rPr>
        <w:rFonts w:hint="default"/>
      </w:rPr>
    </w:lvl>
    <w:lvl w:ilvl="2">
      <w:start w:val="1"/>
      <w:numFmt w:val="decimal"/>
      <w:isLg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8"/>
      <w:lvlJc w:val="left"/>
      <w:pPr>
        <w:ind w:left="0" w:firstLine="0"/>
      </w:pPr>
      <w:rPr>
        <w:rFonts w:hint="default"/>
      </w:rPr>
    </w:lvl>
    <w:lvl w:ilvl="8">
      <w:start w:val="1"/>
      <w:numFmt w:val="none"/>
      <w:lvlText w:val="%9"/>
      <w:lvlJc w:val="left"/>
      <w:pPr>
        <w:ind w:left="0" w:firstLine="0"/>
      </w:pPr>
      <w:rPr>
        <w:rFonts w:hint="default"/>
      </w:rPr>
    </w:lvl>
  </w:abstractNum>
  <w:abstractNum w:abstractNumId="37" w15:restartNumberingAfterBreak="0">
    <w:nsid w:val="54655D22"/>
    <w:multiLevelType w:val="hybridMultilevel"/>
    <w:tmpl w:val="310E4F74"/>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38" w15:restartNumberingAfterBreak="0">
    <w:nsid w:val="549402FE"/>
    <w:multiLevelType w:val="multilevel"/>
    <w:tmpl w:val="A1C8DC9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5654259E"/>
    <w:multiLevelType w:val="hybridMultilevel"/>
    <w:tmpl w:val="A180522A"/>
    <w:lvl w:ilvl="0" w:tplc="6910F2B4">
      <w:start w:val="1"/>
      <w:numFmt w:val="decimal"/>
      <w:lvlRestart w:val="0"/>
      <w:lvlText w:val="[%1]"/>
      <w:lvlJc w:val="left"/>
      <w:pPr>
        <w:ind w:left="369" w:hanging="369"/>
      </w:pPr>
      <w:rPr>
        <w:rFonts w:hint="default"/>
      </w:rPr>
    </w:lvl>
    <w:lvl w:ilvl="1" w:tplc="40090019" w:tentative="1">
      <w:start w:val="1"/>
      <w:numFmt w:val="lowerLetter"/>
      <w:lvlText w:val="%2."/>
      <w:lvlJc w:val="left"/>
      <w:pPr>
        <w:ind w:left="1089" w:hanging="360"/>
      </w:pPr>
    </w:lvl>
    <w:lvl w:ilvl="2" w:tplc="4009001B" w:tentative="1">
      <w:start w:val="1"/>
      <w:numFmt w:val="lowerRoman"/>
      <w:lvlText w:val="%3."/>
      <w:lvlJc w:val="right"/>
      <w:pPr>
        <w:ind w:left="1809" w:hanging="180"/>
      </w:pPr>
    </w:lvl>
    <w:lvl w:ilvl="3" w:tplc="4009000F" w:tentative="1">
      <w:start w:val="1"/>
      <w:numFmt w:val="decimal"/>
      <w:lvlText w:val="%4."/>
      <w:lvlJc w:val="left"/>
      <w:pPr>
        <w:ind w:left="2529" w:hanging="360"/>
      </w:pPr>
    </w:lvl>
    <w:lvl w:ilvl="4" w:tplc="40090019" w:tentative="1">
      <w:start w:val="1"/>
      <w:numFmt w:val="lowerLetter"/>
      <w:lvlText w:val="%5."/>
      <w:lvlJc w:val="left"/>
      <w:pPr>
        <w:ind w:left="3249" w:hanging="360"/>
      </w:pPr>
    </w:lvl>
    <w:lvl w:ilvl="5" w:tplc="4009001B" w:tentative="1">
      <w:start w:val="1"/>
      <w:numFmt w:val="lowerRoman"/>
      <w:lvlText w:val="%6."/>
      <w:lvlJc w:val="right"/>
      <w:pPr>
        <w:ind w:left="3969" w:hanging="180"/>
      </w:pPr>
    </w:lvl>
    <w:lvl w:ilvl="6" w:tplc="4009000F" w:tentative="1">
      <w:start w:val="1"/>
      <w:numFmt w:val="decimal"/>
      <w:lvlText w:val="%7."/>
      <w:lvlJc w:val="left"/>
      <w:pPr>
        <w:ind w:left="4689" w:hanging="360"/>
      </w:pPr>
    </w:lvl>
    <w:lvl w:ilvl="7" w:tplc="40090019" w:tentative="1">
      <w:start w:val="1"/>
      <w:numFmt w:val="lowerLetter"/>
      <w:lvlText w:val="%8."/>
      <w:lvlJc w:val="left"/>
      <w:pPr>
        <w:ind w:left="5409" w:hanging="360"/>
      </w:pPr>
    </w:lvl>
    <w:lvl w:ilvl="8" w:tplc="4009001B" w:tentative="1">
      <w:start w:val="1"/>
      <w:numFmt w:val="lowerRoman"/>
      <w:lvlText w:val="%9."/>
      <w:lvlJc w:val="right"/>
      <w:pPr>
        <w:ind w:left="6129" w:hanging="180"/>
      </w:pPr>
    </w:lvl>
  </w:abstractNum>
  <w:abstractNum w:abstractNumId="40" w15:restartNumberingAfterBreak="0">
    <w:nsid w:val="58587CF9"/>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5A13611A"/>
    <w:multiLevelType w:val="hybridMultilevel"/>
    <w:tmpl w:val="E4D4226C"/>
    <w:lvl w:ilvl="0" w:tplc="08090001">
      <w:start w:val="1"/>
      <w:numFmt w:val="bullet"/>
      <w:lvlText w:val=""/>
      <w:lvlJc w:val="left"/>
      <w:pPr>
        <w:ind w:left="960" w:hanging="360"/>
      </w:pPr>
      <w:rPr>
        <w:rFonts w:ascii="Symbol" w:hAnsi="Symbol" w:hint="default"/>
      </w:rPr>
    </w:lvl>
    <w:lvl w:ilvl="1" w:tplc="08090003" w:tentative="1">
      <w:start w:val="1"/>
      <w:numFmt w:val="bullet"/>
      <w:lvlText w:val="o"/>
      <w:lvlJc w:val="left"/>
      <w:pPr>
        <w:ind w:left="1680" w:hanging="360"/>
      </w:pPr>
      <w:rPr>
        <w:rFonts w:ascii="Courier New" w:hAnsi="Courier New" w:cs="Courier New" w:hint="default"/>
      </w:rPr>
    </w:lvl>
    <w:lvl w:ilvl="2" w:tplc="08090005" w:tentative="1">
      <w:start w:val="1"/>
      <w:numFmt w:val="bullet"/>
      <w:lvlText w:val=""/>
      <w:lvlJc w:val="left"/>
      <w:pPr>
        <w:ind w:left="2400" w:hanging="360"/>
      </w:pPr>
      <w:rPr>
        <w:rFonts w:ascii="Wingdings" w:hAnsi="Wingdings" w:hint="default"/>
      </w:rPr>
    </w:lvl>
    <w:lvl w:ilvl="3" w:tplc="08090001" w:tentative="1">
      <w:start w:val="1"/>
      <w:numFmt w:val="bullet"/>
      <w:lvlText w:val=""/>
      <w:lvlJc w:val="left"/>
      <w:pPr>
        <w:ind w:left="3120" w:hanging="360"/>
      </w:pPr>
      <w:rPr>
        <w:rFonts w:ascii="Symbol" w:hAnsi="Symbol" w:hint="default"/>
      </w:rPr>
    </w:lvl>
    <w:lvl w:ilvl="4" w:tplc="08090003" w:tentative="1">
      <w:start w:val="1"/>
      <w:numFmt w:val="bullet"/>
      <w:lvlText w:val="o"/>
      <w:lvlJc w:val="left"/>
      <w:pPr>
        <w:ind w:left="3840" w:hanging="360"/>
      </w:pPr>
      <w:rPr>
        <w:rFonts w:ascii="Courier New" w:hAnsi="Courier New" w:cs="Courier New" w:hint="default"/>
      </w:rPr>
    </w:lvl>
    <w:lvl w:ilvl="5" w:tplc="08090005" w:tentative="1">
      <w:start w:val="1"/>
      <w:numFmt w:val="bullet"/>
      <w:lvlText w:val=""/>
      <w:lvlJc w:val="left"/>
      <w:pPr>
        <w:ind w:left="4560" w:hanging="360"/>
      </w:pPr>
      <w:rPr>
        <w:rFonts w:ascii="Wingdings" w:hAnsi="Wingdings" w:hint="default"/>
      </w:rPr>
    </w:lvl>
    <w:lvl w:ilvl="6" w:tplc="08090001" w:tentative="1">
      <w:start w:val="1"/>
      <w:numFmt w:val="bullet"/>
      <w:lvlText w:val=""/>
      <w:lvlJc w:val="left"/>
      <w:pPr>
        <w:ind w:left="5280" w:hanging="360"/>
      </w:pPr>
      <w:rPr>
        <w:rFonts w:ascii="Symbol" w:hAnsi="Symbol" w:hint="default"/>
      </w:rPr>
    </w:lvl>
    <w:lvl w:ilvl="7" w:tplc="08090003" w:tentative="1">
      <w:start w:val="1"/>
      <w:numFmt w:val="bullet"/>
      <w:lvlText w:val="o"/>
      <w:lvlJc w:val="left"/>
      <w:pPr>
        <w:ind w:left="6000" w:hanging="360"/>
      </w:pPr>
      <w:rPr>
        <w:rFonts w:ascii="Courier New" w:hAnsi="Courier New" w:cs="Courier New" w:hint="default"/>
      </w:rPr>
    </w:lvl>
    <w:lvl w:ilvl="8" w:tplc="08090005" w:tentative="1">
      <w:start w:val="1"/>
      <w:numFmt w:val="bullet"/>
      <w:lvlText w:val=""/>
      <w:lvlJc w:val="left"/>
      <w:pPr>
        <w:ind w:left="6720" w:hanging="360"/>
      </w:pPr>
      <w:rPr>
        <w:rFonts w:ascii="Wingdings" w:hAnsi="Wingdings" w:hint="default"/>
      </w:rPr>
    </w:lvl>
  </w:abstractNum>
  <w:abstractNum w:abstractNumId="42" w15:restartNumberingAfterBreak="0">
    <w:nsid w:val="5ECC7319"/>
    <w:multiLevelType w:val="hybridMultilevel"/>
    <w:tmpl w:val="5858B95C"/>
    <w:lvl w:ilvl="0" w:tplc="FC283638">
      <w:start w:val="6"/>
      <w:numFmt w:val="bullet"/>
      <w:lvlText w:val=""/>
      <w:lvlJc w:val="left"/>
      <w:pPr>
        <w:ind w:left="598" w:hanging="360"/>
      </w:pPr>
      <w:rPr>
        <w:rFonts w:ascii="Symbol" w:eastAsia="Batang" w:hAnsi="Symbol" w:cs="Times New Roman" w:hint="default"/>
      </w:rPr>
    </w:lvl>
    <w:lvl w:ilvl="1" w:tplc="04090003" w:tentative="1">
      <w:start w:val="1"/>
      <w:numFmt w:val="bullet"/>
      <w:lvlText w:val="o"/>
      <w:lvlJc w:val="left"/>
      <w:pPr>
        <w:ind w:left="1318" w:hanging="360"/>
      </w:pPr>
      <w:rPr>
        <w:rFonts w:ascii="Courier New" w:hAnsi="Courier New" w:cs="Courier New" w:hint="default"/>
      </w:rPr>
    </w:lvl>
    <w:lvl w:ilvl="2" w:tplc="04090005" w:tentative="1">
      <w:start w:val="1"/>
      <w:numFmt w:val="bullet"/>
      <w:lvlText w:val=""/>
      <w:lvlJc w:val="left"/>
      <w:pPr>
        <w:ind w:left="2038" w:hanging="360"/>
      </w:pPr>
      <w:rPr>
        <w:rFonts w:ascii="Wingdings" w:hAnsi="Wingdings" w:hint="default"/>
      </w:rPr>
    </w:lvl>
    <w:lvl w:ilvl="3" w:tplc="04090001" w:tentative="1">
      <w:start w:val="1"/>
      <w:numFmt w:val="bullet"/>
      <w:lvlText w:val=""/>
      <w:lvlJc w:val="left"/>
      <w:pPr>
        <w:ind w:left="2758" w:hanging="360"/>
      </w:pPr>
      <w:rPr>
        <w:rFonts w:ascii="Symbol" w:hAnsi="Symbol" w:hint="default"/>
      </w:rPr>
    </w:lvl>
    <w:lvl w:ilvl="4" w:tplc="04090003" w:tentative="1">
      <w:start w:val="1"/>
      <w:numFmt w:val="bullet"/>
      <w:lvlText w:val="o"/>
      <w:lvlJc w:val="left"/>
      <w:pPr>
        <w:ind w:left="3478" w:hanging="360"/>
      </w:pPr>
      <w:rPr>
        <w:rFonts w:ascii="Courier New" w:hAnsi="Courier New" w:cs="Courier New" w:hint="default"/>
      </w:rPr>
    </w:lvl>
    <w:lvl w:ilvl="5" w:tplc="04090005" w:tentative="1">
      <w:start w:val="1"/>
      <w:numFmt w:val="bullet"/>
      <w:lvlText w:val=""/>
      <w:lvlJc w:val="left"/>
      <w:pPr>
        <w:ind w:left="4198" w:hanging="360"/>
      </w:pPr>
      <w:rPr>
        <w:rFonts w:ascii="Wingdings" w:hAnsi="Wingdings" w:hint="default"/>
      </w:rPr>
    </w:lvl>
    <w:lvl w:ilvl="6" w:tplc="04090001" w:tentative="1">
      <w:start w:val="1"/>
      <w:numFmt w:val="bullet"/>
      <w:lvlText w:val=""/>
      <w:lvlJc w:val="left"/>
      <w:pPr>
        <w:ind w:left="4918" w:hanging="360"/>
      </w:pPr>
      <w:rPr>
        <w:rFonts w:ascii="Symbol" w:hAnsi="Symbol" w:hint="default"/>
      </w:rPr>
    </w:lvl>
    <w:lvl w:ilvl="7" w:tplc="04090003" w:tentative="1">
      <w:start w:val="1"/>
      <w:numFmt w:val="bullet"/>
      <w:lvlText w:val="o"/>
      <w:lvlJc w:val="left"/>
      <w:pPr>
        <w:ind w:left="5638" w:hanging="360"/>
      </w:pPr>
      <w:rPr>
        <w:rFonts w:ascii="Courier New" w:hAnsi="Courier New" w:cs="Courier New" w:hint="default"/>
      </w:rPr>
    </w:lvl>
    <w:lvl w:ilvl="8" w:tplc="04090005" w:tentative="1">
      <w:start w:val="1"/>
      <w:numFmt w:val="bullet"/>
      <w:lvlText w:val=""/>
      <w:lvlJc w:val="left"/>
      <w:pPr>
        <w:ind w:left="6358" w:hanging="360"/>
      </w:pPr>
      <w:rPr>
        <w:rFonts w:ascii="Wingdings" w:hAnsi="Wingdings" w:hint="default"/>
      </w:rPr>
    </w:lvl>
  </w:abstractNum>
  <w:abstractNum w:abstractNumId="43" w15:restartNumberingAfterBreak="0">
    <w:nsid w:val="5FC3120D"/>
    <w:multiLevelType w:val="hybridMultilevel"/>
    <w:tmpl w:val="EEAA82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60CE114D"/>
    <w:multiLevelType w:val="hybridMultilevel"/>
    <w:tmpl w:val="B4524F74"/>
    <w:lvl w:ilvl="0" w:tplc="F7A633E8">
      <w:start w:val="1"/>
      <w:numFmt w:val="decimal"/>
      <w:pStyle w:val="Numreference"/>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63711FAD"/>
    <w:multiLevelType w:val="multilevel"/>
    <w:tmpl w:val="85C07BDA"/>
    <w:name w:val="H0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 w15:restartNumberingAfterBreak="0">
    <w:nsid w:val="639E6475"/>
    <w:multiLevelType w:val="hybridMultilevel"/>
    <w:tmpl w:val="59A445F0"/>
    <w:lvl w:ilvl="0" w:tplc="04C09746">
      <w:start w:val="1"/>
      <w:numFmt w:val="decimal"/>
      <w:lvlRestart w:val="0"/>
      <w:lvlText w:val="[%1]"/>
      <w:lvlJc w:val="left"/>
      <w:pPr>
        <w:ind w:left="369" w:hanging="369"/>
      </w:pPr>
      <w:rPr>
        <w:rFonts w:hint="default"/>
      </w:rPr>
    </w:lvl>
    <w:lvl w:ilvl="1" w:tplc="40090019" w:tentative="1">
      <w:start w:val="1"/>
      <w:numFmt w:val="lowerLetter"/>
      <w:lvlText w:val="%2."/>
      <w:lvlJc w:val="left"/>
      <w:pPr>
        <w:ind w:left="1089" w:hanging="360"/>
      </w:pPr>
    </w:lvl>
    <w:lvl w:ilvl="2" w:tplc="4009001B" w:tentative="1">
      <w:start w:val="1"/>
      <w:numFmt w:val="lowerRoman"/>
      <w:lvlText w:val="%3."/>
      <w:lvlJc w:val="right"/>
      <w:pPr>
        <w:ind w:left="1809" w:hanging="180"/>
      </w:pPr>
    </w:lvl>
    <w:lvl w:ilvl="3" w:tplc="4009000F" w:tentative="1">
      <w:start w:val="1"/>
      <w:numFmt w:val="decimal"/>
      <w:lvlText w:val="%4."/>
      <w:lvlJc w:val="left"/>
      <w:pPr>
        <w:ind w:left="2529" w:hanging="360"/>
      </w:pPr>
    </w:lvl>
    <w:lvl w:ilvl="4" w:tplc="40090019" w:tentative="1">
      <w:start w:val="1"/>
      <w:numFmt w:val="lowerLetter"/>
      <w:lvlText w:val="%5."/>
      <w:lvlJc w:val="left"/>
      <w:pPr>
        <w:ind w:left="3249" w:hanging="360"/>
      </w:pPr>
    </w:lvl>
    <w:lvl w:ilvl="5" w:tplc="4009001B" w:tentative="1">
      <w:start w:val="1"/>
      <w:numFmt w:val="lowerRoman"/>
      <w:lvlText w:val="%6."/>
      <w:lvlJc w:val="right"/>
      <w:pPr>
        <w:ind w:left="3969" w:hanging="180"/>
      </w:pPr>
    </w:lvl>
    <w:lvl w:ilvl="6" w:tplc="4009000F" w:tentative="1">
      <w:start w:val="1"/>
      <w:numFmt w:val="decimal"/>
      <w:lvlText w:val="%7."/>
      <w:lvlJc w:val="left"/>
      <w:pPr>
        <w:ind w:left="4689" w:hanging="360"/>
      </w:pPr>
    </w:lvl>
    <w:lvl w:ilvl="7" w:tplc="40090019" w:tentative="1">
      <w:start w:val="1"/>
      <w:numFmt w:val="lowerLetter"/>
      <w:lvlText w:val="%8."/>
      <w:lvlJc w:val="left"/>
      <w:pPr>
        <w:ind w:left="5409" w:hanging="360"/>
      </w:pPr>
    </w:lvl>
    <w:lvl w:ilvl="8" w:tplc="4009001B" w:tentative="1">
      <w:start w:val="1"/>
      <w:numFmt w:val="lowerRoman"/>
      <w:lvlText w:val="%9."/>
      <w:lvlJc w:val="right"/>
      <w:pPr>
        <w:ind w:left="6129" w:hanging="180"/>
      </w:pPr>
    </w:lvl>
  </w:abstractNum>
  <w:abstractNum w:abstractNumId="47" w15:restartNumberingAfterBreak="0">
    <w:nsid w:val="64F1366B"/>
    <w:multiLevelType w:val="hybridMultilevel"/>
    <w:tmpl w:val="F01E6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B7B0CA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6E7C4D3E"/>
    <w:multiLevelType w:val="multilevel"/>
    <w:tmpl w:val="E730AD9E"/>
    <w:lvl w:ilvl="0">
      <w:start w:val="1"/>
      <w:numFmt w:val="decimal"/>
      <w:lvlRestart w:val="0"/>
      <w:pStyle w:val="MainTitle"/>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50" w15:restartNumberingAfterBreak="0">
    <w:nsid w:val="6EB96FCF"/>
    <w:multiLevelType w:val="multilevel"/>
    <w:tmpl w:val="B2B2DD9A"/>
    <w:lvl w:ilvl="0">
      <w:numFmt w:val="none"/>
      <w:lvlRestart w:val="0"/>
      <w:pStyle w:val="DMainTitle"/>
      <w:suff w:val="space"/>
      <w:lvlText w:val="%1"/>
      <w:lvlJc w:val="left"/>
      <w:pPr>
        <w:ind w:left="0" w:firstLine="0"/>
      </w:pPr>
      <w:rPr>
        <w:rFonts w:hint="default"/>
      </w:rPr>
    </w:lvl>
    <w:lvl w:ilvl="1">
      <w:start w:val="1"/>
      <w:numFmt w:val="decimal"/>
      <w:pStyle w:val="heading10"/>
      <w:suff w:val="space"/>
      <w:lvlText w:val="%2"/>
      <w:lvlJc w:val="left"/>
      <w:pPr>
        <w:ind w:left="0" w:firstLine="0"/>
      </w:pPr>
      <w:rPr>
        <w:rFonts w:hint="default"/>
      </w:rPr>
    </w:lvl>
    <w:lvl w:ilvl="2">
      <w:start w:val="1"/>
      <w:numFmt w:val="decimal"/>
      <w:pStyle w:val="heading2"/>
      <w:suff w:val="space"/>
      <w:lvlText w:val="%2.%3"/>
      <w:lvlJc w:val="left"/>
      <w:pPr>
        <w:ind w:left="0" w:firstLine="0"/>
      </w:pPr>
      <w:rPr>
        <w:rFonts w:hint="default"/>
      </w:rPr>
    </w:lvl>
    <w:lvl w:ilvl="3">
      <w:start w:val="1"/>
      <w:numFmt w:val="decimal"/>
      <w:pStyle w:val="heading3"/>
      <w:suff w:val="space"/>
      <w:lvlText w:val="%2.%3.%4"/>
      <w:lvlJc w:val="left"/>
      <w:pPr>
        <w:ind w:left="0" w:firstLine="0"/>
      </w:pPr>
      <w:rPr>
        <w:rFonts w:hint="default"/>
      </w:rPr>
    </w:lvl>
    <w:lvl w:ilvl="4">
      <w:start w:val="1"/>
      <w:numFmt w:val="decimal"/>
      <w:pStyle w:val="heading4"/>
      <w:suff w:val="space"/>
      <w:lvlText w:val="%2.%3.%4.%5"/>
      <w:lvlJc w:val="left"/>
      <w:pPr>
        <w:ind w:left="0" w:firstLine="0"/>
      </w:pPr>
      <w:rPr>
        <w:rFonts w:hint="default"/>
      </w:rPr>
    </w:lvl>
    <w:lvl w:ilvl="5">
      <w:start w:val="1"/>
      <w:numFmt w:val="decimal"/>
      <w:pStyle w:val="heading5"/>
      <w:suff w:val="nothing"/>
      <w:lvlText w:val="%2.%3.%4.%5.%6"/>
      <w:lvlJc w:val="left"/>
      <w:pPr>
        <w:ind w:left="0" w:firstLine="0"/>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51" w15:restartNumberingAfterBreak="0">
    <w:nsid w:val="738515DF"/>
    <w:multiLevelType w:val="hybridMultilevel"/>
    <w:tmpl w:val="F0B4F016"/>
    <w:lvl w:ilvl="0" w:tplc="0809000F">
      <w:start w:val="1"/>
      <w:numFmt w:val="decimal"/>
      <w:lvlText w:val="%1."/>
      <w:lvlJc w:val="left"/>
      <w:pPr>
        <w:ind w:left="1710" w:hanging="360"/>
      </w:pPr>
    </w:lvl>
    <w:lvl w:ilvl="1" w:tplc="08090019" w:tentative="1">
      <w:start w:val="1"/>
      <w:numFmt w:val="lowerLetter"/>
      <w:lvlText w:val="%2."/>
      <w:lvlJc w:val="left"/>
      <w:pPr>
        <w:ind w:left="2430" w:hanging="360"/>
      </w:pPr>
    </w:lvl>
    <w:lvl w:ilvl="2" w:tplc="0809001B" w:tentative="1">
      <w:start w:val="1"/>
      <w:numFmt w:val="lowerRoman"/>
      <w:lvlText w:val="%3."/>
      <w:lvlJc w:val="right"/>
      <w:pPr>
        <w:ind w:left="3150" w:hanging="180"/>
      </w:pPr>
    </w:lvl>
    <w:lvl w:ilvl="3" w:tplc="0809000F" w:tentative="1">
      <w:start w:val="1"/>
      <w:numFmt w:val="decimal"/>
      <w:lvlText w:val="%4."/>
      <w:lvlJc w:val="left"/>
      <w:pPr>
        <w:ind w:left="3870" w:hanging="360"/>
      </w:pPr>
    </w:lvl>
    <w:lvl w:ilvl="4" w:tplc="08090019" w:tentative="1">
      <w:start w:val="1"/>
      <w:numFmt w:val="lowerLetter"/>
      <w:lvlText w:val="%5."/>
      <w:lvlJc w:val="left"/>
      <w:pPr>
        <w:ind w:left="4590" w:hanging="360"/>
      </w:pPr>
    </w:lvl>
    <w:lvl w:ilvl="5" w:tplc="0809001B" w:tentative="1">
      <w:start w:val="1"/>
      <w:numFmt w:val="lowerRoman"/>
      <w:lvlText w:val="%6."/>
      <w:lvlJc w:val="right"/>
      <w:pPr>
        <w:ind w:left="5310" w:hanging="180"/>
      </w:pPr>
    </w:lvl>
    <w:lvl w:ilvl="6" w:tplc="0809000F" w:tentative="1">
      <w:start w:val="1"/>
      <w:numFmt w:val="decimal"/>
      <w:lvlText w:val="%7."/>
      <w:lvlJc w:val="left"/>
      <w:pPr>
        <w:ind w:left="6030" w:hanging="360"/>
      </w:pPr>
    </w:lvl>
    <w:lvl w:ilvl="7" w:tplc="08090019" w:tentative="1">
      <w:start w:val="1"/>
      <w:numFmt w:val="lowerLetter"/>
      <w:lvlText w:val="%8."/>
      <w:lvlJc w:val="left"/>
      <w:pPr>
        <w:ind w:left="6750" w:hanging="360"/>
      </w:pPr>
    </w:lvl>
    <w:lvl w:ilvl="8" w:tplc="0809001B" w:tentative="1">
      <w:start w:val="1"/>
      <w:numFmt w:val="lowerRoman"/>
      <w:lvlText w:val="%9."/>
      <w:lvlJc w:val="right"/>
      <w:pPr>
        <w:ind w:left="7470" w:hanging="180"/>
      </w:pPr>
    </w:lvl>
  </w:abstractNum>
  <w:abstractNum w:abstractNumId="52" w15:restartNumberingAfterBreak="0">
    <w:nsid w:val="7AF43D2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7C0F28CA"/>
    <w:multiLevelType w:val="multilevel"/>
    <w:tmpl w:val="2F4A8DE6"/>
    <w:lvl w:ilvl="0">
      <w:start w:val="1"/>
      <w:numFmt w:val="bullet"/>
      <w:pStyle w:val="ListBullet"/>
      <w:lvlText w:val="▪"/>
      <w:lvlJc w:val="left"/>
      <w:pPr>
        <w:ind w:left="720" w:hanging="360"/>
      </w:pPr>
      <w:rPr>
        <w:rFonts w:ascii="Noto Sans Symbols" w:eastAsia="Noto Sans Symbols" w:hAnsi="Noto Sans Symbols" w:cs="Noto Sans Symbols"/>
      </w:rPr>
    </w:lvl>
    <w:lvl w:ilvl="1">
      <w:start w:val="1"/>
      <w:numFmt w:val="bullet"/>
      <w:pStyle w:val="ListBullet2"/>
      <w:lvlText w:val="o"/>
      <w:lvlJc w:val="left"/>
      <w:pPr>
        <w:ind w:left="1440" w:hanging="360"/>
      </w:pPr>
      <w:rPr>
        <w:rFonts w:ascii="Courier New" w:eastAsia="Courier New" w:hAnsi="Courier New" w:cs="Courier New"/>
      </w:rPr>
    </w:lvl>
    <w:lvl w:ilvl="2">
      <w:start w:val="1"/>
      <w:numFmt w:val="bullet"/>
      <w:pStyle w:val="ListBullet3"/>
      <w:lvlText w:val="▪"/>
      <w:lvlJc w:val="left"/>
      <w:pPr>
        <w:ind w:left="2160" w:hanging="360"/>
      </w:pPr>
      <w:rPr>
        <w:rFonts w:ascii="Noto Sans Symbols" w:eastAsia="Noto Sans Symbols" w:hAnsi="Noto Sans Symbols" w:cs="Noto Sans Symbols"/>
      </w:rPr>
    </w:lvl>
    <w:lvl w:ilvl="3">
      <w:start w:val="1"/>
      <w:numFmt w:val="bullet"/>
      <w:pStyle w:val="ListBullet4"/>
      <w:lvlText w:val="●"/>
      <w:lvlJc w:val="left"/>
      <w:pPr>
        <w:ind w:left="2880" w:hanging="360"/>
      </w:pPr>
      <w:rPr>
        <w:rFonts w:ascii="Noto Sans Symbols" w:eastAsia="Noto Sans Symbols" w:hAnsi="Noto Sans Symbols" w:cs="Noto Sans Symbols"/>
      </w:rPr>
    </w:lvl>
    <w:lvl w:ilvl="4">
      <w:start w:val="1"/>
      <w:numFmt w:val="bullet"/>
      <w:pStyle w:val="ListBullet5"/>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7CC86B4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395857738">
    <w:abstractNumId w:val="0"/>
  </w:num>
  <w:num w:numId="2" w16cid:durableId="1519126026">
    <w:abstractNumId w:val="12"/>
  </w:num>
  <w:num w:numId="3" w16cid:durableId="1146583082">
    <w:abstractNumId w:val="31"/>
  </w:num>
  <w:num w:numId="4" w16cid:durableId="1233740056">
    <w:abstractNumId w:val="35"/>
  </w:num>
  <w:num w:numId="5" w16cid:durableId="1353609440">
    <w:abstractNumId w:val="27"/>
  </w:num>
  <w:num w:numId="6" w16cid:durableId="2139833248">
    <w:abstractNumId w:val="26"/>
  </w:num>
  <w:num w:numId="7" w16cid:durableId="752047302">
    <w:abstractNumId w:val="16"/>
  </w:num>
  <w:num w:numId="8" w16cid:durableId="1112091885">
    <w:abstractNumId w:val="49"/>
  </w:num>
  <w:num w:numId="9" w16cid:durableId="368645346">
    <w:abstractNumId w:val="50"/>
  </w:num>
  <w:num w:numId="10" w16cid:durableId="1427187642">
    <w:abstractNumId w:val="44"/>
  </w:num>
  <w:num w:numId="11" w16cid:durableId="608510470">
    <w:abstractNumId w:val="25"/>
  </w:num>
  <w:num w:numId="12" w16cid:durableId="386338190">
    <w:abstractNumId w:val="46"/>
  </w:num>
  <w:num w:numId="13" w16cid:durableId="91586314">
    <w:abstractNumId w:val="39"/>
  </w:num>
  <w:num w:numId="14" w16cid:durableId="1038354495">
    <w:abstractNumId w:val="22"/>
  </w:num>
  <w:num w:numId="15" w16cid:durableId="1728995048">
    <w:abstractNumId w:val="29"/>
  </w:num>
  <w:num w:numId="16" w16cid:durableId="374089997">
    <w:abstractNumId w:val="10"/>
  </w:num>
  <w:num w:numId="17" w16cid:durableId="1639409859">
    <w:abstractNumId w:val="37"/>
  </w:num>
  <w:num w:numId="18" w16cid:durableId="329795766">
    <w:abstractNumId w:val="19"/>
  </w:num>
  <w:num w:numId="19" w16cid:durableId="1568109002">
    <w:abstractNumId w:val="53"/>
  </w:num>
  <w:num w:numId="20" w16cid:durableId="1839804127">
    <w:abstractNumId w:val="41"/>
  </w:num>
  <w:num w:numId="21" w16cid:durableId="1520391793">
    <w:abstractNumId w:val="3"/>
  </w:num>
  <w:num w:numId="22" w16cid:durableId="1571846242">
    <w:abstractNumId w:val="5"/>
  </w:num>
  <w:num w:numId="23" w16cid:durableId="911433054">
    <w:abstractNumId w:val="18"/>
  </w:num>
  <w:num w:numId="24" w16cid:durableId="556628427">
    <w:abstractNumId w:val="20"/>
  </w:num>
  <w:num w:numId="25" w16cid:durableId="1040594699">
    <w:abstractNumId w:val="47"/>
  </w:num>
  <w:num w:numId="26" w16cid:durableId="786660129">
    <w:abstractNumId w:val="42"/>
  </w:num>
  <w:num w:numId="27" w16cid:durableId="1092048462">
    <w:abstractNumId w:val="8"/>
  </w:num>
  <w:num w:numId="28" w16cid:durableId="386103106">
    <w:abstractNumId w:val="33"/>
  </w:num>
  <w:num w:numId="29" w16cid:durableId="1648050985">
    <w:abstractNumId w:val="34"/>
  </w:num>
  <w:num w:numId="30" w16cid:durableId="1207178385">
    <w:abstractNumId w:val="24"/>
  </w:num>
  <w:num w:numId="31" w16cid:durableId="430316791">
    <w:abstractNumId w:val="51"/>
  </w:num>
  <w:num w:numId="32" w16cid:durableId="917325892">
    <w:abstractNumId w:val="7"/>
  </w:num>
  <w:num w:numId="33" w16cid:durableId="1805468884">
    <w:abstractNumId w:val="21"/>
  </w:num>
  <w:num w:numId="34" w16cid:durableId="1327053415">
    <w:abstractNumId w:val="11"/>
  </w:num>
  <w:num w:numId="35" w16cid:durableId="676494471">
    <w:abstractNumId w:val="32"/>
  </w:num>
  <w:num w:numId="36" w16cid:durableId="1876891277">
    <w:abstractNumId w:val="28"/>
  </w:num>
  <w:num w:numId="37" w16cid:durableId="652099043">
    <w:abstractNumId w:val="43"/>
  </w:num>
  <w:num w:numId="38" w16cid:durableId="147092557">
    <w:abstractNumId w:val="2"/>
  </w:num>
  <w:num w:numId="39" w16cid:durableId="920336416">
    <w:abstractNumId w:val="9"/>
  </w:num>
  <w:num w:numId="40" w16cid:durableId="1769693437">
    <w:abstractNumId w:val="15"/>
  </w:num>
  <w:num w:numId="41" w16cid:durableId="94055843">
    <w:abstractNumId w:val="54"/>
  </w:num>
  <w:num w:numId="42" w16cid:durableId="115384028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506335401">
    <w:abstractNumId w:val="23"/>
  </w:num>
  <w:num w:numId="44" w16cid:durableId="258873958">
    <w:abstractNumId w:val="52"/>
  </w:num>
  <w:num w:numId="45" w16cid:durableId="231475696">
    <w:abstractNumId w:val="48"/>
  </w:num>
  <w:num w:numId="46" w16cid:durableId="1205021941">
    <w:abstractNumId w:val="17"/>
  </w:num>
  <w:num w:numId="47" w16cid:durableId="1594169240">
    <w:abstractNumId w:val="40"/>
  </w:num>
  <w:num w:numId="48" w16cid:durableId="515391027">
    <w:abstractNumId w:val="4"/>
  </w:num>
  <w:num w:numId="49" w16cid:durableId="1841650760">
    <w:abstractNumId w:val="38"/>
  </w:num>
  <w:num w:numId="50" w16cid:durableId="2008287334">
    <w:abstractNumId w:val="30"/>
  </w:num>
  <w:numIdMacAtCleanup w:val="10"/>
</w:numbering>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zoom w:percent="15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consecutiveHyphenLimit w:val="3"/>
  <w:hyphenationZone w:val="140"/>
  <w:doNotHyphenateCaps/>
  <w:evenAndOddHeaders/>
  <w:drawingGridHorizontalSpacing w:val="110"/>
  <w:drawingGridVerticalSpacing w:val="163"/>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9E1"/>
    <w:rsid w:val="00000A22"/>
    <w:rsid w:val="00001935"/>
    <w:rsid w:val="00001F6D"/>
    <w:rsid w:val="00002809"/>
    <w:rsid w:val="00002BC0"/>
    <w:rsid w:val="000034D0"/>
    <w:rsid w:val="000041C9"/>
    <w:rsid w:val="0000431B"/>
    <w:rsid w:val="00005436"/>
    <w:rsid w:val="00005770"/>
    <w:rsid w:val="00005F1B"/>
    <w:rsid w:val="00006EBE"/>
    <w:rsid w:val="00006F6A"/>
    <w:rsid w:val="00007208"/>
    <w:rsid w:val="000079FF"/>
    <w:rsid w:val="00010126"/>
    <w:rsid w:val="000108FA"/>
    <w:rsid w:val="00010B55"/>
    <w:rsid w:val="00011398"/>
    <w:rsid w:val="00011FC1"/>
    <w:rsid w:val="00011FE3"/>
    <w:rsid w:val="00013659"/>
    <w:rsid w:val="000136BD"/>
    <w:rsid w:val="00014A91"/>
    <w:rsid w:val="00014BD1"/>
    <w:rsid w:val="00014DBB"/>
    <w:rsid w:val="00014E31"/>
    <w:rsid w:val="00016363"/>
    <w:rsid w:val="00016ADB"/>
    <w:rsid w:val="00016C02"/>
    <w:rsid w:val="00016C45"/>
    <w:rsid w:val="000171C3"/>
    <w:rsid w:val="000179BD"/>
    <w:rsid w:val="00017A49"/>
    <w:rsid w:val="0002006A"/>
    <w:rsid w:val="00020DA0"/>
    <w:rsid w:val="000215AD"/>
    <w:rsid w:val="00021616"/>
    <w:rsid w:val="000217A2"/>
    <w:rsid w:val="0002189C"/>
    <w:rsid w:val="00021FF6"/>
    <w:rsid w:val="0002309E"/>
    <w:rsid w:val="000237EE"/>
    <w:rsid w:val="000238AF"/>
    <w:rsid w:val="000238C5"/>
    <w:rsid w:val="00023B28"/>
    <w:rsid w:val="00023FC0"/>
    <w:rsid w:val="00024240"/>
    <w:rsid w:val="000246DA"/>
    <w:rsid w:val="00025071"/>
    <w:rsid w:val="000251AC"/>
    <w:rsid w:val="00025407"/>
    <w:rsid w:val="0002588E"/>
    <w:rsid w:val="00025E14"/>
    <w:rsid w:val="0002696B"/>
    <w:rsid w:val="000269D1"/>
    <w:rsid w:val="00026FD1"/>
    <w:rsid w:val="00027580"/>
    <w:rsid w:val="00027FBA"/>
    <w:rsid w:val="00031D1D"/>
    <w:rsid w:val="00033DCB"/>
    <w:rsid w:val="00033EA6"/>
    <w:rsid w:val="00034261"/>
    <w:rsid w:val="00034634"/>
    <w:rsid w:val="00034FDC"/>
    <w:rsid w:val="000358F5"/>
    <w:rsid w:val="00035C6D"/>
    <w:rsid w:val="000364B7"/>
    <w:rsid w:val="000368F7"/>
    <w:rsid w:val="00036A4C"/>
    <w:rsid w:val="00036F91"/>
    <w:rsid w:val="00037490"/>
    <w:rsid w:val="00040600"/>
    <w:rsid w:val="000407AF"/>
    <w:rsid w:val="00040CB2"/>
    <w:rsid w:val="00041BEB"/>
    <w:rsid w:val="00041ED1"/>
    <w:rsid w:val="00041FB3"/>
    <w:rsid w:val="0004200C"/>
    <w:rsid w:val="000435E7"/>
    <w:rsid w:val="00043669"/>
    <w:rsid w:val="0004454D"/>
    <w:rsid w:val="00044A53"/>
    <w:rsid w:val="00045148"/>
    <w:rsid w:val="000455C9"/>
    <w:rsid w:val="000455E4"/>
    <w:rsid w:val="00045993"/>
    <w:rsid w:val="00046A35"/>
    <w:rsid w:val="00046F71"/>
    <w:rsid w:val="00047115"/>
    <w:rsid w:val="000471C0"/>
    <w:rsid w:val="0004728D"/>
    <w:rsid w:val="00047C2F"/>
    <w:rsid w:val="00051431"/>
    <w:rsid w:val="000531C2"/>
    <w:rsid w:val="00053B6C"/>
    <w:rsid w:val="00054235"/>
    <w:rsid w:val="000548B7"/>
    <w:rsid w:val="00054CB5"/>
    <w:rsid w:val="00054F36"/>
    <w:rsid w:val="00055372"/>
    <w:rsid w:val="0005564E"/>
    <w:rsid w:val="00055F64"/>
    <w:rsid w:val="00055FDA"/>
    <w:rsid w:val="0005686B"/>
    <w:rsid w:val="00056AD5"/>
    <w:rsid w:val="0005714D"/>
    <w:rsid w:val="00057666"/>
    <w:rsid w:val="000600CE"/>
    <w:rsid w:val="00060263"/>
    <w:rsid w:val="00060844"/>
    <w:rsid w:val="000609D5"/>
    <w:rsid w:val="000610D0"/>
    <w:rsid w:val="00061CE9"/>
    <w:rsid w:val="00061EF6"/>
    <w:rsid w:val="0006222E"/>
    <w:rsid w:val="0006277C"/>
    <w:rsid w:val="00062BD8"/>
    <w:rsid w:val="00063228"/>
    <w:rsid w:val="00063313"/>
    <w:rsid w:val="00063711"/>
    <w:rsid w:val="00063B01"/>
    <w:rsid w:val="00063C44"/>
    <w:rsid w:val="00063ED5"/>
    <w:rsid w:val="0006411D"/>
    <w:rsid w:val="0006426A"/>
    <w:rsid w:val="00064BA4"/>
    <w:rsid w:val="00065107"/>
    <w:rsid w:val="00065131"/>
    <w:rsid w:val="000658B8"/>
    <w:rsid w:val="000663FF"/>
    <w:rsid w:val="000667CC"/>
    <w:rsid w:val="00067571"/>
    <w:rsid w:val="00067C65"/>
    <w:rsid w:val="00067C66"/>
    <w:rsid w:val="00067D35"/>
    <w:rsid w:val="00070E77"/>
    <w:rsid w:val="00070EB1"/>
    <w:rsid w:val="000715EC"/>
    <w:rsid w:val="00071D3A"/>
    <w:rsid w:val="00072609"/>
    <w:rsid w:val="00072C30"/>
    <w:rsid w:val="00073EA1"/>
    <w:rsid w:val="00074963"/>
    <w:rsid w:val="00074BFC"/>
    <w:rsid w:val="0007533D"/>
    <w:rsid w:val="00075413"/>
    <w:rsid w:val="00075545"/>
    <w:rsid w:val="00075613"/>
    <w:rsid w:val="00076119"/>
    <w:rsid w:val="00076472"/>
    <w:rsid w:val="000770FA"/>
    <w:rsid w:val="000775CA"/>
    <w:rsid w:val="00077B13"/>
    <w:rsid w:val="000801C5"/>
    <w:rsid w:val="00080B57"/>
    <w:rsid w:val="00082293"/>
    <w:rsid w:val="000823D8"/>
    <w:rsid w:val="00082D3C"/>
    <w:rsid w:val="000848D2"/>
    <w:rsid w:val="00085087"/>
    <w:rsid w:val="0008666E"/>
    <w:rsid w:val="00086E42"/>
    <w:rsid w:val="00087922"/>
    <w:rsid w:val="00090E36"/>
    <w:rsid w:val="000914AE"/>
    <w:rsid w:val="00091BD4"/>
    <w:rsid w:val="00092D49"/>
    <w:rsid w:val="00095124"/>
    <w:rsid w:val="000953FD"/>
    <w:rsid w:val="00095666"/>
    <w:rsid w:val="000961C6"/>
    <w:rsid w:val="00096464"/>
    <w:rsid w:val="000973AB"/>
    <w:rsid w:val="00097A54"/>
    <w:rsid w:val="00097AD2"/>
    <w:rsid w:val="00097BDA"/>
    <w:rsid w:val="000A0980"/>
    <w:rsid w:val="000A0A64"/>
    <w:rsid w:val="000A14CD"/>
    <w:rsid w:val="000A20F6"/>
    <w:rsid w:val="000A2A37"/>
    <w:rsid w:val="000A2C8A"/>
    <w:rsid w:val="000A3EE2"/>
    <w:rsid w:val="000A46BC"/>
    <w:rsid w:val="000A487F"/>
    <w:rsid w:val="000A49FF"/>
    <w:rsid w:val="000A4E0B"/>
    <w:rsid w:val="000A5C84"/>
    <w:rsid w:val="000A60CB"/>
    <w:rsid w:val="000A64AD"/>
    <w:rsid w:val="000A67E4"/>
    <w:rsid w:val="000A69EB"/>
    <w:rsid w:val="000A6A5E"/>
    <w:rsid w:val="000B07D5"/>
    <w:rsid w:val="000B0C50"/>
    <w:rsid w:val="000B1E97"/>
    <w:rsid w:val="000B37BD"/>
    <w:rsid w:val="000B3DC0"/>
    <w:rsid w:val="000B4563"/>
    <w:rsid w:val="000B46CD"/>
    <w:rsid w:val="000B48B4"/>
    <w:rsid w:val="000B4A72"/>
    <w:rsid w:val="000B5E9A"/>
    <w:rsid w:val="000B5EAC"/>
    <w:rsid w:val="000B6707"/>
    <w:rsid w:val="000B678C"/>
    <w:rsid w:val="000B6AA7"/>
    <w:rsid w:val="000B6B71"/>
    <w:rsid w:val="000B73F1"/>
    <w:rsid w:val="000C04CB"/>
    <w:rsid w:val="000C1870"/>
    <w:rsid w:val="000C1F7A"/>
    <w:rsid w:val="000C22B6"/>
    <w:rsid w:val="000C27F4"/>
    <w:rsid w:val="000C3230"/>
    <w:rsid w:val="000C336C"/>
    <w:rsid w:val="000C3619"/>
    <w:rsid w:val="000C3875"/>
    <w:rsid w:val="000C39AD"/>
    <w:rsid w:val="000C3FEB"/>
    <w:rsid w:val="000C5016"/>
    <w:rsid w:val="000C5405"/>
    <w:rsid w:val="000C5643"/>
    <w:rsid w:val="000C5751"/>
    <w:rsid w:val="000C5B62"/>
    <w:rsid w:val="000C5ED4"/>
    <w:rsid w:val="000C601C"/>
    <w:rsid w:val="000C6D2C"/>
    <w:rsid w:val="000C712F"/>
    <w:rsid w:val="000C7208"/>
    <w:rsid w:val="000D0E2B"/>
    <w:rsid w:val="000D118A"/>
    <w:rsid w:val="000D1F4F"/>
    <w:rsid w:val="000D21F3"/>
    <w:rsid w:val="000D232A"/>
    <w:rsid w:val="000D248A"/>
    <w:rsid w:val="000D2CF8"/>
    <w:rsid w:val="000D3359"/>
    <w:rsid w:val="000D5302"/>
    <w:rsid w:val="000D55A1"/>
    <w:rsid w:val="000D572C"/>
    <w:rsid w:val="000D5DE9"/>
    <w:rsid w:val="000D6334"/>
    <w:rsid w:val="000D6770"/>
    <w:rsid w:val="000D67F1"/>
    <w:rsid w:val="000D69B4"/>
    <w:rsid w:val="000D7152"/>
    <w:rsid w:val="000D758E"/>
    <w:rsid w:val="000E0820"/>
    <w:rsid w:val="000E0A46"/>
    <w:rsid w:val="000E212C"/>
    <w:rsid w:val="000E2163"/>
    <w:rsid w:val="000E26BA"/>
    <w:rsid w:val="000E321F"/>
    <w:rsid w:val="000E3A1B"/>
    <w:rsid w:val="000E3DAB"/>
    <w:rsid w:val="000E3F49"/>
    <w:rsid w:val="000E4011"/>
    <w:rsid w:val="000E4C64"/>
    <w:rsid w:val="000E59FA"/>
    <w:rsid w:val="000E6B93"/>
    <w:rsid w:val="000E6F9A"/>
    <w:rsid w:val="000E74A6"/>
    <w:rsid w:val="000E76FA"/>
    <w:rsid w:val="000E7E1B"/>
    <w:rsid w:val="000F019F"/>
    <w:rsid w:val="000F0964"/>
    <w:rsid w:val="000F0E02"/>
    <w:rsid w:val="000F0EE9"/>
    <w:rsid w:val="000F10B0"/>
    <w:rsid w:val="000F25FE"/>
    <w:rsid w:val="000F296A"/>
    <w:rsid w:val="000F31A7"/>
    <w:rsid w:val="000F32E1"/>
    <w:rsid w:val="000F3BB8"/>
    <w:rsid w:val="000F4478"/>
    <w:rsid w:val="000F4B91"/>
    <w:rsid w:val="000F4C5C"/>
    <w:rsid w:val="000F57C8"/>
    <w:rsid w:val="000F6160"/>
    <w:rsid w:val="000F6876"/>
    <w:rsid w:val="000F6C0A"/>
    <w:rsid w:val="000F70CB"/>
    <w:rsid w:val="000F71AB"/>
    <w:rsid w:val="000F727A"/>
    <w:rsid w:val="000F78FB"/>
    <w:rsid w:val="0010061C"/>
    <w:rsid w:val="00100650"/>
    <w:rsid w:val="0010087A"/>
    <w:rsid w:val="00101333"/>
    <w:rsid w:val="00101640"/>
    <w:rsid w:val="001016D6"/>
    <w:rsid w:val="00101723"/>
    <w:rsid w:val="00101A9A"/>
    <w:rsid w:val="00101E81"/>
    <w:rsid w:val="00101E82"/>
    <w:rsid w:val="00101E98"/>
    <w:rsid w:val="00102422"/>
    <w:rsid w:val="0010291F"/>
    <w:rsid w:val="00102D89"/>
    <w:rsid w:val="001030E2"/>
    <w:rsid w:val="001032CE"/>
    <w:rsid w:val="0010363B"/>
    <w:rsid w:val="00103807"/>
    <w:rsid w:val="00103A73"/>
    <w:rsid w:val="00104591"/>
    <w:rsid w:val="00104923"/>
    <w:rsid w:val="001057AC"/>
    <w:rsid w:val="00105BF4"/>
    <w:rsid w:val="00105F8D"/>
    <w:rsid w:val="0010684B"/>
    <w:rsid w:val="001070AD"/>
    <w:rsid w:val="00107526"/>
    <w:rsid w:val="0010778F"/>
    <w:rsid w:val="00110209"/>
    <w:rsid w:val="001114B2"/>
    <w:rsid w:val="00111D57"/>
    <w:rsid w:val="00112416"/>
    <w:rsid w:val="001124F4"/>
    <w:rsid w:val="00113187"/>
    <w:rsid w:val="0011351B"/>
    <w:rsid w:val="00113A6E"/>
    <w:rsid w:val="00113FE1"/>
    <w:rsid w:val="001143A0"/>
    <w:rsid w:val="00114423"/>
    <w:rsid w:val="0011471C"/>
    <w:rsid w:val="0011491F"/>
    <w:rsid w:val="001149F0"/>
    <w:rsid w:val="00114E00"/>
    <w:rsid w:val="001150F6"/>
    <w:rsid w:val="00115623"/>
    <w:rsid w:val="0011562D"/>
    <w:rsid w:val="001157E8"/>
    <w:rsid w:val="00115BAD"/>
    <w:rsid w:val="00120874"/>
    <w:rsid w:val="00120A1C"/>
    <w:rsid w:val="00121B82"/>
    <w:rsid w:val="0012209D"/>
    <w:rsid w:val="00122755"/>
    <w:rsid w:val="00122A71"/>
    <w:rsid w:val="001237F3"/>
    <w:rsid w:val="00124215"/>
    <w:rsid w:val="0012485A"/>
    <w:rsid w:val="0012486F"/>
    <w:rsid w:val="00124AEF"/>
    <w:rsid w:val="00124B0D"/>
    <w:rsid w:val="001255DF"/>
    <w:rsid w:val="00125CD5"/>
    <w:rsid w:val="00125EE7"/>
    <w:rsid w:val="00126330"/>
    <w:rsid w:val="001278DD"/>
    <w:rsid w:val="001279CE"/>
    <w:rsid w:val="0013010F"/>
    <w:rsid w:val="001301E1"/>
    <w:rsid w:val="00130565"/>
    <w:rsid w:val="00130833"/>
    <w:rsid w:val="00130A92"/>
    <w:rsid w:val="00130C3E"/>
    <w:rsid w:val="00130FFD"/>
    <w:rsid w:val="00131C5B"/>
    <w:rsid w:val="001320C1"/>
    <w:rsid w:val="001320FB"/>
    <w:rsid w:val="001323A2"/>
    <w:rsid w:val="00132A5C"/>
    <w:rsid w:val="00132A81"/>
    <w:rsid w:val="00132F2B"/>
    <w:rsid w:val="0013345C"/>
    <w:rsid w:val="00133D80"/>
    <w:rsid w:val="0013409F"/>
    <w:rsid w:val="00134414"/>
    <w:rsid w:val="00134B66"/>
    <w:rsid w:val="001350EA"/>
    <w:rsid w:val="00135332"/>
    <w:rsid w:val="001353E0"/>
    <w:rsid w:val="001360C5"/>
    <w:rsid w:val="00136433"/>
    <w:rsid w:val="001367F3"/>
    <w:rsid w:val="00136F1A"/>
    <w:rsid w:val="0013758B"/>
    <w:rsid w:val="0013777B"/>
    <w:rsid w:val="00140191"/>
    <w:rsid w:val="00140562"/>
    <w:rsid w:val="001407D2"/>
    <w:rsid w:val="0014105E"/>
    <w:rsid w:val="001427A7"/>
    <w:rsid w:val="00142A68"/>
    <w:rsid w:val="00143C51"/>
    <w:rsid w:val="001440EF"/>
    <w:rsid w:val="0014448C"/>
    <w:rsid w:val="00145761"/>
    <w:rsid w:val="00145C48"/>
    <w:rsid w:val="00145C67"/>
    <w:rsid w:val="00146EAA"/>
    <w:rsid w:val="00147056"/>
    <w:rsid w:val="001472DA"/>
    <w:rsid w:val="001477AE"/>
    <w:rsid w:val="001503B0"/>
    <w:rsid w:val="00150DD5"/>
    <w:rsid w:val="00152104"/>
    <w:rsid w:val="0015239C"/>
    <w:rsid w:val="001526CB"/>
    <w:rsid w:val="00153E16"/>
    <w:rsid w:val="0015536C"/>
    <w:rsid w:val="00155E7A"/>
    <w:rsid w:val="001575A1"/>
    <w:rsid w:val="001577EF"/>
    <w:rsid w:val="00157D20"/>
    <w:rsid w:val="00160B0C"/>
    <w:rsid w:val="00160C23"/>
    <w:rsid w:val="00160E4A"/>
    <w:rsid w:val="00160EA2"/>
    <w:rsid w:val="00160ED7"/>
    <w:rsid w:val="00161058"/>
    <w:rsid w:val="00161555"/>
    <w:rsid w:val="001616DF"/>
    <w:rsid w:val="0016170D"/>
    <w:rsid w:val="00161F11"/>
    <w:rsid w:val="00162477"/>
    <w:rsid w:val="00162D64"/>
    <w:rsid w:val="00162FF3"/>
    <w:rsid w:val="00163114"/>
    <w:rsid w:val="001639F2"/>
    <w:rsid w:val="00163AF2"/>
    <w:rsid w:val="001642AD"/>
    <w:rsid w:val="00164F31"/>
    <w:rsid w:val="0016628A"/>
    <w:rsid w:val="00166987"/>
    <w:rsid w:val="00166F32"/>
    <w:rsid w:val="0016700D"/>
    <w:rsid w:val="001670EC"/>
    <w:rsid w:val="00167EEA"/>
    <w:rsid w:val="00170506"/>
    <w:rsid w:val="001709D2"/>
    <w:rsid w:val="00170DEC"/>
    <w:rsid w:val="00170FA9"/>
    <w:rsid w:val="00171E74"/>
    <w:rsid w:val="00171F92"/>
    <w:rsid w:val="0017210C"/>
    <w:rsid w:val="00172392"/>
    <w:rsid w:val="00172452"/>
    <w:rsid w:val="0017396D"/>
    <w:rsid w:val="001754F3"/>
    <w:rsid w:val="001757EE"/>
    <w:rsid w:val="00175951"/>
    <w:rsid w:val="001773C8"/>
    <w:rsid w:val="00177A39"/>
    <w:rsid w:val="00180A59"/>
    <w:rsid w:val="00180FA5"/>
    <w:rsid w:val="001825DE"/>
    <w:rsid w:val="00185B03"/>
    <w:rsid w:val="00185C5D"/>
    <w:rsid w:val="00185D9E"/>
    <w:rsid w:val="0018734B"/>
    <w:rsid w:val="0019023C"/>
    <w:rsid w:val="001910D9"/>
    <w:rsid w:val="001918C0"/>
    <w:rsid w:val="00191A2B"/>
    <w:rsid w:val="00191DFC"/>
    <w:rsid w:val="00191F13"/>
    <w:rsid w:val="00191F50"/>
    <w:rsid w:val="001920DE"/>
    <w:rsid w:val="0019250C"/>
    <w:rsid w:val="00192734"/>
    <w:rsid w:val="00193C8A"/>
    <w:rsid w:val="001943C6"/>
    <w:rsid w:val="00194713"/>
    <w:rsid w:val="0019563B"/>
    <w:rsid w:val="00195B46"/>
    <w:rsid w:val="001961FE"/>
    <w:rsid w:val="001974F7"/>
    <w:rsid w:val="00197AA3"/>
    <w:rsid w:val="00197C35"/>
    <w:rsid w:val="00197DCF"/>
    <w:rsid w:val="001A14A2"/>
    <w:rsid w:val="001A1DA6"/>
    <w:rsid w:val="001A406D"/>
    <w:rsid w:val="001A4463"/>
    <w:rsid w:val="001A4777"/>
    <w:rsid w:val="001A486D"/>
    <w:rsid w:val="001A6F99"/>
    <w:rsid w:val="001A7F3E"/>
    <w:rsid w:val="001B1712"/>
    <w:rsid w:val="001B301F"/>
    <w:rsid w:val="001B30C7"/>
    <w:rsid w:val="001B37FA"/>
    <w:rsid w:val="001B3D5C"/>
    <w:rsid w:val="001B4061"/>
    <w:rsid w:val="001B41A1"/>
    <w:rsid w:val="001B4280"/>
    <w:rsid w:val="001B47E5"/>
    <w:rsid w:val="001B4DA6"/>
    <w:rsid w:val="001B4F7F"/>
    <w:rsid w:val="001B5056"/>
    <w:rsid w:val="001B5364"/>
    <w:rsid w:val="001B57E0"/>
    <w:rsid w:val="001B5948"/>
    <w:rsid w:val="001B5AA2"/>
    <w:rsid w:val="001B5AFB"/>
    <w:rsid w:val="001B65B7"/>
    <w:rsid w:val="001B6A58"/>
    <w:rsid w:val="001B7DA3"/>
    <w:rsid w:val="001C09A3"/>
    <w:rsid w:val="001C0DB4"/>
    <w:rsid w:val="001C1142"/>
    <w:rsid w:val="001C210D"/>
    <w:rsid w:val="001C2DE2"/>
    <w:rsid w:val="001C301A"/>
    <w:rsid w:val="001C3698"/>
    <w:rsid w:val="001C3FDE"/>
    <w:rsid w:val="001C4092"/>
    <w:rsid w:val="001C4265"/>
    <w:rsid w:val="001C4BD2"/>
    <w:rsid w:val="001C4BF9"/>
    <w:rsid w:val="001C4CAD"/>
    <w:rsid w:val="001C4E8D"/>
    <w:rsid w:val="001C5C87"/>
    <w:rsid w:val="001C5E86"/>
    <w:rsid w:val="001C6111"/>
    <w:rsid w:val="001C6147"/>
    <w:rsid w:val="001C69C9"/>
    <w:rsid w:val="001C770A"/>
    <w:rsid w:val="001C77D9"/>
    <w:rsid w:val="001C7D6B"/>
    <w:rsid w:val="001D09CA"/>
    <w:rsid w:val="001D0A2C"/>
    <w:rsid w:val="001D0B26"/>
    <w:rsid w:val="001D0B49"/>
    <w:rsid w:val="001D1231"/>
    <w:rsid w:val="001D1540"/>
    <w:rsid w:val="001D2238"/>
    <w:rsid w:val="001D2543"/>
    <w:rsid w:val="001D285E"/>
    <w:rsid w:val="001D2B66"/>
    <w:rsid w:val="001D2BF1"/>
    <w:rsid w:val="001D3F4A"/>
    <w:rsid w:val="001D4271"/>
    <w:rsid w:val="001D49D0"/>
    <w:rsid w:val="001D4BA5"/>
    <w:rsid w:val="001D4C21"/>
    <w:rsid w:val="001D4ECA"/>
    <w:rsid w:val="001D5890"/>
    <w:rsid w:val="001D5A2D"/>
    <w:rsid w:val="001D6200"/>
    <w:rsid w:val="001D6594"/>
    <w:rsid w:val="001D6912"/>
    <w:rsid w:val="001D6A7F"/>
    <w:rsid w:val="001D6C32"/>
    <w:rsid w:val="001D73DE"/>
    <w:rsid w:val="001D753A"/>
    <w:rsid w:val="001D76F2"/>
    <w:rsid w:val="001D7D3A"/>
    <w:rsid w:val="001D7EED"/>
    <w:rsid w:val="001E0EFE"/>
    <w:rsid w:val="001E1337"/>
    <w:rsid w:val="001E23ED"/>
    <w:rsid w:val="001E300B"/>
    <w:rsid w:val="001E30A8"/>
    <w:rsid w:val="001E3923"/>
    <w:rsid w:val="001E4211"/>
    <w:rsid w:val="001E48B1"/>
    <w:rsid w:val="001E5071"/>
    <w:rsid w:val="001E518B"/>
    <w:rsid w:val="001E60AF"/>
    <w:rsid w:val="001E6470"/>
    <w:rsid w:val="001E7A8E"/>
    <w:rsid w:val="001E7FE2"/>
    <w:rsid w:val="001EA2A5"/>
    <w:rsid w:val="001F008C"/>
    <w:rsid w:val="001F0F79"/>
    <w:rsid w:val="001F1041"/>
    <w:rsid w:val="001F1F7D"/>
    <w:rsid w:val="001F21F0"/>
    <w:rsid w:val="001F2A01"/>
    <w:rsid w:val="001F2E21"/>
    <w:rsid w:val="001F31A0"/>
    <w:rsid w:val="001F38D5"/>
    <w:rsid w:val="001F3C84"/>
    <w:rsid w:val="001F46C1"/>
    <w:rsid w:val="001F49E4"/>
    <w:rsid w:val="001F4B2B"/>
    <w:rsid w:val="001F50C6"/>
    <w:rsid w:val="001F5CE7"/>
    <w:rsid w:val="001F5EB1"/>
    <w:rsid w:val="001F613B"/>
    <w:rsid w:val="001F68C7"/>
    <w:rsid w:val="001F6B38"/>
    <w:rsid w:val="001F7173"/>
    <w:rsid w:val="001F7425"/>
    <w:rsid w:val="001F750B"/>
    <w:rsid w:val="001F7AFD"/>
    <w:rsid w:val="001F7E69"/>
    <w:rsid w:val="001F7FCE"/>
    <w:rsid w:val="00200577"/>
    <w:rsid w:val="00201424"/>
    <w:rsid w:val="002015A6"/>
    <w:rsid w:val="002023E1"/>
    <w:rsid w:val="002025A6"/>
    <w:rsid w:val="00202BAE"/>
    <w:rsid w:val="002033C5"/>
    <w:rsid w:val="00203423"/>
    <w:rsid w:val="0020348E"/>
    <w:rsid w:val="00205605"/>
    <w:rsid w:val="00205ECF"/>
    <w:rsid w:val="002068F8"/>
    <w:rsid w:val="00206BF3"/>
    <w:rsid w:val="00206FF3"/>
    <w:rsid w:val="0020724C"/>
    <w:rsid w:val="002074D8"/>
    <w:rsid w:val="002105EA"/>
    <w:rsid w:val="00210E0A"/>
    <w:rsid w:val="00210F5F"/>
    <w:rsid w:val="00212F70"/>
    <w:rsid w:val="002137CF"/>
    <w:rsid w:val="0021486F"/>
    <w:rsid w:val="00214B72"/>
    <w:rsid w:val="00215317"/>
    <w:rsid w:val="00216A87"/>
    <w:rsid w:val="00217445"/>
    <w:rsid w:val="002178FD"/>
    <w:rsid w:val="0022090E"/>
    <w:rsid w:val="00220A07"/>
    <w:rsid w:val="00220E33"/>
    <w:rsid w:val="002211A2"/>
    <w:rsid w:val="00221AB2"/>
    <w:rsid w:val="00221F77"/>
    <w:rsid w:val="00221F9B"/>
    <w:rsid w:val="0022231E"/>
    <w:rsid w:val="002224E3"/>
    <w:rsid w:val="00222631"/>
    <w:rsid w:val="002227DE"/>
    <w:rsid w:val="0022338C"/>
    <w:rsid w:val="00223E34"/>
    <w:rsid w:val="00223F48"/>
    <w:rsid w:val="00224200"/>
    <w:rsid w:val="00224235"/>
    <w:rsid w:val="002250B4"/>
    <w:rsid w:val="00225BCC"/>
    <w:rsid w:val="0022694F"/>
    <w:rsid w:val="00226C1C"/>
    <w:rsid w:val="00226E04"/>
    <w:rsid w:val="00226F60"/>
    <w:rsid w:val="002270C3"/>
    <w:rsid w:val="00227260"/>
    <w:rsid w:val="00227FA2"/>
    <w:rsid w:val="00230369"/>
    <w:rsid w:val="00230396"/>
    <w:rsid w:val="0023069E"/>
    <w:rsid w:val="00231611"/>
    <w:rsid w:val="002322FA"/>
    <w:rsid w:val="00232450"/>
    <w:rsid w:val="0023268C"/>
    <w:rsid w:val="002333E4"/>
    <w:rsid w:val="00234677"/>
    <w:rsid w:val="0023519A"/>
    <w:rsid w:val="002352CA"/>
    <w:rsid w:val="00236209"/>
    <w:rsid w:val="00237C10"/>
    <w:rsid w:val="00240155"/>
    <w:rsid w:val="00240788"/>
    <w:rsid w:val="00240DE4"/>
    <w:rsid w:val="00241265"/>
    <w:rsid w:val="0024183B"/>
    <w:rsid w:val="00241934"/>
    <w:rsid w:val="002419E1"/>
    <w:rsid w:val="00242E3A"/>
    <w:rsid w:val="00243465"/>
    <w:rsid w:val="00244DA3"/>
    <w:rsid w:val="002451A7"/>
    <w:rsid w:val="002458C9"/>
    <w:rsid w:val="00247157"/>
    <w:rsid w:val="002471C7"/>
    <w:rsid w:val="00247429"/>
    <w:rsid w:val="00250CE3"/>
    <w:rsid w:val="002515B2"/>
    <w:rsid w:val="00251CF9"/>
    <w:rsid w:val="00251ECB"/>
    <w:rsid w:val="00252490"/>
    <w:rsid w:val="00252A4B"/>
    <w:rsid w:val="002539B7"/>
    <w:rsid w:val="002542BE"/>
    <w:rsid w:val="00254BEA"/>
    <w:rsid w:val="00254E2E"/>
    <w:rsid w:val="00255B3E"/>
    <w:rsid w:val="002565A2"/>
    <w:rsid w:val="00256AD4"/>
    <w:rsid w:val="00256CAC"/>
    <w:rsid w:val="00256DFC"/>
    <w:rsid w:val="00256E0C"/>
    <w:rsid w:val="00257987"/>
    <w:rsid w:val="0026007B"/>
    <w:rsid w:val="002602D9"/>
    <w:rsid w:val="00260A1C"/>
    <w:rsid w:val="002616A0"/>
    <w:rsid w:val="00261EB1"/>
    <w:rsid w:val="0026269F"/>
    <w:rsid w:val="002627D2"/>
    <w:rsid w:val="00262D3D"/>
    <w:rsid w:val="00262DA4"/>
    <w:rsid w:val="00263259"/>
    <w:rsid w:val="0026344F"/>
    <w:rsid w:val="002636D2"/>
    <w:rsid w:val="00265276"/>
    <w:rsid w:val="002656CB"/>
    <w:rsid w:val="00265C68"/>
    <w:rsid w:val="00265F37"/>
    <w:rsid w:val="002661AC"/>
    <w:rsid w:val="00267DC4"/>
    <w:rsid w:val="00271075"/>
    <w:rsid w:val="0027175F"/>
    <w:rsid w:val="002721D1"/>
    <w:rsid w:val="002724A6"/>
    <w:rsid w:val="00272A13"/>
    <w:rsid w:val="00272A2B"/>
    <w:rsid w:val="00272CD3"/>
    <w:rsid w:val="00273262"/>
    <w:rsid w:val="002737FC"/>
    <w:rsid w:val="00274C0D"/>
    <w:rsid w:val="00275B35"/>
    <w:rsid w:val="00276306"/>
    <w:rsid w:val="002765BA"/>
    <w:rsid w:val="002767CB"/>
    <w:rsid w:val="00277107"/>
    <w:rsid w:val="00277558"/>
    <w:rsid w:val="0027756E"/>
    <w:rsid w:val="0027772C"/>
    <w:rsid w:val="00277861"/>
    <w:rsid w:val="00277D91"/>
    <w:rsid w:val="00280393"/>
    <w:rsid w:val="00280395"/>
    <w:rsid w:val="002804A5"/>
    <w:rsid w:val="002806EF"/>
    <w:rsid w:val="00281092"/>
    <w:rsid w:val="0028211B"/>
    <w:rsid w:val="00282493"/>
    <w:rsid w:val="00282EF9"/>
    <w:rsid w:val="00283249"/>
    <w:rsid w:val="00283BDB"/>
    <w:rsid w:val="00284063"/>
    <w:rsid w:val="002840CD"/>
    <w:rsid w:val="00284D63"/>
    <w:rsid w:val="002859AA"/>
    <w:rsid w:val="00285EEC"/>
    <w:rsid w:val="0028629A"/>
    <w:rsid w:val="00286C2F"/>
    <w:rsid w:val="002870FD"/>
    <w:rsid w:val="0028752C"/>
    <w:rsid w:val="00287F91"/>
    <w:rsid w:val="002900B6"/>
    <w:rsid w:val="00290CA6"/>
    <w:rsid w:val="00290E8A"/>
    <w:rsid w:val="002912C5"/>
    <w:rsid w:val="00292481"/>
    <w:rsid w:val="00292900"/>
    <w:rsid w:val="00293795"/>
    <w:rsid w:val="00293DCF"/>
    <w:rsid w:val="00293F1E"/>
    <w:rsid w:val="00294D01"/>
    <w:rsid w:val="002963C9"/>
    <w:rsid w:val="00296966"/>
    <w:rsid w:val="00296C89"/>
    <w:rsid w:val="0029752C"/>
    <w:rsid w:val="00297F69"/>
    <w:rsid w:val="002A0202"/>
    <w:rsid w:val="002A0B19"/>
    <w:rsid w:val="002A0D4D"/>
    <w:rsid w:val="002A108F"/>
    <w:rsid w:val="002A1689"/>
    <w:rsid w:val="002A3508"/>
    <w:rsid w:val="002A45A0"/>
    <w:rsid w:val="002A45D9"/>
    <w:rsid w:val="002A4716"/>
    <w:rsid w:val="002A4E23"/>
    <w:rsid w:val="002A57BF"/>
    <w:rsid w:val="002A5D6B"/>
    <w:rsid w:val="002A6078"/>
    <w:rsid w:val="002A7171"/>
    <w:rsid w:val="002A723B"/>
    <w:rsid w:val="002A735C"/>
    <w:rsid w:val="002A7459"/>
    <w:rsid w:val="002A7ECE"/>
    <w:rsid w:val="002A7F2F"/>
    <w:rsid w:val="002B0CEE"/>
    <w:rsid w:val="002B1B14"/>
    <w:rsid w:val="002B22C0"/>
    <w:rsid w:val="002B2A1C"/>
    <w:rsid w:val="002B2E3E"/>
    <w:rsid w:val="002B3930"/>
    <w:rsid w:val="002B401B"/>
    <w:rsid w:val="002B4570"/>
    <w:rsid w:val="002B4EDC"/>
    <w:rsid w:val="002B58D1"/>
    <w:rsid w:val="002B698C"/>
    <w:rsid w:val="002B74C7"/>
    <w:rsid w:val="002C03D8"/>
    <w:rsid w:val="002C079F"/>
    <w:rsid w:val="002C0EE3"/>
    <w:rsid w:val="002C1597"/>
    <w:rsid w:val="002C16AE"/>
    <w:rsid w:val="002C1AA7"/>
    <w:rsid w:val="002C1ACD"/>
    <w:rsid w:val="002C1AD8"/>
    <w:rsid w:val="002C1B68"/>
    <w:rsid w:val="002C359F"/>
    <w:rsid w:val="002C4202"/>
    <w:rsid w:val="002C474B"/>
    <w:rsid w:val="002C4B39"/>
    <w:rsid w:val="002C4BB8"/>
    <w:rsid w:val="002C53B5"/>
    <w:rsid w:val="002C54CF"/>
    <w:rsid w:val="002C6E7C"/>
    <w:rsid w:val="002C6EEC"/>
    <w:rsid w:val="002C74E0"/>
    <w:rsid w:val="002C7811"/>
    <w:rsid w:val="002C79C9"/>
    <w:rsid w:val="002C7A37"/>
    <w:rsid w:val="002C7B8A"/>
    <w:rsid w:val="002C7D9F"/>
    <w:rsid w:val="002D0889"/>
    <w:rsid w:val="002D1F54"/>
    <w:rsid w:val="002D230B"/>
    <w:rsid w:val="002D238F"/>
    <w:rsid w:val="002D319B"/>
    <w:rsid w:val="002D3623"/>
    <w:rsid w:val="002D38EE"/>
    <w:rsid w:val="002D4AB9"/>
    <w:rsid w:val="002D5359"/>
    <w:rsid w:val="002D5E56"/>
    <w:rsid w:val="002D5F35"/>
    <w:rsid w:val="002D65BC"/>
    <w:rsid w:val="002D6B72"/>
    <w:rsid w:val="002D72B4"/>
    <w:rsid w:val="002D7456"/>
    <w:rsid w:val="002D783B"/>
    <w:rsid w:val="002D7875"/>
    <w:rsid w:val="002E07BC"/>
    <w:rsid w:val="002E0C72"/>
    <w:rsid w:val="002E0DA4"/>
    <w:rsid w:val="002E1A23"/>
    <w:rsid w:val="002E2125"/>
    <w:rsid w:val="002E2463"/>
    <w:rsid w:val="002E27C7"/>
    <w:rsid w:val="002E29DD"/>
    <w:rsid w:val="002E308B"/>
    <w:rsid w:val="002E38E4"/>
    <w:rsid w:val="002E3AD8"/>
    <w:rsid w:val="002E40DC"/>
    <w:rsid w:val="002E4195"/>
    <w:rsid w:val="002E4ACC"/>
    <w:rsid w:val="002E4BA9"/>
    <w:rsid w:val="002E4FEE"/>
    <w:rsid w:val="002E52B2"/>
    <w:rsid w:val="002E52D1"/>
    <w:rsid w:val="002E569A"/>
    <w:rsid w:val="002E5D0E"/>
    <w:rsid w:val="002E71F8"/>
    <w:rsid w:val="002E7552"/>
    <w:rsid w:val="002E791B"/>
    <w:rsid w:val="002F011E"/>
    <w:rsid w:val="002F0512"/>
    <w:rsid w:val="002F05A1"/>
    <w:rsid w:val="002F0968"/>
    <w:rsid w:val="002F1ADB"/>
    <w:rsid w:val="002F1BC3"/>
    <w:rsid w:val="002F1E77"/>
    <w:rsid w:val="002F2934"/>
    <w:rsid w:val="002F2C62"/>
    <w:rsid w:val="002F2EE2"/>
    <w:rsid w:val="002F3A37"/>
    <w:rsid w:val="002F3E98"/>
    <w:rsid w:val="002F417F"/>
    <w:rsid w:val="002F477B"/>
    <w:rsid w:val="002F4FF8"/>
    <w:rsid w:val="002F5093"/>
    <w:rsid w:val="002F50B6"/>
    <w:rsid w:val="002F5671"/>
    <w:rsid w:val="002F6B18"/>
    <w:rsid w:val="002F6F52"/>
    <w:rsid w:val="002F6F68"/>
    <w:rsid w:val="002F768B"/>
    <w:rsid w:val="002F7A33"/>
    <w:rsid w:val="002F7B19"/>
    <w:rsid w:val="002F7FD9"/>
    <w:rsid w:val="00300013"/>
    <w:rsid w:val="00300797"/>
    <w:rsid w:val="00300932"/>
    <w:rsid w:val="00300C03"/>
    <w:rsid w:val="0030212C"/>
    <w:rsid w:val="003029CB"/>
    <w:rsid w:val="00303BA6"/>
    <w:rsid w:val="00303C9B"/>
    <w:rsid w:val="00304217"/>
    <w:rsid w:val="00304427"/>
    <w:rsid w:val="00304754"/>
    <w:rsid w:val="003074CB"/>
    <w:rsid w:val="00307930"/>
    <w:rsid w:val="00307FF7"/>
    <w:rsid w:val="0031018F"/>
    <w:rsid w:val="0031087D"/>
    <w:rsid w:val="0031106E"/>
    <w:rsid w:val="003111FD"/>
    <w:rsid w:val="00312265"/>
    <w:rsid w:val="00312874"/>
    <w:rsid w:val="003133B9"/>
    <w:rsid w:val="00313E21"/>
    <w:rsid w:val="00314376"/>
    <w:rsid w:val="003147D2"/>
    <w:rsid w:val="00314AB1"/>
    <w:rsid w:val="003150BE"/>
    <w:rsid w:val="003153A6"/>
    <w:rsid w:val="00315B06"/>
    <w:rsid w:val="003160EF"/>
    <w:rsid w:val="0031644C"/>
    <w:rsid w:val="003164E2"/>
    <w:rsid w:val="00316960"/>
    <w:rsid w:val="003172A2"/>
    <w:rsid w:val="003175BD"/>
    <w:rsid w:val="00317A37"/>
    <w:rsid w:val="00317B90"/>
    <w:rsid w:val="003202F7"/>
    <w:rsid w:val="003219B6"/>
    <w:rsid w:val="00321D6F"/>
    <w:rsid w:val="00321DE6"/>
    <w:rsid w:val="00321E9B"/>
    <w:rsid w:val="00321EB2"/>
    <w:rsid w:val="00322331"/>
    <w:rsid w:val="00322A46"/>
    <w:rsid w:val="00324302"/>
    <w:rsid w:val="0032436B"/>
    <w:rsid w:val="00324542"/>
    <w:rsid w:val="003254FF"/>
    <w:rsid w:val="0032584A"/>
    <w:rsid w:val="003259F2"/>
    <w:rsid w:val="00326A58"/>
    <w:rsid w:val="00327588"/>
    <w:rsid w:val="00327650"/>
    <w:rsid w:val="00327CD3"/>
    <w:rsid w:val="00330E5A"/>
    <w:rsid w:val="00330E5F"/>
    <w:rsid w:val="0033129C"/>
    <w:rsid w:val="00331726"/>
    <w:rsid w:val="003318DE"/>
    <w:rsid w:val="00332AB0"/>
    <w:rsid w:val="00333AED"/>
    <w:rsid w:val="0033416C"/>
    <w:rsid w:val="00334496"/>
    <w:rsid w:val="00334DA9"/>
    <w:rsid w:val="0033603F"/>
    <w:rsid w:val="00336084"/>
    <w:rsid w:val="00341119"/>
    <w:rsid w:val="003414C6"/>
    <w:rsid w:val="0034170D"/>
    <w:rsid w:val="00342407"/>
    <w:rsid w:val="00342F25"/>
    <w:rsid w:val="003439D4"/>
    <w:rsid w:val="00343F80"/>
    <w:rsid w:val="00343F8C"/>
    <w:rsid w:val="00344B28"/>
    <w:rsid w:val="0034585F"/>
    <w:rsid w:val="00345C42"/>
    <w:rsid w:val="00346099"/>
    <w:rsid w:val="0034740B"/>
    <w:rsid w:val="003478D0"/>
    <w:rsid w:val="00347E63"/>
    <w:rsid w:val="00347FB8"/>
    <w:rsid w:val="003504A1"/>
    <w:rsid w:val="0035164D"/>
    <w:rsid w:val="00351E35"/>
    <w:rsid w:val="003524BA"/>
    <w:rsid w:val="0035276C"/>
    <w:rsid w:val="00353484"/>
    <w:rsid w:val="003538D0"/>
    <w:rsid w:val="00353A6D"/>
    <w:rsid w:val="00353A78"/>
    <w:rsid w:val="0035428D"/>
    <w:rsid w:val="003547BF"/>
    <w:rsid w:val="003564CF"/>
    <w:rsid w:val="00356EED"/>
    <w:rsid w:val="00357530"/>
    <w:rsid w:val="0035772C"/>
    <w:rsid w:val="00360511"/>
    <w:rsid w:val="0036087E"/>
    <w:rsid w:val="00360A7A"/>
    <w:rsid w:val="00360E7F"/>
    <w:rsid w:val="00360EC6"/>
    <w:rsid w:val="003635E7"/>
    <w:rsid w:val="00364DD4"/>
    <w:rsid w:val="0036502B"/>
    <w:rsid w:val="003658C1"/>
    <w:rsid w:val="00366423"/>
    <w:rsid w:val="00367344"/>
    <w:rsid w:val="00367619"/>
    <w:rsid w:val="00367EE2"/>
    <w:rsid w:val="00370544"/>
    <w:rsid w:val="00370A54"/>
    <w:rsid w:val="00371152"/>
    <w:rsid w:val="003715DC"/>
    <w:rsid w:val="003717D2"/>
    <w:rsid w:val="00371937"/>
    <w:rsid w:val="00371DFB"/>
    <w:rsid w:val="00371E29"/>
    <w:rsid w:val="00372B0A"/>
    <w:rsid w:val="0037358D"/>
    <w:rsid w:val="00373602"/>
    <w:rsid w:val="00373743"/>
    <w:rsid w:val="00373D38"/>
    <w:rsid w:val="0037473D"/>
    <w:rsid w:val="00374855"/>
    <w:rsid w:val="0037534B"/>
    <w:rsid w:val="00376B82"/>
    <w:rsid w:val="00376FC4"/>
    <w:rsid w:val="003770D0"/>
    <w:rsid w:val="003801A5"/>
    <w:rsid w:val="003801D8"/>
    <w:rsid w:val="003807CF"/>
    <w:rsid w:val="0038110B"/>
    <w:rsid w:val="0038244A"/>
    <w:rsid w:val="00382567"/>
    <w:rsid w:val="00382E9D"/>
    <w:rsid w:val="0038317C"/>
    <w:rsid w:val="00383296"/>
    <w:rsid w:val="00383D34"/>
    <w:rsid w:val="00384964"/>
    <w:rsid w:val="0038649E"/>
    <w:rsid w:val="00386A1D"/>
    <w:rsid w:val="00386AD8"/>
    <w:rsid w:val="00390046"/>
    <w:rsid w:val="00390C9E"/>
    <w:rsid w:val="0039119B"/>
    <w:rsid w:val="003914E5"/>
    <w:rsid w:val="00391672"/>
    <w:rsid w:val="00392595"/>
    <w:rsid w:val="00392B2C"/>
    <w:rsid w:val="00392EC5"/>
    <w:rsid w:val="0039374F"/>
    <w:rsid w:val="0039390D"/>
    <w:rsid w:val="003940F1"/>
    <w:rsid w:val="003944E6"/>
    <w:rsid w:val="00395C45"/>
    <w:rsid w:val="00395CB8"/>
    <w:rsid w:val="00395F19"/>
    <w:rsid w:val="003960C6"/>
    <w:rsid w:val="0039684F"/>
    <w:rsid w:val="003972A5"/>
    <w:rsid w:val="0039751F"/>
    <w:rsid w:val="003A0D8A"/>
    <w:rsid w:val="003A1AD2"/>
    <w:rsid w:val="003A2267"/>
    <w:rsid w:val="003A2B40"/>
    <w:rsid w:val="003A2D71"/>
    <w:rsid w:val="003A3F94"/>
    <w:rsid w:val="003A5658"/>
    <w:rsid w:val="003A5C99"/>
    <w:rsid w:val="003A5D23"/>
    <w:rsid w:val="003A5E79"/>
    <w:rsid w:val="003A6227"/>
    <w:rsid w:val="003A677E"/>
    <w:rsid w:val="003A6AA0"/>
    <w:rsid w:val="003A6C96"/>
    <w:rsid w:val="003A6DB7"/>
    <w:rsid w:val="003A6F00"/>
    <w:rsid w:val="003A70B3"/>
    <w:rsid w:val="003A721B"/>
    <w:rsid w:val="003A7487"/>
    <w:rsid w:val="003B04C2"/>
    <w:rsid w:val="003B10B8"/>
    <w:rsid w:val="003B14B8"/>
    <w:rsid w:val="003B1558"/>
    <w:rsid w:val="003B1890"/>
    <w:rsid w:val="003B2536"/>
    <w:rsid w:val="003B2FD3"/>
    <w:rsid w:val="003B350E"/>
    <w:rsid w:val="003B40E7"/>
    <w:rsid w:val="003B4B66"/>
    <w:rsid w:val="003B5750"/>
    <w:rsid w:val="003B5C4E"/>
    <w:rsid w:val="003B6369"/>
    <w:rsid w:val="003B6917"/>
    <w:rsid w:val="003B6D71"/>
    <w:rsid w:val="003C01BC"/>
    <w:rsid w:val="003C0833"/>
    <w:rsid w:val="003C0DE2"/>
    <w:rsid w:val="003C2ED5"/>
    <w:rsid w:val="003C2F73"/>
    <w:rsid w:val="003C3278"/>
    <w:rsid w:val="003C363E"/>
    <w:rsid w:val="003C436D"/>
    <w:rsid w:val="003C598E"/>
    <w:rsid w:val="003C6240"/>
    <w:rsid w:val="003C6F00"/>
    <w:rsid w:val="003D00CB"/>
    <w:rsid w:val="003D02AB"/>
    <w:rsid w:val="003D02E5"/>
    <w:rsid w:val="003D06FD"/>
    <w:rsid w:val="003D0D1A"/>
    <w:rsid w:val="003D0E8D"/>
    <w:rsid w:val="003D1141"/>
    <w:rsid w:val="003D1653"/>
    <w:rsid w:val="003D176E"/>
    <w:rsid w:val="003D18BC"/>
    <w:rsid w:val="003D247E"/>
    <w:rsid w:val="003D28C7"/>
    <w:rsid w:val="003D32A9"/>
    <w:rsid w:val="003D39BF"/>
    <w:rsid w:val="003D3DCB"/>
    <w:rsid w:val="003D4083"/>
    <w:rsid w:val="003D45A5"/>
    <w:rsid w:val="003D4F8D"/>
    <w:rsid w:val="003D50FF"/>
    <w:rsid w:val="003D7DC7"/>
    <w:rsid w:val="003E112E"/>
    <w:rsid w:val="003E15DC"/>
    <w:rsid w:val="003E16CD"/>
    <w:rsid w:val="003E218B"/>
    <w:rsid w:val="003E21AC"/>
    <w:rsid w:val="003E2D8A"/>
    <w:rsid w:val="003E33B3"/>
    <w:rsid w:val="003E3C35"/>
    <w:rsid w:val="003E3D09"/>
    <w:rsid w:val="003E40C5"/>
    <w:rsid w:val="003E481A"/>
    <w:rsid w:val="003E498E"/>
    <w:rsid w:val="003E4B71"/>
    <w:rsid w:val="003E54E9"/>
    <w:rsid w:val="003E5F98"/>
    <w:rsid w:val="003E64DA"/>
    <w:rsid w:val="003E6911"/>
    <w:rsid w:val="003E69A7"/>
    <w:rsid w:val="003E6BF7"/>
    <w:rsid w:val="003E6E8E"/>
    <w:rsid w:val="003E7F71"/>
    <w:rsid w:val="003F0803"/>
    <w:rsid w:val="003F0AC9"/>
    <w:rsid w:val="003F1DD1"/>
    <w:rsid w:val="003F1F12"/>
    <w:rsid w:val="003F2251"/>
    <w:rsid w:val="003F25DA"/>
    <w:rsid w:val="003F2916"/>
    <w:rsid w:val="003F2A86"/>
    <w:rsid w:val="003F30B1"/>
    <w:rsid w:val="003F35C1"/>
    <w:rsid w:val="003F373C"/>
    <w:rsid w:val="003F3C53"/>
    <w:rsid w:val="003F4F87"/>
    <w:rsid w:val="003F5920"/>
    <w:rsid w:val="003F5A89"/>
    <w:rsid w:val="003F5D89"/>
    <w:rsid w:val="003F612D"/>
    <w:rsid w:val="003F644C"/>
    <w:rsid w:val="003F64CE"/>
    <w:rsid w:val="003F6538"/>
    <w:rsid w:val="003F6C91"/>
    <w:rsid w:val="003F718B"/>
    <w:rsid w:val="003F7478"/>
    <w:rsid w:val="003F7555"/>
    <w:rsid w:val="003F7657"/>
    <w:rsid w:val="003F787F"/>
    <w:rsid w:val="003F7C4B"/>
    <w:rsid w:val="003F7FA7"/>
    <w:rsid w:val="00400CBE"/>
    <w:rsid w:val="004012BB"/>
    <w:rsid w:val="0040157A"/>
    <w:rsid w:val="0040189D"/>
    <w:rsid w:val="00402391"/>
    <w:rsid w:val="004029E6"/>
    <w:rsid w:val="00402CFD"/>
    <w:rsid w:val="004039D7"/>
    <w:rsid w:val="00403AF9"/>
    <w:rsid w:val="0040435A"/>
    <w:rsid w:val="004044FA"/>
    <w:rsid w:val="00404EBC"/>
    <w:rsid w:val="00405C08"/>
    <w:rsid w:val="00405E55"/>
    <w:rsid w:val="004062F8"/>
    <w:rsid w:val="00406602"/>
    <w:rsid w:val="004066A3"/>
    <w:rsid w:val="004074B9"/>
    <w:rsid w:val="004076DA"/>
    <w:rsid w:val="00407D75"/>
    <w:rsid w:val="00407F57"/>
    <w:rsid w:val="00410150"/>
    <w:rsid w:val="00410267"/>
    <w:rsid w:val="00410598"/>
    <w:rsid w:val="004107AE"/>
    <w:rsid w:val="004109E5"/>
    <w:rsid w:val="00410C02"/>
    <w:rsid w:val="00410DBD"/>
    <w:rsid w:val="00412810"/>
    <w:rsid w:val="00412C21"/>
    <w:rsid w:val="00412F94"/>
    <w:rsid w:val="0041300F"/>
    <w:rsid w:val="00413C37"/>
    <w:rsid w:val="00414005"/>
    <w:rsid w:val="004148C1"/>
    <w:rsid w:val="00414A53"/>
    <w:rsid w:val="00415013"/>
    <w:rsid w:val="0041502B"/>
    <w:rsid w:val="00415190"/>
    <w:rsid w:val="004202DD"/>
    <w:rsid w:val="00420369"/>
    <w:rsid w:val="004209A8"/>
    <w:rsid w:val="00420A0A"/>
    <w:rsid w:val="0042123D"/>
    <w:rsid w:val="00421308"/>
    <w:rsid w:val="00422802"/>
    <w:rsid w:val="00423066"/>
    <w:rsid w:val="0042364D"/>
    <w:rsid w:val="00423AAF"/>
    <w:rsid w:val="004249EF"/>
    <w:rsid w:val="00425160"/>
    <w:rsid w:val="00425989"/>
    <w:rsid w:val="00425BA6"/>
    <w:rsid w:val="00426554"/>
    <w:rsid w:val="00427BBD"/>
    <w:rsid w:val="004307A1"/>
    <w:rsid w:val="00430C42"/>
    <w:rsid w:val="00430E82"/>
    <w:rsid w:val="004322BA"/>
    <w:rsid w:val="00432571"/>
    <w:rsid w:val="00433E14"/>
    <w:rsid w:val="00434C43"/>
    <w:rsid w:val="004354BF"/>
    <w:rsid w:val="00435A26"/>
    <w:rsid w:val="00435FBD"/>
    <w:rsid w:val="00436668"/>
    <w:rsid w:val="0043667A"/>
    <w:rsid w:val="00437332"/>
    <w:rsid w:val="00437F0A"/>
    <w:rsid w:val="004400D5"/>
    <w:rsid w:val="00440455"/>
    <w:rsid w:val="00441175"/>
    <w:rsid w:val="004424CB"/>
    <w:rsid w:val="004427F4"/>
    <w:rsid w:val="00442877"/>
    <w:rsid w:val="00443178"/>
    <w:rsid w:val="00443AB4"/>
    <w:rsid w:val="00444132"/>
    <w:rsid w:val="00444288"/>
    <w:rsid w:val="00444AD6"/>
    <w:rsid w:val="00444BE5"/>
    <w:rsid w:val="00444F32"/>
    <w:rsid w:val="0044600C"/>
    <w:rsid w:val="0044661B"/>
    <w:rsid w:val="00446B34"/>
    <w:rsid w:val="00446B6F"/>
    <w:rsid w:val="00446CFA"/>
    <w:rsid w:val="00446E34"/>
    <w:rsid w:val="00446E48"/>
    <w:rsid w:val="00447073"/>
    <w:rsid w:val="0044729D"/>
    <w:rsid w:val="0044766E"/>
    <w:rsid w:val="00450303"/>
    <w:rsid w:val="004509DE"/>
    <w:rsid w:val="00451663"/>
    <w:rsid w:val="00451723"/>
    <w:rsid w:val="004521C7"/>
    <w:rsid w:val="00452469"/>
    <w:rsid w:val="00452847"/>
    <w:rsid w:val="00453186"/>
    <w:rsid w:val="004532ED"/>
    <w:rsid w:val="00453332"/>
    <w:rsid w:val="00453A15"/>
    <w:rsid w:val="004545C1"/>
    <w:rsid w:val="004552DA"/>
    <w:rsid w:val="004558B3"/>
    <w:rsid w:val="00455A4F"/>
    <w:rsid w:val="0045617E"/>
    <w:rsid w:val="00460561"/>
    <w:rsid w:val="00460578"/>
    <w:rsid w:val="004606B9"/>
    <w:rsid w:val="00461252"/>
    <w:rsid w:val="0046154C"/>
    <w:rsid w:val="00461EF7"/>
    <w:rsid w:val="00462D84"/>
    <w:rsid w:val="00463778"/>
    <w:rsid w:val="004649BE"/>
    <w:rsid w:val="0046624C"/>
    <w:rsid w:val="0046624D"/>
    <w:rsid w:val="00466F9B"/>
    <w:rsid w:val="00467346"/>
    <w:rsid w:val="004675BD"/>
    <w:rsid w:val="004677D1"/>
    <w:rsid w:val="00470391"/>
    <w:rsid w:val="00470F41"/>
    <w:rsid w:val="00471260"/>
    <w:rsid w:val="00471426"/>
    <w:rsid w:val="00471474"/>
    <w:rsid w:val="0047152B"/>
    <w:rsid w:val="00471CB0"/>
    <w:rsid w:val="0047280B"/>
    <w:rsid w:val="004731CE"/>
    <w:rsid w:val="00475468"/>
    <w:rsid w:val="00475810"/>
    <w:rsid w:val="004762F1"/>
    <w:rsid w:val="00476B54"/>
    <w:rsid w:val="00476BC9"/>
    <w:rsid w:val="004771B8"/>
    <w:rsid w:val="004778CC"/>
    <w:rsid w:val="004779E2"/>
    <w:rsid w:val="004800B9"/>
    <w:rsid w:val="00480891"/>
    <w:rsid w:val="00481362"/>
    <w:rsid w:val="004817C6"/>
    <w:rsid w:val="0048231D"/>
    <w:rsid w:val="0048379A"/>
    <w:rsid w:val="00483A7E"/>
    <w:rsid w:val="00484D09"/>
    <w:rsid w:val="00485119"/>
    <w:rsid w:val="00485137"/>
    <w:rsid w:val="00485577"/>
    <w:rsid w:val="004856FD"/>
    <w:rsid w:val="00486195"/>
    <w:rsid w:val="00486602"/>
    <w:rsid w:val="00486A9C"/>
    <w:rsid w:val="00487B0F"/>
    <w:rsid w:val="00490435"/>
    <w:rsid w:val="0049070D"/>
    <w:rsid w:val="004927B4"/>
    <w:rsid w:val="0049288C"/>
    <w:rsid w:val="004931FF"/>
    <w:rsid w:val="004934A9"/>
    <w:rsid w:val="00493C8D"/>
    <w:rsid w:val="00493D07"/>
    <w:rsid w:val="00493D0B"/>
    <w:rsid w:val="00494431"/>
    <w:rsid w:val="004944EB"/>
    <w:rsid w:val="00494827"/>
    <w:rsid w:val="004952D5"/>
    <w:rsid w:val="00495DDD"/>
    <w:rsid w:val="00495FD5"/>
    <w:rsid w:val="00496A10"/>
    <w:rsid w:val="00496BA2"/>
    <w:rsid w:val="00496E03"/>
    <w:rsid w:val="00497C33"/>
    <w:rsid w:val="004A00E3"/>
    <w:rsid w:val="004A0CD5"/>
    <w:rsid w:val="004A0EEE"/>
    <w:rsid w:val="004A12DD"/>
    <w:rsid w:val="004A1364"/>
    <w:rsid w:val="004A2113"/>
    <w:rsid w:val="004A263C"/>
    <w:rsid w:val="004A29AD"/>
    <w:rsid w:val="004A2B8D"/>
    <w:rsid w:val="004A2FDD"/>
    <w:rsid w:val="004A3302"/>
    <w:rsid w:val="004A36A2"/>
    <w:rsid w:val="004A3B80"/>
    <w:rsid w:val="004A4A76"/>
    <w:rsid w:val="004A61BA"/>
    <w:rsid w:val="004A6581"/>
    <w:rsid w:val="004A660C"/>
    <w:rsid w:val="004A677A"/>
    <w:rsid w:val="004A7073"/>
    <w:rsid w:val="004A757B"/>
    <w:rsid w:val="004A7A0A"/>
    <w:rsid w:val="004B0D14"/>
    <w:rsid w:val="004B13C0"/>
    <w:rsid w:val="004B1D7B"/>
    <w:rsid w:val="004B1FA1"/>
    <w:rsid w:val="004B2E1D"/>
    <w:rsid w:val="004B362A"/>
    <w:rsid w:val="004B420E"/>
    <w:rsid w:val="004B53D7"/>
    <w:rsid w:val="004B5CC2"/>
    <w:rsid w:val="004B6CF1"/>
    <w:rsid w:val="004B717D"/>
    <w:rsid w:val="004B768B"/>
    <w:rsid w:val="004B7981"/>
    <w:rsid w:val="004C0494"/>
    <w:rsid w:val="004C09B1"/>
    <w:rsid w:val="004C0FAD"/>
    <w:rsid w:val="004C1CF9"/>
    <w:rsid w:val="004C1F08"/>
    <w:rsid w:val="004C2475"/>
    <w:rsid w:val="004C270D"/>
    <w:rsid w:val="004C2B66"/>
    <w:rsid w:val="004C31E4"/>
    <w:rsid w:val="004C3B58"/>
    <w:rsid w:val="004C52EE"/>
    <w:rsid w:val="004C6507"/>
    <w:rsid w:val="004C671D"/>
    <w:rsid w:val="004C74A9"/>
    <w:rsid w:val="004C798D"/>
    <w:rsid w:val="004D0078"/>
    <w:rsid w:val="004D0382"/>
    <w:rsid w:val="004D0690"/>
    <w:rsid w:val="004D142D"/>
    <w:rsid w:val="004D1D42"/>
    <w:rsid w:val="004D2638"/>
    <w:rsid w:val="004D2846"/>
    <w:rsid w:val="004D37C1"/>
    <w:rsid w:val="004D4506"/>
    <w:rsid w:val="004D4918"/>
    <w:rsid w:val="004D4D63"/>
    <w:rsid w:val="004D52F0"/>
    <w:rsid w:val="004D6CFC"/>
    <w:rsid w:val="004D7020"/>
    <w:rsid w:val="004D7C8A"/>
    <w:rsid w:val="004E03C9"/>
    <w:rsid w:val="004E07BA"/>
    <w:rsid w:val="004E0CBD"/>
    <w:rsid w:val="004E1080"/>
    <w:rsid w:val="004E1405"/>
    <w:rsid w:val="004E25BF"/>
    <w:rsid w:val="004E29AE"/>
    <w:rsid w:val="004E37BB"/>
    <w:rsid w:val="004E39BF"/>
    <w:rsid w:val="004E3A64"/>
    <w:rsid w:val="004E3CED"/>
    <w:rsid w:val="004E454D"/>
    <w:rsid w:val="004E46BC"/>
    <w:rsid w:val="004E4838"/>
    <w:rsid w:val="004E4A3C"/>
    <w:rsid w:val="004E4BC9"/>
    <w:rsid w:val="004E4C8C"/>
    <w:rsid w:val="004E55FF"/>
    <w:rsid w:val="004E5B55"/>
    <w:rsid w:val="004E7144"/>
    <w:rsid w:val="004E78A9"/>
    <w:rsid w:val="004F02F8"/>
    <w:rsid w:val="004F07BE"/>
    <w:rsid w:val="004F080F"/>
    <w:rsid w:val="004F0FF6"/>
    <w:rsid w:val="004F1038"/>
    <w:rsid w:val="004F11C9"/>
    <w:rsid w:val="004F12B1"/>
    <w:rsid w:val="004F137B"/>
    <w:rsid w:val="004F1CE6"/>
    <w:rsid w:val="004F1D1E"/>
    <w:rsid w:val="004F230B"/>
    <w:rsid w:val="004F332D"/>
    <w:rsid w:val="004F4FE8"/>
    <w:rsid w:val="004F642B"/>
    <w:rsid w:val="004F7D7D"/>
    <w:rsid w:val="00500A52"/>
    <w:rsid w:val="005010B2"/>
    <w:rsid w:val="00501367"/>
    <w:rsid w:val="00501662"/>
    <w:rsid w:val="0050182B"/>
    <w:rsid w:val="00501F4D"/>
    <w:rsid w:val="00501FA9"/>
    <w:rsid w:val="00502800"/>
    <w:rsid w:val="00502E2E"/>
    <w:rsid w:val="00502FA9"/>
    <w:rsid w:val="005032F4"/>
    <w:rsid w:val="00503551"/>
    <w:rsid w:val="0050380B"/>
    <w:rsid w:val="00503BF1"/>
    <w:rsid w:val="005040B9"/>
    <w:rsid w:val="005053EC"/>
    <w:rsid w:val="00505F16"/>
    <w:rsid w:val="005063B2"/>
    <w:rsid w:val="005066AB"/>
    <w:rsid w:val="005066BE"/>
    <w:rsid w:val="00506A4F"/>
    <w:rsid w:val="00506BE3"/>
    <w:rsid w:val="00506D1B"/>
    <w:rsid w:val="005070BD"/>
    <w:rsid w:val="005075FE"/>
    <w:rsid w:val="005105A5"/>
    <w:rsid w:val="00510703"/>
    <w:rsid w:val="005112D0"/>
    <w:rsid w:val="005115CC"/>
    <w:rsid w:val="00512434"/>
    <w:rsid w:val="00512AAB"/>
    <w:rsid w:val="00512DDB"/>
    <w:rsid w:val="00512F7A"/>
    <w:rsid w:val="0051316B"/>
    <w:rsid w:val="00514326"/>
    <w:rsid w:val="00514392"/>
    <w:rsid w:val="00514AD6"/>
    <w:rsid w:val="00514C6D"/>
    <w:rsid w:val="00515F56"/>
    <w:rsid w:val="00517083"/>
    <w:rsid w:val="0051712B"/>
    <w:rsid w:val="00517206"/>
    <w:rsid w:val="005177E5"/>
    <w:rsid w:val="00517872"/>
    <w:rsid w:val="00517D33"/>
    <w:rsid w:val="005205FB"/>
    <w:rsid w:val="00520B4A"/>
    <w:rsid w:val="00520EDF"/>
    <w:rsid w:val="00521039"/>
    <w:rsid w:val="0052104F"/>
    <w:rsid w:val="0052279F"/>
    <w:rsid w:val="0052371E"/>
    <w:rsid w:val="005238A1"/>
    <w:rsid w:val="00523CB8"/>
    <w:rsid w:val="005242D2"/>
    <w:rsid w:val="00524DB2"/>
    <w:rsid w:val="005250D6"/>
    <w:rsid w:val="00525497"/>
    <w:rsid w:val="0052553F"/>
    <w:rsid w:val="0052617F"/>
    <w:rsid w:val="00526A55"/>
    <w:rsid w:val="00526B55"/>
    <w:rsid w:val="0052746C"/>
    <w:rsid w:val="005279D9"/>
    <w:rsid w:val="005308AA"/>
    <w:rsid w:val="00530D28"/>
    <w:rsid w:val="00530D59"/>
    <w:rsid w:val="00530E32"/>
    <w:rsid w:val="0053107A"/>
    <w:rsid w:val="00531A1F"/>
    <w:rsid w:val="00531D59"/>
    <w:rsid w:val="00532667"/>
    <w:rsid w:val="00532BF0"/>
    <w:rsid w:val="00532F1F"/>
    <w:rsid w:val="00533216"/>
    <w:rsid w:val="00533469"/>
    <w:rsid w:val="005334D6"/>
    <w:rsid w:val="005335DE"/>
    <w:rsid w:val="0053365C"/>
    <w:rsid w:val="0053407A"/>
    <w:rsid w:val="00534217"/>
    <w:rsid w:val="005345DB"/>
    <w:rsid w:val="00534D8F"/>
    <w:rsid w:val="005354B4"/>
    <w:rsid w:val="00535889"/>
    <w:rsid w:val="00536100"/>
    <w:rsid w:val="005368FE"/>
    <w:rsid w:val="00537608"/>
    <w:rsid w:val="005376F6"/>
    <w:rsid w:val="005377A6"/>
    <w:rsid w:val="00540471"/>
    <w:rsid w:val="005406BC"/>
    <w:rsid w:val="00540C23"/>
    <w:rsid w:val="00541128"/>
    <w:rsid w:val="00541C7A"/>
    <w:rsid w:val="00542412"/>
    <w:rsid w:val="0054339A"/>
    <w:rsid w:val="00543B43"/>
    <w:rsid w:val="00543E5A"/>
    <w:rsid w:val="0054444A"/>
    <w:rsid w:val="00544A38"/>
    <w:rsid w:val="005453E7"/>
    <w:rsid w:val="00545531"/>
    <w:rsid w:val="00545E36"/>
    <w:rsid w:val="0054625A"/>
    <w:rsid w:val="005469E7"/>
    <w:rsid w:val="00547528"/>
    <w:rsid w:val="005476A6"/>
    <w:rsid w:val="0054781B"/>
    <w:rsid w:val="0055204B"/>
    <w:rsid w:val="00552619"/>
    <w:rsid w:val="0055398B"/>
    <w:rsid w:val="00554C77"/>
    <w:rsid w:val="00554FFF"/>
    <w:rsid w:val="00555104"/>
    <w:rsid w:val="00555527"/>
    <w:rsid w:val="00556A50"/>
    <w:rsid w:val="00557083"/>
    <w:rsid w:val="005574CA"/>
    <w:rsid w:val="00557853"/>
    <w:rsid w:val="00560DE7"/>
    <w:rsid w:val="00560E87"/>
    <w:rsid w:val="005610DB"/>
    <w:rsid w:val="00561EAB"/>
    <w:rsid w:val="00563164"/>
    <w:rsid w:val="0056429A"/>
    <w:rsid w:val="005651DC"/>
    <w:rsid w:val="005658A1"/>
    <w:rsid w:val="00566C65"/>
    <w:rsid w:val="005675BB"/>
    <w:rsid w:val="005679C8"/>
    <w:rsid w:val="00570023"/>
    <w:rsid w:val="0057045C"/>
    <w:rsid w:val="005711A5"/>
    <w:rsid w:val="0057158D"/>
    <w:rsid w:val="0057190C"/>
    <w:rsid w:val="00571A77"/>
    <w:rsid w:val="00572BD4"/>
    <w:rsid w:val="0057331B"/>
    <w:rsid w:val="00573573"/>
    <w:rsid w:val="0057372C"/>
    <w:rsid w:val="005737D9"/>
    <w:rsid w:val="00574426"/>
    <w:rsid w:val="0057499F"/>
    <w:rsid w:val="00574A5F"/>
    <w:rsid w:val="005754BB"/>
    <w:rsid w:val="00575A60"/>
    <w:rsid w:val="005760C8"/>
    <w:rsid w:val="005761AC"/>
    <w:rsid w:val="00576C12"/>
    <w:rsid w:val="00577607"/>
    <w:rsid w:val="00577716"/>
    <w:rsid w:val="0057787F"/>
    <w:rsid w:val="00577AD3"/>
    <w:rsid w:val="00577DAA"/>
    <w:rsid w:val="0058059A"/>
    <w:rsid w:val="00580AD4"/>
    <w:rsid w:val="00580F3A"/>
    <w:rsid w:val="005810C8"/>
    <w:rsid w:val="005812EC"/>
    <w:rsid w:val="00581334"/>
    <w:rsid w:val="00582951"/>
    <w:rsid w:val="005839BE"/>
    <w:rsid w:val="005839D3"/>
    <w:rsid w:val="00583E41"/>
    <w:rsid w:val="00583F3F"/>
    <w:rsid w:val="0058415C"/>
    <w:rsid w:val="00584507"/>
    <w:rsid w:val="0058553E"/>
    <w:rsid w:val="005855A6"/>
    <w:rsid w:val="005855B2"/>
    <w:rsid w:val="00585AA4"/>
    <w:rsid w:val="00585C97"/>
    <w:rsid w:val="0058638E"/>
    <w:rsid w:val="00586F53"/>
    <w:rsid w:val="00590269"/>
    <w:rsid w:val="00590795"/>
    <w:rsid w:val="005917A5"/>
    <w:rsid w:val="00592500"/>
    <w:rsid w:val="0059285C"/>
    <w:rsid w:val="00592D3B"/>
    <w:rsid w:val="005935D3"/>
    <w:rsid w:val="00593600"/>
    <w:rsid w:val="005936A0"/>
    <w:rsid w:val="00594390"/>
    <w:rsid w:val="00594A0C"/>
    <w:rsid w:val="00594BDF"/>
    <w:rsid w:val="0059585B"/>
    <w:rsid w:val="00595D33"/>
    <w:rsid w:val="005A02E7"/>
    <w:rsid w:val="005A08CC"/>
    <w:rsid w:val="005A0F36"/>
    <w:rsid w:val="005A120D"/>
    <w:rsid w:val="005A1B26"/>
    <w:rsid w:val="005A1DB2"/>
    <w:rsid w:val="005A21E8"/>
    <w:rsid w:val="005A2AD8"/>
    <w:rsid w:val="005A3E8C"/>
    <w:rsid w:val="005A41EF"/>
    <w:rsid w:val="005A47C8"/>
    <w:rsid w:val="005A5DE9"/>
    <w:rsid w:val="005A5F29"/>
    <w:rsid w:val="005A6151"/>
    <w:rsid w:val="005A61BA"/>
    <w:rsid w:val="005A64D7"/>
    <w:rsid w:val="005A6AAC"/>
    <w:rsid w:val="005A6DB7"/>
    <w:rsid w:val="005A787F"/>
    <w:rsid w:val="005A7900"/>
    <w:rsid w:val="005A7C07"/>
    <w:rsid w:val="005B023D"/>
    <w:rsid w:val="005B0C3A"/>
    <w:rsid w:val="005B26FF"/>
    <w:rsid w:val="005B2DA7"/>
    <w:rsid w:val="005B2EC0"/>
    <w:rsid w:val="005B3902"/>
    <w:rsid w:val="005B3A7B"/>
    <w:rsid w:val="005B6BC0"/>
    <w:rsid w:val="005B7421"/>
    <w:rsid w:val="005C0488"/>
    <w:rsid w:val="005C0A24"/>
    <w:rsid w:val="005C1775"/>
    <w:rsid w:val="005C1F9F"/>
    <w:rsid w:val="005C2109"/>
    <w:rsid w:val="005C2420"/>
    <w:rsid w:val="005C243B"/>
    <w:rsid w:val="005C2A92"/>
    <w:rsid w:val="005C2E62"/>
    <w:rsid w:val="005C3492"/>
    <w:rsid w:val="005C359C"/>
    <w:rsid w:val="005C39EC"/>
    <w:rsid w:val="005C4597"/>
    <w:rsid w:val="005C4BA6"/>
    <w:rsid w:val="005C4D91"/>
    <w:rsid w:val="005C6948"/>
    <w:rsid w:val="005C7125"/>
    <w:rsid w:val="005C727F"/>
    <w:rsid w:val="005C7DD0"/>
    <w:rsid w:val="005D004F"/>
    <w:rsid w:val="005D09E1"/>
    <w:rsid w:val="005D1B47"/>
    <w:rsid w:val="005D1D25"/>
    <w:rsid w:val="005D2374"/>
    <w:rsid w:val="005D5042"/>
    <w:rsid w:val="005D520C"/>
    <w:rsid w:val="005D5599"/>
    <w:rsid w:val="005D5A32"/>
    <w:rsid w:val="005D6655"/>
    <w:rsid w:val="005D66F6"/>
    <w:rsid w:val="005D6BD5"/>
    <w:rsid w:val="005D6ECA"/>
    <w:rsid w:val="005E08AB"/>
    <w:rsid w:val="005E1029"/>
    <w:rsid w:val="005E1A2A"/>
    <w:rsid w:val="005E1A39"/>
    <w:rsid w:val="005E2292"/>
    <w:rsid w:val="005E26F4"/>
    <w:rsid w:val="005E2F51"/>
    <w:rsid w:val="005E3819"/>
    <w:rsid w:val="005E38AC"/>
    <w:rsid w:val="005E4CC2"/>
    <w:rsid w:val="005E4EE6"/>
    <w:rsid w:val="005E615E"/>
    <w:rsid w:val="005E62D6"/>
    <w:rsid w:val="005E65F0"/>
    <w:rsid w:val="005E6710"/>
    <w:rsid w:val="005E785E"/>
    <w:rsid w:val="005F067F"/>
    <w:rsid w:val="005F124C"/>
    <w:rsid w:val="005F1D48"/>
    <w:rsid w:val="005F2156"/>
    <w:rsid w:val="005F3B98"/>
    <w:rsid w:val="005F3C84"/>
    <w:rsid w:val="005F3D61"/>
    <w:rsid w:val="005F435E"/>
    <w:rsid w:val="005F43F9"/>
    <w:rsid w:val="005F4F9A"/>
    <w:rsid w:val="005F57DA"/>
    <w:rsid w:val="005F673F"/>
    <w:rsid w:val="005F6771"/>
    <w:rsid w:val="005F6D4D"/>
    <w:rsid w:val="005F6FC1"/>
    <w:rsid w:val="005F8BDC"/>
    <w:rsid w:val="00600165"/>
    <w:rsid w:val="006003C6"/>
    <w:rsid w:val="00600558"/>
    <w:rsid w:val="00600FAF"/>
    <w:rsid w:val="00601690"/>
    <w:rsid w:val="006028B3"/>
    <w:rsid w:val="00602C35"/>
    <w:rsid w:val="006041A0"/>
    <w:rsid w:val="006046FD"/>
    <w:rsid w:val="00604A10"/>
    <w:rsid w:val="00604D6A"/>
    <w:rsid w:val="00605498"/>
    <w:rsid w:val="00605ACB"/>
    <w:rsid w:val="006067FD"/>
    <w:rsid w:val="006069B4"/>
    <w:rsid w:val="00606D1B"/>
    <w:rsid w:val="00606FAE"/>
    <w:rsid w:val="0060738C"/>
    <w:rsid w:val="00607C81"/>
    <w:rsid w:val="006103D5"/>
    <w:rsid w:val="00610600"/>
    <w:rsid w:val="00610DC7"/>
    <w:rsid w:val="00610EA5"/>
    <w:rsid w:val="00611797"/>
    <w:rsid w:val="006139F1"/>
    <w:rsid w:val="00613B6F"/>
    <w:rsid w:val="00614542"/>
    <w:rsid w:val="00614AC6"/>
    <w:rsid w:val="0061547A"/>
    <w:rsid w:val="00617CF2"/>
    <w:rsid w:val="006201AE"/>
    <w:rsid w:val="006211E6"/>
    <w:rsid w:val="00624B63"/>
    <w:rsid w:val="0062535E"/>
    <w:rsid w:val="006259ED"/>
    <w:rsid w:val="00625BEF"/>
    <w:rsid w:val="00625DC3"/>
    <w:rsid w:val="0062661F"/>
    <w:rsid w:val="00626807"/>
    <w:rsid w:val="00626C26"/>
    <w:rsid w:val="00626F9E"/>
    <w:rsid w:val="0062764B"/>
    <w:rsid w:val="006277CC"/>
    <w:rsid w:val="00630D11"/>
    <w:rsid w:val="00630DA9"/>
    <w:rsid w:val="006315C2"/>
    <w:rsid w:val="00631B04"/>
    <w:rsid w:val="00631C9D"/>
    <w:rsid w:val="00631CA7"/>
    <w:rsid w:val="0063256E"/>
    <w:rsid w:val="0063259F"/>
    <w:rsid w:val="00632BF0"/>
    <w:rsid w:val="00632C8C"/>
    <w:rsid w:val="006330FD"/>
    <w:rsid w:val="006334EB"/>
    <w:rsid w:val="006334ED"/>
    <w:rsid w:val="006337F5"/>
    <w:rsid w:val="00633F68"/>
    <w:rsid w:val="00634193"/>
    <w:rsid w:val="006344BF"/>
    <w:rsid w:val="0063451D"/>
    <w:rsid w:val="006346DA"/>
    <w:rsid w:val="00634B7C"/>
    <w:rsid w:val="00634BD6"/>
    <w:rsid w:val="00634C4F"/>
    <w:rsid w:val="00634E30"/>
    <w:rsid w:val="006353CA"/>
    <w:rsid w:val="006354E3"/>
    <w:rsid w:val="00635DB5"/>
    <w:rsid w:val="006364ED"/>
    <w:rsid w:val="00636FF2"/>
    <w:rsid w:val="006373EA"/>
    <w:rsid w:val="00637AD9"/>
    <w:rsid w:val="0064009A"/>
    <w:rsid w:val="00640BBF"/>
    <w:rsid w:val="00641446"/>
    <w:rsid w:val="00641775"/>
    <w:rsid w:val="00641998"/>
    <w:rsid w:val="00641DDE"/>
    <w:rsid w:val="00642BCE"/>
    <w:rsid w:val="00642CD4"/>
    <w:rsid w:val="006446DE"/>
    <w:rsid w:val="0064479C"/>
    <w:rsid w:val="00644971"/>
    <w:rsid w:val="006458D3"/>
    <w:rsid w:val="00645C1F"/>
    <w:rsid w:val="006513C7"/>
    <w:rsid w:val="006514F5"/>
    <w:rsid w:val="006515EA"/>
    <w:rsid w:val="00651A5B"/>
    <w:rsid w:val="00651BFD"/>
    <w:rsid w:val="00651C8A"/>
    <w:rsid w:val="006527FB"/>
    <w:rsid w:val="00652C2D"/>
    <w:rsid w:val="00653394"/>
    <w:rsid w:val="006535F0"/>
    <w:rsid w:val="006536E1"/>
    <w:rsid w:val="00653752"/>
    <w:rsid w:val="00653757"/>
    <w:rsid w:val="006550A0"/>
    <w:rsid w:val="00655998"/>
    <w:rsid w:val="00655CD5"/>
    <w:rsid w:val="00655EC2"/>
    <w:rsid w:val="006568CF"/>
    <w:rsid w:val="006571D0"/>
    <w:rsid w:val="00657673"/>
    <w:rsid w:val="00657C3F"/>
    <w:rsid w:val="00661E0D"/>
    <w:rsid w:val="00661F16"/>
    <w:rsid w:val="006620E7"/>
    <w:rsid w:val="006623A5"/>
    <w:rsid w:val="00662D70"/>
    <w:rsid w:val="00663531"/>
    <w:rsid w:val="00663665"/>
    <w:rsid w:val="00664919"/>
    <w:rsid w:val="00664CC1"/>
    <w:rsid w:val="00664EF3"/>
    <w:rsid w:val="00665A01"/>
    <w:rsid w:val="00665BD5"/>
    <w:rsid w:val="00665FAB"/>
    <w:rsid w:val="00666600"/>
    <w:rsid w:val="00666987"/>
    <w:rsid w:val="006669BA"/>
    <w:rsid w:val="006676DE"/>
    <w:rsid w:val="006701B1"/>
    <w:rsid w:val="006702CF"/>
    <w:rsid w:val="006704BE"/>
    <w:rsid w:val="0067051D"/>
    <w:rsid w:val="006709F7"/>
    <w:rsid w:val="006711EF"/>
    <w:rsid w:val="00671AA6"/>
    <w:rsid w:val="00671B0C"/>
    <w:rsid w:val="006720B5"/>
    <w:rsid w:val="00672DEE"/>
    <w:rsid w:val="00673ADE"/>
    <w:rsid w:val="006742C9"/>
    <w:rsid w:val="006745E9"/>
    <w:rsid w:val="006746DB"/>
    <w:rsid w:val="00674DEF"/>
    <w:rsid w:val="00674E47"/>
    <w:rsid w:val="0067615F"/>
    <w:rsid w:val="00676614"/>
    <w:rsid w:val="0067672C"/>
    <w:rsid w:val="00676AF9"/>
    <w:rsid w:val="00676CF8"/>
    <w:rsid w:val="00677174"/>
    <w:rsid w:val="00677224"/>
    <w:rsid w:val="006775E7"/>
    <w:rsid w:val="00677B8E"/>
    <w:rsid w:val="00680149"/>
    <w:rsid w:val="00680383"/>
    <w:rsid w:val="00680409"/>
    <w:rsid w:val="0068089A"/>
    <w:rsid w:val="00681107"/>
    <w:rsid w:val="006829A3"/>
    <w:rsid w:val="00682E50"/>
    <w:rsid w:val="006832EE"/>
    <w:rsid w:val="006833E7"/>
    <w:rsid w:val="006840DF"/>
    <w:rsid w:val="00684AC1"/>
    <w:rsid w:val="00684C7A"/>
    <w:rsid w:val="00685CBA"/>
    <w:rsid w:val="00685FBC"/>
    <w:rsid w:val="0068662A"/>
    <w:rsid w:val="00687133"/>
    <w:rsid w:val="006873FC"/>
    <w:rsid w:val="0069067B"/>
    <w:rsid w:val="0069086C"/>
    <w:rsid w:val="00690CB2"/>
    <w:rsid w:val="00691F1E"/>
    <w:rsid w:val="00691F67"/>
    <w:rsid w:val="0069273C"/>
    <w:rsid w:val="00692E42"/>
    <w:rsid w:val="006932E2"/>
    <w:rsid w:val="00694183"/>
    <w:rsid w:val="00695AA6"/>
    <w:rsid w:val="0069618F"/>
    <w:rsid w:val="00696523"/>
    <w:rsid w:val="00696BF8"/>
    <w:rsid w:val="00696D90"/>
    <w:rsid w:val="006970B3"/>
    <w:rsid w:val="006978C7"/>
    <w:rsid w:val="00697A38"/>
    <w:rsid w:val="00697CD1"/>
    <w:rsid w:val="006A06EF"/>
    <w:rsid w:val="006A0D52"/>
    <w:rsid w:val="006A0E46"/>
    <w:rsid w:val="006A328E"/>
    <w:rsid w:val="006A34D1"/>
    <w:rsid w:val="006A3EDF"/>
    <w:rsid w:val="006A4924"/>
    <w:rsid w:val="006A4D74"/>
    <w:rsid w:val="006A4ED6"/>
    <w:rsid w:val="006A574A"/>
    <w:rsid w:val="006A5E58"/>
    <w:rsid w:val="006A6043"/>
    <w:rsid w:val="006A6627"/>
    <w:rsid w:val="006A6E7B"/>
    <w:rsid w:val="006A71A4"/>
    <w:rsid w:val="006A764E"/>
    <w:rsid w:val="006A7CD2"/>
    <w:rsid w:val="006B0A63"/>
    <w:rsid w:val="006B1AEB"/>
    <w:rsid w:val="006B1B80"/>
    <w:rsid w:val="006B1ECF"/>
    <w:rsid w:val="006B23C1"/>
    <w:rsid w:val="006B27A1"/>
    <w:rsid w:val="006B2DDF"/>
    <w:rsid w:val="006B33AD"/>
    <w:rsid w:val="006B39C6"/>
    <w:rsid w:val="006B42F4"/>
    <w:rsid w:val="006B5CB4"/>
    <w:rsid w:val="006B653A"/>
    <w:rsid w:val="006B7E94"/>
    <w:rsid w:val="006C00AA"/>
    <w:rsid w:val="006C034A"/>
    <w:rsid w:val="006C0B89"/>
    <w:rsid w:val="006C12DF"/>
    <w:rsid w:val="006C1729"/>
    <w:rsid w:val="006C1922"/>
    <w:rsid w:val="006C1F59"/>
    <w:rsid w:val="006C23D1"/>
    <w:rsid w:val="006C2755"/>
    <w:rsid w:val="006C2BC9"/>
    <w:rsid w:val="006C36A8"/>
    <w:rsid w:val="006C3C06"/>
    <w:rsid w:val="006C476C"/>
    <w:rsid w:val="006C4DEC"/>
    <w:rsid w:val="006C51C4"/>
    <w:rsid w:val="006C53FC"/>
    <w:rsid w:val="006C5682"/>
    <w:rsid w:val="006C659C"/>
    <w:rsid w:val="006C72AA"/>
    <w:rsid w:val="006C770C"/>
    <w:rsid w:val="006C782D"/>
    <w:rsid w:val="006D01A8"/>
    <w:rsid w:val="006D03A4"/>
    <w:rsid w:val="006D059E"/>
    <w:rsid w:val="006D0E90"/>
    <w:rsid w:val="006D11D0"/>
    <w:rsid w:val="006D173F"/>
    <w:rsid w:val="006D19A8"/>
    <w:rsid w:val="006D19E2"/>
    <w:rsid w:val="006D3592"/>
    <w:rsid w:val="006D36F2"/>
    <w:rsid w:val="006D3814"/>
    <w:rsid w:val="006D3BFE"/>
    <w:rsid w:val="006D4369"/>
    <w:rsid w:val="006D543F"/>
    <w:rsid w:val="006D6042"/>
    <w:rsid w:val="006D61E8"/>
    <w:rsid w:val="006D6414"/>
    <w:rsid w:val="006D6548"/>
    <w:rsid w:val="006D6BBC"/>
    <w:rsid w:val="006D7BA9"/>
    <w:rsid w:val="006E0067"/>
    <w:rsid w:val="006E03E1"/>
    <w:rsid w:val="006E0883"/>
    <w:rsid w:val="006E09FC"/>
    <w:rsid w:val="006E0B7E"/>
    <w:rsid w:val="006E0C17"/>
    <w:rsid w:val="006E0D40"/>
    <w:rsid w:val="006E16D0"/>
    <w:rsid w:val="006E1DDD"/>
    <w:rsid w:val="006E21ED"/>
    <w:rsid w:val="006E2439"/>
    <w:rsid w:val="006E2621"/>
    <w:rsid w:val="006E29A2"/>
    <w:rsid w:val="006E36E8"/>
    <w:rsid w:val="006E3B89"/>
    <w:rsid w:val="006E3BDE"/>
    <w:rsid w:val="006E48ED"/>
    <w:rsid w:val="006E49BF"/>
    <w:rsid w:val="006E4B8C"/>
    <w:rsid w:val="006E4FA6"/>
    <w:rsid w:val="006E4FEE"/>
    <w:rsid w:val="006E5D96"/>
    <w:rsid w:val="006E6C45"/>
    <w:rsid w:val="006E6DC6"/>
    <w:rsid w:val="006E723D"/>
    <w:rsid w:val="006F09AA"/>
    <w:rsid w:val="006F1234"/>
    <w:rsid w:val="006F14B8"/>
    <w:rsid w:val="006F1BFA"/>
    <w:rsid w:val="006F1C84"/>
    <w:rsid w:val="006F2E6E"/>
    <w:rsid w:val="006F3429"/>
    <w:rsid w:val="006F343E"/>
    <w:rsid w:val="006F3C21"/>
    <w:rsid w:val="006F4023"/>
    <w:rsid w:val="006F4945"/>
    <w:rsid w:val="006F5179"/>
    <w:rsid w:val="006F6916"/>
    <w:rsid w:val="006F6F1A"/>
    <w:rsid w:val="006F7CE0"/>
    <w:rsid w:val="007000C7"/>
    <w:rsid w:val="00700A16"/>
    <w:rsid w:val="007011FB"/>
    <w:rsid w:val="0070248A"/>
    <w:rsid w:val="00702D63"/>
    <w:rsid w:val="00703605"/>
    <w:rsid w:val="00703948"/>
    <w:rsid w:val="00703F7B"/>
    <w:rsid w:val="00704603"/>
    <w:rsid w:val="00704A8F"/>
    <w:rsid w:val="00705066"/>
    <w:rsid w:val="007052E2"/>
    <w:rsid w:val="00705A31"/>
    <w:rsid w:val="00705A50"/>
    <w:rsid w:val="00705B05"/>
    <w:rsid w:val="007069B4"/>
    <w:rsid w:val="00706F38"/>
    <w:rsid w:val="007070A1"/>
    <w:rsid w:val="007072DE"/>
    <w:rsid w:val="00710F04"/>
    <w:rsid w:val="007123E9"/>
    <w:rsid w:val="0071268A"/>
    <w:rsid w:val="007126A7"/>
    <w:rsid w:val="0071286B"/>
    <w:rsid w:val="007129B0"/>
    <w:rsid w:val="00714379"/>
    <w:rsid w:val="007149FA"/>
    <w:rsid w:val="00714B1E"/>
    <w:rsid w:val="00714BC5"/>
    <w:rsid w:val="00715B98"/>
    <w:rsid w:val="0071726D"/>
    <w:rsid w:val="00717684"/>
    <w:rsid w:val="00717D4D"/>
    <w:rsid w:val="00717E6D"/>
    <w:rsid w:val="00720849"/>
    <w:rsid w:val="00720AF4"/>
    <w:rsid w:val="00722F8A"/>
    <w:rsid w:val="00723352"/>
    <w:rsid w:val="00723889"/>
    <w:rsid w:val="007239C0"/>
    <w:rsid w:val="007240E5"/>
    <w:rsid w:val="00724310"/>
    <w:rsid w:val="00724417"/>
    <w:rsid w:val="00724F9D"/>
    <w:rsid w:val="007253E1"/>
    <w:rsid w:val="00725614"/>
    <w:rsid w:val="0072634E"/>
    <w:rsid w:val="00726ABB"/>
    <w:rsid w:val="00726CEB"/>
    <w:rsid w:val="007271DB"/>
    <w:rsid w:val="00730B59"/>
    <w:rsid w:val="00731823"/>
    <w:rsid w:val="00731C36"/>
    <w:rsid w:val="00733209"/>
    <w:rsid w:val="00733471"/>
    <w:rsid w:val="00734AE5"/>
    <w:rsid w:val="00735A0A"/>
    <w:rsid w:val="007361E2"/>
    <w:rsid w:val="007363AF"/>
    <w:rsid w:val="0073697D"/>
    <w:rsid w:val="00736FA2"/>
    <w:rsid w:val="00737346"/>
    <w:rsid w:val="007373B1"/>
    <w:rsid w:val="007377A5"/>
    <w:rsid w:val="0074042E"/>
    <w:rsid w:val="00740B84"/>
    <w:rsid w:val="00740BB0"/>
    <w:rsid w:val="0074116A"/>
    <w:rsid w:val="00741956"/>
    <w:rsid w:val="00741D73"/>
    <w:rsid w:val="00742062"/>
    <w:rsid w:val="00742B54"/>
    <w:rsid w:val="00742BFE"/>
    <w:rsid w:val="007435C7"/>
    <w:rsid w:val="007439DF"/>
    <w:rsid w:val="00744A07"/>
    <w:rsid w:val="007453B1"/>
    <w:rsid w:val="00745A3F"/>
    <w:rsid w:val="007463B9"/>
    <w:rsid w:val="0074648A"/>
    <w:rsid w:val="007469D0"/>
    <w:rsid w:val="00746CA7"/>
    <w:rsid w:val="007474A6"/>
    <w:rsid w:val="007506CD"/>
    <w:rsid w:val="00750AB6"/>
    <w:rsid w:val="00750D70"/>
    <w:rsid w:val="0075146A"/>
    <w:rsid w:val="0075264C"/>
    <w:rsid w:val="0075278B"/>
    <w:rsid w:val="007530B2"/>
    <w:rsid w:val="007538D6"/>
    <w:rsid w:val="007539B3"/>
    <w:rsid w:val="00754318"/>
    <w:rsid w:val="00754DE7"/>
    <w:rsid w:val="0075504A"/>
    <w:rsid w:val="007550D6"/>
    <w:rsid w:val="007556E8"/>
    <w:rsid w:val="007564E0"/>
    <w:rsid w:val="00756E41"/>
    <w:rsid w:val="00756FAB"/>
    <w:rsid w:val="00757585"/>
    <w:rsid w:val="00757586"/>
    <w:rsid w:val="007579E4"/>
    <w:rsid w:val="00757BBA"/>
    <w:rsid w:val="0076010A"/>
    <w:rsid w:val="00760AC4"/>
    <w:rsid w:val="007614A4"/>
    <w:rsid w:val="00761888"/>
    <w:rsid w:val="007627F4"/>
    <w:rsid w:val="00762A6F"/>
    <w:rsid w:val="00763B3E"/>
    <w:rsid w:val="007646C6"/>
    <w:rsid w:val="00764C5D"/>
    <w:rsid w:val="00767327"/>
    <w:rsid w:val="00767A3A"/>
    <w:rsid w:val="007705FA"/>
    <w:rsid w:val="0077074E"/>
    <w:rsid w:val="00770D4F"/>
    <w:rsid w:val="0077155A"/>
    <w:rsid w:val="00771FA2"/>
    <w:rsid w:val="0077217C"/>
    <w:rsid w:val="00772BBE"/>
    <w:rsid w:val="00773B2E"/>
    <w:rsid w:val="00773CED"/>
    <w:rsid w:val="00774476"/>
    <w:rsid w:val="00774DD2"/>
    <w:rsid w:val="00774FC9"/>
    <w:rsid w:val="0077516C"/>
    <w:rsid w:val="007759E0"/>
    <w:rsid w:val="0077612B"/>
    <w:rsid w:val="007761F9"/>
    <w:rsid w:val="00776C10"/>
    <w:rsid w:val="00780962"/>
    <w:rsid w:val="007818F3"/>
    <w:rsid w:val="00782755"/>
    <w:rsid w:val="00783C54"/>
    <w:rsid w:val="00784B03"/>
    <w:rsid w:val="007851CB"/>
    <w:rsid w:val="0078580A"/>
    <w:rsid w:val="00785DCB"/>
    <w:rsid w:val="00785F04"/>
    <w:rsid w:val="00786761"/>
    <w:rsid w:val="00786E29"/>
    <w:rsid w:val="00786EB0"/>
    <w:rsid w:val="007873A7"/>
    <w:rsid w:val="00787490"/>
    <w:rsid w:val="007875E7"/>
    <w:rsid w:val="00787C62"/>
    <w:rsid w:val="00787F08"/>
    <w:rsid w:val="007902BB"/>
    <w:rsid w:val="00790F4A"/>
    <w:rsid w:val="00791274"/>
    <w:rsid w:val="00791BDF"/>
    <w:rsid w:val="00791EBC"/>
    <w:rsid w:val="00792205"/>
    <w:rsid w:val="00792DC2"/>
    <w:rsid w:val="00792ED3"/>
    <w:rsid w:val="00793D1D"/>
    <w:rsid w:val="007951B8"/>
    <w:rsid w:val="007952CC"/>
    <w:rsid w:val="00795381"/>
    <w:rsid w:val="007958A9"/>
    <w:rsid w:val="00795BCA"/>
    <w:rsid w:val="007960E8"/>
    <w:rsid w:val="007965E7"/>
    <w:rsid w:val="00796BE7"/>
    <w:rsid w:val="007A00D4"/>
    <w:rsid w:val="007A06A6"/>
    <w:rsid w:val="007A0E25"/>
    <w:rsid w:val="007A1352"/>
    <w:rsid w:val="007A2049"/>
    <w:rsid w:val="007A239D"/>
    <w:rsid w:val="007A2478"/>
    <w:rsid w:val="007A2910"/>
    <w:rsid w:val="007A2AD6"/>
    <w:rsid w:val="007A2B51"/>
    <w:rsid w:val="007A380B"/>
    <w:rsid w:val="007A3C0D"/>
    <w:rsid w:val="007A58EB"/>
    <w:rsid w:val="007A5ABA"/>
    <w:rsid w:val="007A5B5A"/>
    <w:rsid w:val="007A5EF3"/>
    <w:rsid w:val="007A630F"/>
    <w:rsid w:val="007A6803"/>
    <w:rsid w:val="007A6A4E"/>
    <w:rsid w:val="007A712F"/>
    <w:rsid w:val="007A7E7D"/>
    <w:rsid w:val="007A7EBC"/>
    <w:rsid w:val="007A7FF2"/>
    <w:rsid w:val="007B024C"/>
    <w:rsid w:val="007B05EF"/>
    <w:rsid w:val="007B0820"/>
    <w:rsid w:val="007B0C10"/>
    <w:rsid w:val="007B17B4"/>
    <w:rsid w:val="007B17D8"/>
    <w:rsid w:val="007B297C"/>
    <w:rsid w:val="007B29A0"/>
    <w:rsid w:val="007B2B72"/>
    <w:rsid w:val="007B2BD0"/>
    <w:rsid w:val="007B2F1C"/>
    <w:rsid w:val="007B3388"/>
    <w:rsid w:val="007B3946"/>
    <w:rsid w:val="007B3C6D"/>
    <w:rsid w:val="007B4EB5"/>
    <w:rsid w:val="007B5402"/>
    <w:rsid w:val="007B556D"/>
    <w:rsid w:val="007B5584"/>
    <w:rsid w:val="007B5748"/>
    <w:rsid w:val="007B5896"/>
    <w:rsid w:val="007B6150"/>
    <w:rsid w:val="007B6206"/>
    <w:rsid w:val="007B62B8"/>
    <w:rsid w:val="007B6B3A"/>
    <w:rsid w:val="007B73CB"/>
    <w:rsid w:val="007B7CED"/>
    <w:rsid w:val="007B7D94"/>
    <w:rsid w:val="007B7EFA"/>
    <w:rsid w:val="007C01BE"/>
    <w:rsid w:val="007C04D5"/>
    <w:rsid w:val="007C0E19"/>
    <w:rsid w:val="007C12D6"/>
    <w:rsid w:val="007C1A42"/>
    <w:rsid w:val="007C2033"/>
    <w:rsid w:val="007C214F"/>
    <w:rsid w:val="007C374A"/>
    <w:rsid w:val="007C3A5C"/>
    <w:rsid w:val="007C4300"/>
    <w:rsid w:val="007C4DA8"/>
    <w:rsid w:val="007C4DAA"/>
    <w:rsid w:val="007C4E24"/>
    <w:rsid w:val="007C4E98"/>
    <w:rsid w:val="007C56CA"/>
    <w:rsid w:val="007C5E8F"/>
    <w:rsid w:val="007C5EC0"/>
    <w:rsid w:val="007C776D"/>
    <w:rsid w:val="007C78B8"/>
    <w:rsid w:val="007D0393"/>
    <w:rsid w:val="007D05ED"/>
    <w:rsid w:val="007D06B7"/>
    <w:rsid w:val="007D0E68"/>
    <w:rsid w:val="007D0F8B"/>
    <w:rsid w:val="007D1177"/>
    <w:rsid w:val="007D1334"/>
    <w:rsid w:val="007D20BA"/>
    <w:rsid w:val="007D2771"/>
    <w:rsid w:val="007D2D6A"/>
    <w:rsid w:val="007D34CC"/>
    <w:rsid w:val="007D4892"/>
    <w:rsid w:val="007D4AD4"/>
    <w:rsid w:val="007D4D70"/>
    <w:rsid w:val="007D5CFC"/>
    <w:rsid w:val="007D5DF5"/>
    <w:rsid w:val="007D5F06"/>
    <w:rsid w:val="007D6D9E"/>
    <w:rsid w:val="007D7233"/>
    <w:rsid w:val="007D77DB"/>
    <w:rsid w:val="007E0306"/>
    <w:rsid w:val="007E0B08"/>
    <w:rsid w:val="007E0B5A"/>
    <w:rsid w:val="007E1609"/>
    <w:rsid w:val="007E1A92"/>
    <w:rsid w:val="007E1FD5"/>
    <w:rsid w:val="007E2798"/>
    <w:rsid w:val="007E2875"/>
    <w:rsid w:val="007E2CF0"/>
    <w:rsid w:val="007E3042"/>
    <w:rsid w:val="007E31B2"/>
    <w:rsid w:val="007E4286"/>
    <w:rsid w:val="007E556A"/>
    <w:rsid w:val="007E67DF"/>
    <w:rsid w:val="007E7BED"/>
    <w:rsid w:val="007F094B"/>
    <w:rsid w:val="007F0B6A"/>
    <w:rsid w:val="007F0D22"/>
    <w:rsid w:val="007F0D7A"/>
    <w:rsid w:val="007F0F2A"/>
    <w:rsid w:val="007F1367"/>
    <w:rsid w:val="007F2113"/>
    <w:rsid w:val="007F2CFB"/>
    <w:rsid w:val="007F2DB7"/>
    <w:rsid w:val="007F3DD6"/>
    <w:rsid w:val="007F5DE1"/>
    <w:rsid w:val="007F657F"/>
    <w:rsid w:val="007F6BF8"/>
    <w:rsid w:val="007F78BA"/>
    <w:rsid w:val="007F7DF6"/>
    <w:rsid w:val="008000BD"/>
    <w:rsid w:val="008002C3"/>
    <w:rsid w:val="008018E4"/>
    <w:rsid w:val="00803007"/>
    <w:rsid w:val="00803161"/>
    <w:rsid w:val="00803BE6"/>
    <w:rsid w:val="00803EEF"/>
    <w:rsid w:val="00804270"/>
    <w:rsid w:val="008042E0"/>
    <w:rsid w:val="008051F3"/>
    <w:rsid w:val="00805520"/>
    <w:rsid w:val="008055DB"/>
    <w:rsid w:val="00805B4F"/>
    <w:rsid w:val="00805F5E"/>
    <w:rsid w:val="008064F1"/>
    <w:rsid w:val="00806839"/>
    <w:rsid w:val="00806BB2"/>
    <w:rsid w:val="00806E27"/>
    <w:rsid w:val="00807550"/>
    <w:rsid w:val="00807869"/>
    <w:rsid w:val="00807B09"/>
    <w:rsid w:val="0081006B"/>
    <w:rsid w:val="0081063C"/>
    <w:rsid w:val="00810DAD"/>
    <w:rsid w:val="0081178F"/>
    <w:rsid w:val="008117A5"/>
    <w:rsid w:val="00811C6B"/>
    <w:rsid w:val="00811DAE"/>
    <w:rsid w:val="0081206D"/>
    <w:rsid w:val="00813233"/>
    <w:rsid w:val="0081339B"/>
    <w:rsid w:val="00814121"/>
    <w:rsid w:val="008144B2"/>
    <w:rsid w:val="008144CD"/>
    <w:rsid w:val="00814AEC"/>
    <w:rsid w:val="00814C21"/>
    <w:rsid w:val="00815230"/>
    <w:rsid w:val="008154F4"/>
    <w:rsid w:val="00815577"/>
    <w:rsid w:val="00815620"/>
    <w:rsid w:val="00815672"/>
    <w:rsid w:val="00817350"/>
    <w:rsid w:val="008175E1"/>
    <w:rsid w:val="00817EB0"/>
    <w:rsid w:val="00820A92"/>
    <w:rsid w:val="00821058"/>
    <w:rsid w:val="008210B3"/>
    <w:rsid w:val="00821DA2"/>
    <w:rsid w:val="0082227B"/>
    <w:rsid w:val="008227FA"/>
    <w:rsid w:val="00822EE2"/>
    <w:rsid w:val="0082317C"/>
    <w:rsid w:val="00823397"/>
    <w:rsid w:val="00824339"/>
    <w:rsid w:val="00824C16"/>
    <w:rsid w:val="0082515C"/>
    <w:rsid w:val="00825741"/>
    <w:rsid w:val="00825756"/>
    <w:rsid w:val="00825D01"/>
    <w:rsid w:val="00825E94"/>
    <w:rsid w:val="0082641B"/>
    <w:rsid w:val="00826842"/>
    <w:rsid w:val="008273C5"/>
    <w:rsid w:val="00827652"/>
    <w:rsid w:val="0083009F"/>
    <w:rsid w:val="0083037A"/>
    <w:rsid w:val="008317AC"/>
    <w:rsid w:val="008329F8"/>
    <w:rsid w:val="00832FD9"/>
    <w:rsid w:val="00833827"/>
    <w:rsid w:val="008346D2"/>
    <w:rsid w:val="0083476D"/>
    <w:rsid w:val="00834E25"/>
    <w:rsid w:val="00835270"/>
    <w:rsid w:val="00836798"/>
    <w:rsid w:val="00836985"/>
    <w:rsid w:val="008370EB"/>
    <w:rsid w:val="00837AE7"/>
    <w:rsid w:val="008400DE"/>
    <w:rsid w:val="008402E6"/>
    <w:rsid w:val="00840A4D"/>
    <w:rsid w:val="00840D6A"/>
    <w:rsid w:val="008418DE"/>
    <w:rsid w:val="00841A5B"/>
    <w:rsid w:val="00841C4A"/>
    <w:rsid w:val="00841C5C"/>
    <w:rsid w:val="00841CEF"/>
    <w:rsid w:val="00842BF9"/>
    <w:rsid w:val="00842F79"/>
    <w:rsid w:val="008439FC"/>
    <w:rsid w:val="00843E5E"/>
    <w:rsid w:val="00843EB5"/>
    <w:rsid w:val="00845A52"/>
    <w:rsid w:val="00845ADD"/>
    <w:rsid w:val="00845CD3"/>
    <w:rsid w:val="008460D0"/>
    <w:rsid w:val="00846792"/>
    <w:rsid w:val="00846B47"/>
    <w:rsid w:val="0084705C"/>
    <w:rsid w:val="00847367"/>
    <w:rsid w:val="008476C8"/>
    <w:rsid w:val="008504F7"/>
    <w:rsid w:val="00850F4B"/>
    <w:rsid w:val="0085120C"/>
    <w:rsid w:val="008516F9"/>
    <w:rsid w:val="00852279"/>
    <w:rsid w:val="00852EEC"/>
    <w:rsid w:val="00853D63"/>
    <w:rsid w:val="00854E61"/>
    <w:rsid w:val="00855068"/>
    <w:rsid w:val="00856E8C"/>
    <w:rsid w:val="00856FDF"/>
    <w:rsid w:val="008570E4"/>
    <w:rsid w:val="008603F5"/>
    <w:rsid w:val="008606B3"/>
    <w:rsid w:val="00860724"/>
    <w:rsid w:val="00860877"/>
    <w:rsid w:val="00860A3C"/>
    <w:rsid w:val="00860F3B"/>
    <w:rsid w:val="00861C92"/>
    <w:rsid w:val="00862893"/>
    <w:rsid w:val="00862A0C"/>
    <w:rsid w:val="00863AD8"/>
    <w:rsid w:val="00863FBF"/>
    <w:rsid w:val="008648E3"/>
    <w:rsid w:val="00864CBC"/>
    <w:rsid w:val="008655E1"/>
    <w:rsid w:val="008658CD"/>
    <w:rsid w:val="008662CD"/>
    <w:rsid w:val="00866EFD"/>
    <w:rsid w:val="008672AE"/>
    <w:rsid w:val="008703EB"/>
    <w:rsid w:val="008705E3"/>
    <w:rsid w:val="00870673"/>
    <w:rsid w:val="0087167C"/>
    <w:rsid w:val="00871F01"/>
    <w:rsid w:val="0087234C"/>
    <w:rsid w:val="008726FB"/>
    <w:rsid w:val="008730A1"/>
    <w:rsid w:val="00873485"/>
    <w:rsid w:val="008734C8"/>
    <w:rsid w:val="00873B3D"/>
    <w:rsid w:val="00873DD0"/>
    <w:rsid w:val="008740CC"/>
    <w:rsid w:val="00874EAA"/>
    <w:rsid w:val="00875353"/>
    <w:rsid w:val="008763AA"/>
    <w:rsid w:val="008769A6"/>
    <w:rsid w:val="00877852"/>
    <w:rsid w:val="00877941"/>
    <w:rsid w:val="00880534"/>
    <w:rsid w:val="00880D39"/>
    <w:rsid w:val="00880FA0"/>
    <w:rsid w:val="00881B1C"/>
    <w:rsid w:val="0088286D"/>
    <w:rsid w:val="00882DDC"/>
    <w:rsid w:val="00882E05"/>
    <w:rsid w:val="00883178"/>
    <w:rsid w:val="00884D14"/>
    <w:rsid w:val="00885428"/>
    <w:rsid w:val="00885DA4"/>
    <w:rsid w:val="008868B7"/>
    <w:rsid w:val="00886C1A"/>
    <w:rsid w:val="00887995"/>
    <w:rsid w:val="00887D2A"/>
    <w:rsid w:val="00890818"/>
    <w:rsid w:val="00892A93"/>
    <w:rsid w:val="00893057"/>
    <w:rsid w:val="00894304"/>
    <w:rsid w:val="00894BC5"/>
    <w:rsid w:val="00894F68"/>
    <w:rsid w:val="00895030"/>
    <w:rsid w:val="0089548D"/>
    <w:rsid w:val="008955D1"/>
    <w:rsid w:val="00897666"/>
    <w:rsid w:val="008A0104"/>
    <w:rsid w:val="008A04B5"/>
    <w:rsid w:val="008A2388"/>
    <w:rsid w:val="008A30F4"/>
    <w:rsid w:val="008A3120"/>
    <w:rsid w:val="008A3148"/>
    <w:rsid w:val="008A37C9"/>
    <w:rsid w:val="008A4011"/>
    <w:rsid w:val="008A6334"/>
    <w:rsid w:val="008A64E6"/>
    <w:rsid w:val="008A7D8A"/>
    <w:rsid w:val="008B0DFE"/>
    <w:rsid w:val="008B1767"/>
    <w:rsid w:val="008B18A5"/>
    <w:rsid w:val="008B3132"/>
    <w:rsid w:val="008B3191"/>
    <w:rsid w:val="008B34E5"/>
    <w:rsid w:val="008B4D24"/>
    <w:rsid w:val="008B4D6B"/>
    <w:rsid w:val="008B4FBD"/>
    <w:rsid w:val="008B56FF"/>
    <w:rsid w:val="008B5896"/>
    <w:rsid w:val="008B59C5"/>
    <w:rsid w:val="008B59E0"/>
    <w:rsid w:val="008B5F02"/>
    <w:rsid w:val="008C0390"/>
    <w:rsid w:val="008C0A43"/>
    <w:rsid w:val="008C0C28"/>
    <w:rsid w:val="008C12BE"/>
    <w:rsid w:val="008C16B6"/>
    <w:rsid w:val="008C1996"/>
    <w:rsid w:val="008C1B6F"/>
    <w:rsid w:val="008C261F"/>
    <w:rsid w:val="008C285E"/>
    <w:rsid w:val="008C292A"/>
    <w:rsid w:val="008C2A19"/>
    <w:rsid w:val="008C336F"/>
    <w:rsid w:val="008C3A57"/>
    <w:rsid w:val="008C4997"/>
    <w:rsid w:val="008C5804"/>
    <w:rsid w:val="008C5F94"/>
    <w:rsid w:val="008C62FE"/>
    <w:rsid w:val="008C6AD5"/>
    <w:rsid w:val="008C7474"/>
    <w:rsid w:val="008C75B5"/>
    <w:rsid w:val="008C75BF"/>
    <w:rsid w:val="008C78A6"/>
    <w:rsid w:val="008C7980"/>
    <w:rsid w:val="008D07A8"/>
    <w:rsid w:val="008D0857"/>
    <w:rsid w:val="008D092F"/>
    <w:rsid w:val="008D0FEF"/>
    <w:rsid w:val="008D1600"/>
    <w:rsid w:val="008D1D14"/>
    <w:rsid w:val="008D2FC8"/>
    <w:rsid w:val="008D3227"/>
    <w:rsid w:val="008D3344"/>
    <w:rsid w:val="008D4645"/>
    <w:rsid w:val="008D46CA"/>
    <w:rsid w:val="008D5180"/>
    <w:rsid w:val="008D547A"/>
    <w:rsid w:val="008D585C"/>
    <w:rsid w:val="008D660A"/>
    <w:rsid w:val="008D6BFD"/>
    <w:rsid w:val="008D6CCF"/>
    <w:rsid w:val="008D6DC8"/>
    <w:rsid w:val="008E0D66"/>
    <w:rsid w:val="008E0DA1"/>
    <w:rsid w:val="008E153C"/>
    <w:rsid w:val="008E1CB2"/>
    <w:rsid w:val="008E2430"/>
    <w:rsid w:val="008E291D"/>
    <w:rsid w:val="008E2B14"/>
    <w:rsid w:val="008E2E98"/>
    <w:rsid w:val="008E31E5"/>
    <w:rsid w:val="008E3D3E"/>
    <w:rsid w:val="008E4E7F"/>
    <w:rsid w:val="008E5152"/>
    <w:rsid w:val="008E5F3C"/>
    <w:rsid w:val="008E6687"/>
    <w:rsid w:val="008E67E1"/>
    <w:rsid w:val="008E6839"/>
    <w:rsid w:val="008E7280"/>
    <w:rsid w:val="008E797E"/>
    <w:rsid w:val="008E7AED"/>
    <w:rsid w:val="008F0A23"/>
    <w:rsid w:val="008F1199"/>
    <w:rsid w:val="008F13DD"/>
    <w:rsid w:val="008F3433"/>
    <w:rsid w:val="008F3D1C"/>
    <w:rsid w:val="008F40E6"/>
    <w:rsid w:val="008F4BC5"/>
    <w:rsid w:val="008F5494"/>
    <w:rsid w:val="008F5CDF"/>
    <w:rsid w:val="008F5DA9"/>
    <w:rsid w:val="008F5FC8"/>
    <w:rsid w:val="008F60DE"/>
    <w:rsid w:val="008F6B08"/>
    <w:rsid w:val="008F79E1"/>
    <w:rsid w:val="009001F8"/>
    <w:rsid w:val="009008B4"/>
    <w:rsid w:val="0090137C"/>
    <w:rsid w:val="00902797"/>
    <w:rsid w:val="00902A4A"/>
    <w:rsid w:val="0090334B"/>
    <w:rsid w:val="009033E5"/>
    <w:rsid w:val="00903999"/>
    <w:rsid w:val="00903CE4"/>
    <w:rsid w:val="009046E7"/>
    <w:rsid w:val="00904B3B"/>
    <w:rsid w:val="00905B19"/>
    <w:rsid w:val="0090768A"/>
    <w:rsid w:val="00910207"/>
    <w:rsid w:val="0091061C"/>
    <w:rsid w:val="0091076F"/>
    <w:rsid w:val="009108A2"/>
    <w:rsid w:val="00910C3E"/>
    <w:rsid w:val="009117DA"/>
    <w:rsid w:val="00912789"/>
    <w:rsid w:val="0091317A"/>
    <w:rsid w:val="00913834"/>
    <w:rsid w:val="009142EF"/>
    <w:rsid w:val="0091454A"/>
    <w:rsid w:val="00914858"/>
    <w:rsid w:val="00914C89"/>
    <w:rsid w:val="00914F0B"/>
    <w:rsid w:val="00915218"/>
    <w:rsid w:val="00915A2F"/>
    <w:rsid w:val="00915DA2"/>
    <w:rsid w:val="00915FE5"/>
    <w:rsid w:val="00917ABA"/>
    <w:rsid w:val="00917B22"/>
    <w:rsid w:val="0092151C"/>
    <w:rsid w:val="00921ECC"/>
    <w:rsid w:val="00922008"/>
    <w:rsid w:val="009222A7"/>
    <w:rsid w:val="00922687"/>
    <w:rsid w:val="00922A8C"/>
    <w:rsid w:val="00922BA7"/>
    <w:rsid w:val="00923524"/>
    <w:rsid w:val="00923C93"/>
    <w:rsid w:val="00924C1B"/>
    <w:rsid w:val="00924C40"/>
    <w:rsid w:val="00924D6A"/>
    <w:rsid w:val="00925D0A"/>
    <w:rsid w:val="00926782"/>
    <w:rsid w:val="009269CD"/>
    <w:rsid w:val="00926A5D"/>
    <w:rsid w:val="00927027"/>
    <w:rsid w:val="00927A4E"/>
    <w:rsid w:val="00927C77"/>
    <w:rsid w:val="00927E3F"/>
    <w:rsid w:val="009301F1"/>
    <w:rsid w:val="00930330"/>
    <w:rsid w:val="00930497"/>
    <w:rsid w:val="00930CF5"/>
    <w:rsid w:val="009321EC"/>
    <w:rsid w:val="009326B2"/>
    <w:rsid w:val="00934CDB"/>
    <w:rsid w:val="00935FD6"/>
    <w:rsid w:val="0093679A"/>
    <w:rsid w:val="00936819"/>
    <w:rsid w:val="0093741D"/>
    <w:rsid w:val="00937A4A"/>
    <w:rsid w:val="009400AC"/>
    <w:rsid w:val="009401F1"/>
    <w:rsid w:val="009406C9"/>
    <w:rsid w:val="00942908"/>
    <w:rsid w:val="009437C7"/>
    <w:rsid w:val="009438F6"/>
    <w:rsid w:val="00943C7F"/>
    <w:rsid w:val="00944266"/>
    <w:rsid w:val="00944CBF"/>
    <w:rsid w:val="009452ED"/>
    <w:rsid w:val="00945D6E"/>
    <w:rsid w:val="00946700"/>
    <w:rsid w:val="009468B3"/>
    <w:rsid w:val="009469D0"/>
    <w:rsid w:val="00950C6F"/>
    <w:rsid w:val="00950FDD"/>
    <w:rsid w:val="0095134C"/>
    <w:rsid w:val="0095146E"/>
    <w:rsid w:val="009517CE"/>
    <w:rsid w:val="009518C0"/>
    <w:rsid w:val="00952717"/>
    <w:rsid w:val="00952BA5"/>
    <w:rsid w:val="00953564"/>
    <w:rsid w:val="00953DD4"/>
    <w:rsid w:val="00954A4F"/>
    <w:rsid w:val="00954B45"/>
    <w:rsid w:val="00954D64"/>
    <w:rsid w:val="00955657"/>
    <w:rsid w:val="009556CE"/>
    <w:rsid w:val="00955886"/>
    <w:rsid w:val="00955A0C"/>
    <w:rsid w:val="00956DE4"/>
    <w:rsid w:val="009575D7"/>
    <w:rsid w:val="00957DBC"/>
    <w:rsid w:val="009607A0"/>
    <w:rsid w:val="00960819"/>
    <w:rsid w:val="009608DD"/>
    <w:rsid w:val="00961363"/>
    <w:rsid w:val="009617D3"/>
    <w:rsid w:val="00961B80"/>
    <w:rsid w:val="00961D24"/>
    <w:rsid w:val="00962341"/>
    <w:rsid w:val="00962642"/>
    <w:rsid w:val="00962745"/>
    <w:rsid w:val="0096294F"/>
    <w:rsid w:val="00962C55"/>
    <w:rsid w:val="00962D89"/>
    <w:rsid w:val="0096304D"/>
    <w:rsid w:val="00963A5C"/>
    <w:rsid w:val="0096519A"/>
    <w:rsid w:val="009658EE"/>
    <w:rsid w:val="00965F70"/>
    <w:rsid w:val="00966BB8"/>
    <w:rsid w:val="00967B76"/>
    <w:rsid w:val="00967C14"/>
    <w:rsid w:val="00970FBE"/>
    <w:rsid w:val="0097145E"/>
    <w:rsid w:val="00971627"/>
    <w:rsid w:val="00971D60"/>
    <w:rsid w:val="00971DC1"/>
    <w:rsid w:val="009723C3"/>
    <w:rsid w:val="00972440"/>
    <w:rsid w:val="00972927"/>
    <w:rsid w:val="00973A38"/>
    <w:rsid w:val="00973A88"/>
    <w:rsid w:val="009740D3"/>
    <w:rsid w:val="009743C4"/>
    <w:rsid w:val="0097467E"/>
    <w:rsid w:val="00975423"/>
    <w:rsid w:val="009761A9"/>
    <w:rsid w:val="00976402"/>
    <w:rsid w:val="00976926"/>
    <w:rsid w:val="009769D5"/>
    <w:rsid w:val="00976D27"/>
    <w:rsid w:val="00976DDC"/>
    <w:rsid w:val="00976DEC"/>
    <w:rsid w:val="00976F26"/>
    <w:rsid w:val="0097789B"/>
    <w:rsid w:val="00980A72"/>
    <w:rsid w:val="00981089"/>
    <w:rsid w:val="009816CA"/>
    <w:rsid w:val="00981CB1"/>
    <w:rsid w:val="00981F0B"/>
    <w:rsid w:val="009832F9"/>
    <w:rsid w:val="00984272"/>
    <w:rsid w:val="0098437F"/>
    <w:rsid w:val="0098460E"/>
    <w:rsid w:val="00985518"/>
    <w:rsid w:val="0098572B"/>
    <w:rsid w:val="00985E6E"/>
    <w:rsid w:val="0098686D"/>
    <w:rsid w:val="00986D2C"/>
    <w:rsid w:val="0098770E"/>
    <w:rsid w:val="00987CD0"/>
    <w:rsid w:val="00991C27"/>
    <w:rsid w:val="00991F35"/>
    <w:rsid w:val="009927B9"/>
    <w:rsid w:val="00992A44"/>
    <w:rsid w:val="00993534"/>
    <w:rsid w:val="00995BA3"/>
    <w:rsid w:val="009960F7"/>
    <w:rsid w:val="00996622"/>
    <w:rsid w:val="0099788A"/>
    <w:rsid w:val="00997A56"/>
    <w:rsid w:val="009A0AB7"/>
    <w:rsid w:val="009A0B47"/>
    <w:rsid w:val="009A1068"/>
    <w:rsid w:val="009A1B83"/>
    <w:rsid w:val="009A1D9C"/>
    <w:rsid w:val="009A3DD4"/>
    <w:rsid w:val="009A5235"/>
    <w:rsid w:val="009A577B"/>
    <w:rsid w:val="009A5DD4"/>
    <w:rsid w:val="009A68C4"/>
    <w:rsid w:val="009A6AC2"/>
    <w:rsid w:val="009A7015"/>
    <w:rsid w:val="009A7217"/>
    <w:rsid w:val="009B15D6"/>
    <w:rsid w:val="009B1993"/>
    <w:rsid w:val="009B19B9"/>
    <w:rsid w:val="009B1D79"/>
    <w:rsid w:val="009B1E14"/>
    <w:rsid w:val="009B1F46"/>
    <w:rsid w:val="009B257B"/>
    <w:rsid w:val="009B2825"/>
    <w:rsid w:val="009B3B97"/>
    <w:rsid w:val="009B3F4B"/>
    <w:rsid w:val="009B478B"/>
    <w:rsid w:val="009B4D39"/>
    <w:rsid w:val="009B5074"/>
    <w:rsid w:val="009B59C0"/>
    <w:rsid w:val="009B5DDD"/>
    <w:rsid w:val="009B5E96"/>
    <w:rsid w:val="009B70A6"/>
    <w:rsid w:val="009B7A10"/>
    <w:rsid w:val="009C09BE"/>
    <w:rsid w:val="009C263F"/>
    <w:rsid w:val="009C281D"/>
    <w:rsid w:val="009C299F"/>
    <w:rsid w:val="009C2CC7"/>
    <w:rsid w:val="009C3652"/>
    <w:rsid w:val="009C3718"/>
    <w:rsid w:val="009C5C78"/>
    <w:rsid w:val="009C6429"/>
    <w:rsid w:val="009C71E9"/>
    <w:rsid w:val="009C7220"/>
    <w:rsid w:val="009D028B"/>
    <w:rsid w:val="009D04DB"/>
    <w:rsid w:val="009D0906"/>
    <w:rsid w:val="009D0A6F"/>
    <w:rsid w:val="009D118A"/>
    <w:rsid w:val="009D11BE"/>
    <w:rsid w:val="009D1341"/>
    <w:rsid w:val="009D1899"/>
    <w:rsid w:val="009D30A3"/>
    <w:rsid w:val="009D41DE"/>
    <w:rsid w:val="009D533A"/>
    <w:rsid w:val="009D57A3"/>
    <w:rsid w:val="009D5D5A"/>
    <w:rsid w:val="009D5FD4"/>
    <w:rsid w:val="009D6963"/>
    <w:rsid w:val="009D6E1E"/>
    <w:rsid w:val="009D6F89"/>
    <w:rsid w:val="009D7533"/>
    <w:rsid w:val="009E03DE"/>
    <w:rsid w:val="009E0516"/>
    <w:rsid w:val="009E1929"/>
    <w:rsid w:val="009E1E83"/>
    <w:rsid w:val="009E20E2"/>
    <w:rsid w:val="009E364E"/>
    <w:rsid w:val="009E3E8D"/>
    <w:rsid w:val="009E425F"/>
    <w:rsid w:val="009E4846"/>
    <w:rsid w:val="009E4A5E"/>
    <w:rsid w:val="009E6060"/>
    <w:rsid w:val="009E6084"/>
    <w:rsid w:val="009E6423"/>
    <w:rsid w:val="009E656A"/>
    <w:rsid w:val="009E6F25"/>
    <w:rsid w:val="009F17B3"/>
    <w:rsid w:val="009F1BD8"/>
    <w:rsid w:val="009F1ECD"/>
    <w:rsid w:val="009F1F5D"/>
    <w:rsid w:val="009F3933"/>
    <w:rsid w:val="009F40ED"/>
    <w:rsid w:val="009F42A7"/>
    <w:rsid w:val="009F479E"/>
    <w:rsid w:val="009F53B8"/>
    <w:rsid w:val="009F6322"/>
    <w:rsid w:val="009F6C13"/>
    <w:rsid w:val="009F6EB8"/>
    <w:rsid w:val="009F751E"/>
    <w:rsid w:val="00A00058"/>
    <w:rsid w:val="00A0050E"/>
    <w:rsid w:val="00A00B24"/>
    <w:rsid w:val="00A00FDF"/>
    <w:rsid w:val="00A01816"/>
    <w:rsid w:val="00A018B2"/>
    <w:rsid w:val="00A02978"/>
    <w:rsid w:val="00A03407"/>
    <w:rsid w:val="00A03A43"/>
    <w:rsid w:val="00A04966"/>
    <w:rsid w:val="00A04C0F"/>
    <w:rsid w:val="00A051DD"/>
    <w:rsid w:val="00A06084"/>
    <w:rsid w:val="00A063A0"/>
    <w:rsid w:val="00A065A7"/>
    <w:rsid w:val="00A0674D"/>
    <w:rsid w:val="00A075FB"/>
    <w:rsid w:val="00A100B3"/>
    <w:rsid w:val="00A104EE"/>
    <w:rsid w:val="00A109C6"/>
    <w:rsid w:val="00A10F2B"/>
    <w:rsid w:val="00A11269"/>
    <w:rsid w:val="00A118D6"/>
    <w:rsid w:val="00A12000"/>
    <w:rsid w:val="00A1238E"/>
    <w:rsid w:val="00A13270"/>
    <w:rsid w:val="00A1344F"/>
    <w:rsid w:val="00A13A31"/>
    <w:rsid w:val="00A13CC0"/>
    <w:rsid w:val="00A1464C"/>
    <w:rsid w:val="00A1480E"/>
    <w:rsid w:val="00A15AA0"/>
    <w:rsid w:val="00A15FFF"/>
    <w:rsid w:val="00A16091"/>
    <w:rsid w:val="00A161C8"/>
    <w:rsid w:val="00A16278"/>
    <w:rsid w:val="00A166A3"/>
    <w:rsid w:val="00A169FF"/>
    <w:rsid w:val="00A17705"/>
    <w:rsid w:val="00A20413"/>
    <w:rsid w:val="00A20A42"/>
    <w:rsid w:val="00A20B2E"/>
    <w:rsid w:val="00A2106F"/>
    <w:rsid w:val="00A21C24"/>
    <w:rsid w:val="00A22F2C"/>
    <w:rsid w:val="00A22F35"/>
    <w:rsid w:val="00A232B6"/>
    <w:rsid w:val="00A2343D"/>
    <w:rsid w:val="00A23804"/>
    <w:rsid w:val="00A23847"/>
    <w:rsid w:val="00A23B7B"/>
    <w:rsid w:val="00A246B9"/>
    <w:rsid w:val="00A24727"/>
    <w:rsid w:val="00A248D7"/>
    <w:rsid w:val="00A24A95"/>
    <w:rsid w:val="00A25915"/>
    <w:rsid w:val="00A27BE7"/>
    <w:rsid w:val="00A27EF7"/>
    <w:rsid w:val="00A30E2D"/>
    <w:rsid w:val="00A30E4D"/>
    <w:rsid w:val="00A30FA1"/>
    <w:rsid w:val="00A32487"/>
    <w:rsid w:val="00A32954"/>
    <w:rsid w:val="00A32B56"/>
    <w:rsid w:val="00A330AD"/>
    <w:rsid w:val="00A33DF5"/>
    <w:rsid w:val="00A340AE"/>
    <w:rsid w:val="00A34351"/>
    <w:rsid w:val="00A35E00"/>
    <w:rsid w:val="00A36354"/>
    <w:rsid w:val="00A36A3D"/>
    <w:rsid w:val="00A36A4A"/>
    <w:rsid w:val="00A37925"/>
    <w:rsid w:val="00A401DA"/>
    <w:rsid w:val="00A40676"/>
    <w:rsid w:val="00A410CA"/>
    <w:rsid w:val="00A415E9"/>
    <w:rsid w:val="00A416DA"/>
    <w:rsid w:val="00A41CC2"/>
    <w:rsid w:val="00A434B1"/>
    <w:rsid w:val="00A43851"/>
    <w:rsid w:val="00A438F0"/>
    <w:rsid w:val="00A43C77"/>
    <w:rsid w:val="00A440BB"/>
    <w:rsid w:val="00A444F1"/>
    <w:rsid w:val="00A44581"/>
    <w:rsid w:val="00A45036"/>
    <w:rsid w:val="00A4584C"/>
    <w:rsid w:val="00A458A5"/>
    <w:rsid w:val="00A458C1"/>
    <w:rsid w:val="00A45F9C"/>
    <w:rsid w:val="00A46717"/>
    <w:rsid w:val="00A46FF0"/>
    <w:rsid w:val="00A47014"/>
    <w:rsid w:val="00A47260"/>
    <w:rsid w:val="00A476D3"/>
    <w:rsid w:val="00A478B8"/>
    <w:rsid w:val="00A47C2C"/>
    <w:rsid w:val="00A50BB8"/>
    <w:rsid w:val="00A50D14"/>
    <w:rsid w:val="00A5178D"/>
    <w:rsid w:val="00A517E8"/>
    <w:rsid w:val="00A51CBD"/>
    <w:rsid w:val="00A51EC8"/>
    <w:rsid w:val="00A52336"/>
    <w:rsid w:val="00A52451"/>
    <w:rsid w:val="00A525C1"/>
    <w:rsid w:val="00A52BC9"/>
    <w:rsid w:val="00A53A99"/>
    <w:rsid w:val="00A53E71"/>
    <w:rsid w:val="00A5478A"/>
    <w:rsid w:val="00A55941"/>
    <w:rsid w:val="00A5598F"/>
    <w:rsid w:val="00A55A4B"/>
    <w:rsid w:val="00A55B5D"/>
    <w:rsid w:val="00A5619B"/>
    <w:rsid w:val="00A56267"/>
    <w:rsid w:val="00A5654A"/>
    <w:rsid w:val="00A57095"/>
    <w:rsid w:val="00A5730E"/>
    <w:rsid w:val="00A5745E"/>
    <w:rsid w:val="00A579EA"/>
    <w:rsid w:val="00A57F6D"/>
    <w:rsid w:val="00A6008A"/>
    <w:rsid w:val="00A601D8"/>
    <w:rsid w:val="00A60EC9"/>
    <w:rsid w:val="00A612FB"/>
    <w:rsid w:val="00A62919"/>
    <w:rsid w:val="00A634D7"/>
    <w:rsid w:val="00A6408F"/>
    <w:rsid w:val="00A64714"/>
    <w:rsid w:val="00A6549B"/>
    <w:rsid w:val="00A657E7"/>
    <w:rsid w:val="00A67231"/>
    <w:rsid w:val="00A67FA7"/>
    <w:rsid w:val="00A67FD3"/>
    <w:rsid w:val="00A7006D"/>
    <w:rsid w:val="00A701D0"/>
    <w:rsid w:val="00A7085C"/>
    <w:rsid w:val="00A71F31"/>
    <w:rsid w:val="00A71FA6"/>
    <w:rsid w:val="00A71FC8"/>
    <w:rsid w:val="00A72099"/>
    <w:rsid w:val="00A720E3"/>
    <w:rsid w:val="00A72563"/>
    <w:rsid w:val="00A72704"/>
    <w:rsid w:val="00A72936"/>
    <w:rsid w:val="00A7355A"/>
    <w:rsid w:val="00A73A4E"/>
    <w:rsid w:val="00A73F5A"/>
    <w:rsid w:val="00A744C1"/>
    <w:rsid w:val="00A7493D"/>
    <w:rsid w:val="00A74B9A"/>
    <w:rsid w:val="00A74D58"/>
    <w:rsid w:val="00A75149"/>
    <w:rsid w:val="00A75C39"/>
    <w:rsid w:val="00A7681E"/>
    <w:rsid w:val="00A7711A"/>
    <w:rsid w:val="00A77145"/>
    <w:rsid w:val="00A778CE"/>
    <w:rsid w:val="00A77C4D"/>
    <w:rsid w:val="00A77D33"/>
    <w:rsid w:val="00A8009E"/>
    <w:rsid w:val="00A81C6F"/>
    <w:rsid w:val="00A81C91"/>
    <w:rsid w:val="00A820C7"/>
    <w:rsid w:val="00A820DA"/>
    <w:rsid w:val="00A822DC"/>
    <w:rsid w:val="00A83046"/>
    <w:rsid w:val="00A83701"/>
    <w:rsid w:val="00A83ADE"/>
    <w:rsid w:val="00A83B8D"/>
    <w:rsid w:val="00A83BD3"/>
    <w:rsid w:val="00A84354"/>
    <w:rsid w:val="00A85567"/>
    <w:rsid w:val="00A860CE"/>
    <w:rsid w:val="00A861B5"/>
    <w:rsid w:val="00A865EA"/>
    <w:rsid w:val="00A86683"/>
    <w:rsid w:val="00A86745"/>
    <w:rsid w:val="00A86F23"/>
    <w:rsid w:val="00A8705F"/>
    <w:rsid w:val="00A870AA"/>
    <w:rsid w:val="00A879BB"/>
    <w:rsid w:val="00A910D1"/>
    <w:rsid w:val="00A914A2"/>
    <w:rsid w:val="00A91BE1"/>
    <w:rsid w:val="00A9285B"/>
    <w:rsid w:val="00A95AB9"/>
    <w:rsid w:val="00A95B0E"/>
    <w:rsid w:val="00A95BFB"/>
    <w:rsid w:val="00A95CE6"/>
    <w:rsid w:val="00A97353"/>
    <w:rsid w:val="00A97A6F"/>
    <w:rsid w:val="00A97B04"/>
    <w:rsid w:val="00AA003E"/>
    <w:rsid w:val="00AA0992"/>
    <w:rsid w:val="00AA0B5A"/>
    <w:rsid w:val="00AA1605"/>
    <w:rsid w:val="00AA16A4"/>
    <w:rsid w:val="00AA17C1"/>
    <w:rsid w:val="00AA1D75"/>
    <w:rsid w:val="00AA23B8"/>
    <w:rsid w:val="00AA2718"/>
    <w:rsid w:val="00AA2E9F"/>
    <w:rsid w:val="00AA3571"/>
    <w:rsid w:val="00AA3AD7"/>
    <w:rsid w:val="00AA46F9"/>
    <w:rsid w:val="00AA4838"/>
    <w:rsid w:val="00AA4ADA"/>
    <w:rsid w:val="00AA4B16"/>
    <w:rsid w:val="00AA5444"/>
    <w:rsid w:val="00AA57AF"/>
    <w:rsid w:val="00AA5D99"/>
    <w:rsid w:val="00AA5E01"/>
    <w:rsid w:val="00AA714C"/>
    <w:rsid w:val="00AA71C1"/>
    <w:rsid w:val="00AA745E"/>
    <w:rsid w:val="00AA779A"/>
    <w:rsid w:val="00AA7A99"/>
    <w:rsid w:val="00AB0190"/>
    <w:rsid w:val="00AB07F8"/>
    <w:rsid w:val="00AB07F9"/>
    <w:rsid w:val="00AB08E9"/>
    <w:rsid w:val="00AB1835"/>
    <w:rsid w:val="00AB2BB6"/>
    <w:rsid w:val="00AB2EC1"/>
    <w:rsid w:val="00AB3124"/>
    <w:rsid w:val="00AB3751"/>
    <w:rsid w:val="00AB3C99"/>
    <w:rsid w:val="00AB40C2"/>
    <w:rsid w:val="00AB436D"/>
    <w:rsid w:val="00AB4A98"/>
    <w:rsid w:val="00AB4B35"/>
    <w:rsid w:val="00AB5461"/>
    <w:rsid w:val="00AB55A4"/>
    <w:rsid w:val="00AB5732"/>
    <w:rsid w:val="00AB5C51"/>
    <w:rsid w:val="00AB686D"/>
    <w:rsid w:val="00AB6E16"/>
    <w:rsid w:val="00AB70F0"/>
    <w:rsid w:val="00AB750D"/>
    <w:rsid w:val="00AC0479"/>
    <w:rsid w:val="00AC05A4"/>
    <w:rsid w:val="00AC078B"/>
    <w:rsid w:val="00AC07B9"/>
    <w:rsid w:val="00AC0B86"/>
    <w:rsid w:val="00AC1519"/>
    <w:rsid w:val="00AC1707"/>
    <w:rsid w:val="00AC23D1"/>
    <w:rsid w:val="00AC287A"/>
    <w:rsid w:val="00AC38BA"/>
    <w:rsid w:val="00AC40CD"/>
    <w:rsid w:val="00AC4279"/>
    <w:rsid w:val="00AC437B"/>
    <w:rsid w:val="00AC6008"/>
    <w:rsid w:val="00AC6929"/>
    <w:rsid w:val="00AC6A27"/>
    <w:rsid w:val="00AC7C4B"/>
    <w:rsid w:val="00AD023E"/>
    <w:rsid w:val="00AD17C9"/>
    <w:rsid w:val="00AD1F1E"/>
    <w:rsid w:val="00AD21BF"/>
    <w:rsid w:val="00AD2597"/>
    <w:rsid w:val="00AD36E2"/>
    <w:rsid w:val="00AD3BD2"/>
    <w:rsid w:val="00AD4230"/>
    <w:rsid w:val="00AD4849"/>
    <w:rsid w:val="00AD4F5E"/>
    <w:rsid w:val="00AD538E"/>
    <w:rsid w:val="00AD53B4"/>
    <w:rsid w:val="00AD5BC0"/>
    <w:rsid w:val="00AD6259"/>
    <w:rsid w:val="00AD6CE5"/>
    <w:rsid w:val="00AD6FB9"/>
    <w:rsid w:val="00AE0134"/>
    <w:rsid w:val="00AE1384"/>
    <w:rsid w:val="00AE1580"/>
    <w:rsid w:val="00AE1F5A"/>
    <w:rsid w:val="00AE37D9"/>
    <w:rsid w:val="00AE444F"/>
    <w:rsid w:val="00AE4CB4"/>
    <w:rsid w:val="00AE5B2B"/>
    <w:rsid w:val="00AE5C7D"/>
    <w:rsid w:val="00AE6232"/>
    <w:rsid w:val="00AE6AAD"/>
    <w:rsid w:val="00AE6DD8"/>
    <w:rsid w:val="00AE7437"/>
    <w:rsid w:val="00AE793A"/>
    <w:rsid w:val="00AE7B17"/>
    <w:rsid w:val="00AF08D8"/>
    <w:rsid w:val="00AF0FAC"/>
    <w:rsid w:val="00AF16A0"/>
    <w:rsid w:val="00AF1743"/>
    <w:rsid w:val="00AF17B8"/>
    <w:rsid w:val="00AF18C7"/>
    <w:rsid w:val="00AF2132"/>
    <w:rsid w:val="00AF325A"/>
    <w:rsid w:val="00AF37E5"/>
    <w:rsid w:val="00AF4335"/>
    <w:rsid w:val="00AF4892"/>
    <w:rsid w:val="00AF4B97"/>
    <w:rsid w:val="00AF538D"/>
    <w:rsid w:val="00AF71D9"/>
    <w:rsid w:val="00B00594"/>
    <w:rsid w:val="00B005A3"/>
    <w:rsid w:val="00B00ACA"/>
    <w:rsid w:val="00B01131"/>
    <w:rsid w:val="00B013E4"/>
    <w:rsid w:val="00B01558"/>
    <w:rsid w:val="00B019E8"/>
    <w:rsid w:val="00B01F66"/>
    <w:rsid w:val="00B02D2C"/>
    <w:rsid w:val="00B02DCC"/>
    <w:rsid w:val="00B03897"/>
    <w:rsid w:val="00B0447F"/>
    <w:rsid w:val="00B046C0"/>
    <w:rsid w:val="00B04D34"/>
    <w:rsid w:val="00B053D3"/>
    <w:rsid w:val="00B0543D"/>
    <w:rsid w:val="00B05A8A"/>
    <w:rsid w:val="00B0618D"/>
    <w:rsid w:val="00B065E8"/>
    <w:rsid w:val="00B06714"/>
    <w:rsid w:val="00B0697C"/>
    <w:rsid w:val="00B06B95"/>
    <w:rsid w:val="00B071BE"/>
    <w:rsid w:val="00B077D6"/>
    <w:rsid w:val="00B07AD5"/>
    <w:rsid w:val="00B07E76"/>
    <w:rsid w:val="00B10544"/>
    <w:rsid w:val="00B1067D"/>
    <w:rsid w:val="00B1079B"/>
    <w:rsid w:val="00B10C3A"/>
    <w:rsid w:val="00B11208"/>
    <w:rsid w:val="00B11A57"/>
    <w:rsid w:val="00B12227"/>
    <w:rsid w:val="00B1316E"/>
    <w:rsid w:val="00B13444"/>
    <w:rsid w:val="00B1369E"/>
    <w:rsid w:val="00B1370A"/>
    <w:rsid w:val="00B13CB2"/>
    <w:rsid w:val="00B140A8"/>
    <w:rsid w:val="00B14342"/>
    <w:rsid w:val="00B151A7"/>
    <w:rsid w:val="00B156E1"/>
    <w:rsid w:val="00B15D75"/>
    <w:rsid w:val="00B1617C"/>
    <w:rsid w:val="00B16425"/>
    <w:rsid w:val="00B1666B"/>
    <w:rsid w:val="00B168BD"/>
    <w:rsid w:val="00B169C0"/>
    <w:rsid w:val="00B16F7E"/>
    <w:rsid w:val="00B179D5"/>
    <w:rsid w:val="00B200BC"/>
    <w:rsid w:val="00B205EC"/>
    <w:rsid w:val="00B2171A"/>
    <w:rsid w:val="00B21720"/>
    <w:rsid w:val="00B21C8A"/>
    <w:rsid w:val="00B22315"/>
    <w:rsid w:val="00B231CE"/>
    <w:rsid w:val="00B24595"/>
    <w:rsid w:val="00B248AA"/>
    <w:rsid w:val="00B24BC6"/>
    <w:rsid w:val="00B24D18"/>
    <w:rsid w:val="00B24FFA"/>
    <w:rsid w:val="00B25736"/>
    <w:rsid w:val="00B257B1"/>
    <w:rsid w:val="00B26A48"/>
    <w:rsid w:val="00B27947"/>
    <w:rsid w:val="00B303F3"/>
    <w:rsid w:val="00B30AFD"/>
    <w:rsid w:val="00B30F31"/>
    <w:rsid w:val="00B31153"/>
    <w:rsid w:val="00B316C1"/>
    <w:rsid w:val="00B31F85"/>
    <w:rsid w:val="00B3209D"/>
    <w:rsid w:val="00B320A1"/>
    <w:rsid w:val="00B32A25"/>
    <w:rsid w:val="00B33366"/>
    <w:rsid w:val="00B33611"/>
    <w:rsid w:val="00B33EF6"/>
    <w:rsid w:val="00B341EE"/>
    <w:rsid w:val="00B34796"/>
    <w:rsid w:val="00B34A15"/>
    <w:rsid w:val="00B34BCB"/>
    <w:rsid w:val="00B34D43"/>
    <w:rsid w:val="00B35647"/>
    <w:rsid w:val="00B364C7"/>
    <w:rsid w:val="00B36A29"/>
    <w:rsid w:val="00B36CF5"/>
    <w:rsid w:val="00B37342"/>
    <w:rsid w:val="00B41222"/>
    <w:rsid w:val="00B42A6D"/>
    <w:rsid w:val="00B43589"/>
    <w:rsid w:val="00B43680"/>
    <w:rsid w:val="00B43791"/>
    <w:rsid w:val="00B44844"/>
    <w:rsid w:val="00B465A4"/>
    <w:rsid w:val="00B46CC0"/>
    <w:rsid w:val="00B46D2D"/>
    <w:rsid w:val="00B47386"/>
    <w:rsid w:val="00B475E3"/>
    <w:rsid w:val="00B475FD"/>
    <w:rsid w:val="00B47E69"/>
    <w:rsid w:val="00B5048C"/>
    <w:rsid w:val="00B506A2"/>
    <w:rsid w:val="00B50AD9"/>
    <w:rsid w:val="00B50F00"/>
    <w:rsid w:val="00B5108A"/>
    <w:rsid w:val="00B52644"/>
    <w:rsid w:val="00B53709"/>
    <w:rsid w:val="00B53A2E"/>
    <w:rsid w:val="00B53AB6"/>
    <w:rsid w:val="00B53EAD"/>
    <w:rsid w:val="00B5459D"/>
    <w:rsid w:val="00B54F76"/>
    <w:rsid w:val="00B55157"/>
    <w:rsid w:val="00B552A6"/>
    <w:rsid w:val="00B558DC"/>
    <w:rsid w:val="00B56F82"/>
    <w:rsid w:val="00B574B0"/>
    <w:rsid w:val="00B60106"/>
    <w:rsid w:val="00B605FE"/>
    <w:rsid w:val="00B6065F"/>
    <w:rsid w:val="00B6067C"/>
    <w:rsid w:val="00B60A60"/>
    <w:rsid w:val="00B60D1A"/>
    <w:rsid w:val="00B61139"/>
    <w:rsid w:val="00B618C8"/>
    <w:rsid w:val="00B61A2D"/>
    <w:rsid w:val="00B62556"/>
    <w:rsid w:val="00B6258D"/>
    <w:rsid w:val="00B62B09"/>
    <w:rsid w:val="00B62F1E"/>
    <w:rsid w:val="00B630DB"/>
    <w:rsid w:val="00B63453"/>
    <w:rsid w:val="00B63607"/>
    <w:rsid w:val="00B63642"/>
    <w:rsid w:val="00B63736"/>
    <w:rsid w:val="00B63776"/>
    <w:rsid w:val="00B63792"/>
    <w:rsid w:val="00B63A1D"/>
    <w:rsid w:val="00B642CE"/>
    <w:rsid w:val="00B64F43"/>
    <w:rsid w:val="00B64F7E"/>
    <w:rsid w:val="00B651F3"/>
    <w:rsid w:val="00B65637"/>
    <w:rsid w:val="00B656EB"/>
    <w:rsid w:val="00B659DA"/>
    <w:rsid w:val="00B65D8B"/>
    <w:rsid w:val="00B6699E"/>
    <w:rsid w:val="00B66D1F"/>
    <w:rsid w:val="00B673DC"/>
    <w:rsid w:val="00B70391"/>
    <w:rsid w:val="00B717DC"/>
    <w:rsid w:val="00B719A0"/>
    <w:rsid w:val="00B727D4"/>
    <w:rsid w:val="00B728B1"/>
    <w:rsid w:val="00B72B90"/>
    <w:rsid w:val="00B7358A"/>
    <w:rsid w:val="00B738DC"/>
    <w:rsid w:val="00B73E2D"/>
    <w:rsid w:val="00B7438C"/>
    <w:rsid w:val="00B74830"/>
    <w:rsid w:val="00B7547B"/>
    <w:rsid w:val="00B754DA"/>
    <w:rsid w:val="00B75579"/>
    <w:rsid w:val="00B758C5"/>
    <w:rsid w:val="00B75A81"/>
    <w:rsid w:val="00B75AD8"/>
    <w:rsid w:val="00B75CF7"/>
    <w:rsid w:val="00B762F1"/>
    <w:rsid w:val="00B76505"/>
    <w:rsid w:val="00B76823"/>
    <w:rsid w:val="00B76EA5"/>
    <w:rsid w:val="00B7741C"/>
    <w:rsid w:val="00B77489"/>
    <w:rsid w:val="00B77F0F"/>
    <w:rsid w:val="00B8016F"/>
    <w:rsid w:val="00B8148F"/>
    <w:rsid w:val="00B8194E"/>
    <w:rsid w:val="00B81DBA"/>
    <w:rsid w:val="00B824A5"/>
    <w:rsid w:val="00B82E8E"/>
    <w:rsid w:val="00B834DE"/>
    <w:rsid w:val="00B840DB"/>
    <w:rsid w:val="00B84E3D"/>
    <w:rsid w:val="00B851F8"/>
    <w:rsid w:val="00B859B4"/>
    <w:rsid w:val="00B85E86"/>
    <w:rsid w:val="00B8612E"/>
    <w:rsid w:val="00B86155"/>
    <w:rsid w:val="00B86302"/>
    <w:rsid w:val="00B868B6"/>
    <w:rsid w:val="00B872C5"/>
    <w:rsid w:val="00B8789A"/>
    <w:rsid w:val="00B87F99"/>
    <w:rsid w:val="00B900BA"/>
    <w:rsid w:val="00B906DD"/>
    <w:rsid w:val="00B90814"/>
    <w:rsid w:val="00B916E5"/>
    <w:rsid w:val="00B91F17"/>
    <w:rsid w:val="00B936D8"/>
    <w:rsid w:val="00B93C1D"/>
    <w:rsid w:val="00B93DC4"/>
    <w:rsid w:val="00B94B12"/>
    <w:rsid w:val="00B94CF1"/>
    <w:rsid w:val="00B94D55"/>
    <w:rsid w:val="00B9543C"/>
    <w:rsid w:val="00B95745"/>
    <w:rsid w:val="00B95BA2"/>
    <w:rsid w:val="00B9698B"/>
    <w:rsid w:val="00B96D0F"/>
    <w:rsid w:val="00B973C3"/>
    <w:rsid w:val="00B97613"/>
    <w:rsid w:val="00B97856"/>
    <w:rsid w:val="00B97ED3"/>
    <w:rsid w:val="00BA0039"/>
    <w:rsid w:val="00BA03E6"/>
    <w:rsid w:val="00BA0931"/>
    <w:rsid w:val="00BA2801"/>
    <w:rsid w:val="00BA2FBE"/>
    <w:rsid w:val="00BA4BC0"/>
    <w:rsid w:val="00BA520A"/>
    <w:rsid w:val="00BA5911"/>
    <w:rsid w:val="00BA640A"/>
    <w:rsid w:val="00BA6489"/>
    <w:rsid w:val="00BA6900"/>
    <w:rsid w:val="00BA7178"/>
    <w:rsid w:val="00BA7891"/>
    <w:rsid w:val="00BA78DE"/>
    <w:rsid w:val="00BA7B91"/>
    <w:rsid w:val="00BB0AA6"/>
    <w:rsid w:val="00BB1897"/>
    <w:rsid w:val="00BB3D99"/>
    <w:rsid w:val="00BB3DDD"/>
    <w:rsid w:val="00BB441A"/>
    <w:rsid w:val="00BB4721"/>
    <w:rsid w:val="00BB57AB"/>
    <w:rsid w:val="00BB597F"/>
    <w:rsid w:val="00BB5CCE"/>
    <w:rsid w:val="00BB604B"/>
    <w:rsid w:val="00BB616B"/>
    <w:rsid w:val="00BB687B"/>
    <w:rsid w:val="00BB68A7"/>
    <w:rsid w:val="00BB7587"/>
    <w:rsid w:val="00BB7E45"/>
    <w:rsid w:val="00BC070F"/>
    <w:rsid w:val="00BC08C9"/>
    <w:rsid w:val="00BC0AA8"/>
    <w:rsid w:val="00BC110A"/>
    <w:rsid w:val="00BC1306"/>
    <w:rsid w:val="00BC178F"/>
    <w:rsid w:val="00BC195A"/>
    <w:rsid w:val="00BC1B2B"/>
    <w:rsid w:val="00BC253F"/>
    <w:rsid w:val="00BC2A40"/>
    <w:rsid w:val="00BC2D97"/>
    <w:rsid w:val="00BC4BDF"/>
    <w:rsid w:val="00BC5384"/>
    <w:rsid w:val="00BC55BA"/>
    <w:rsid w:val="00BC5BCF"/>
    <w:rsid w:val="00BC5DBD"/>
    <w:rsid w:val="00BC5E16"/>
    <w:rsid w:val="00BC6569"/>
    <w:rsid w:val="00BC6A44"/>
    <w:rsid w:val="00BC770D"/>
    <w:rsid w:val="00BC77CB"/>
    <w:rsid w:val="00BC7A59"/>
    <w:rsid w:val="00BD07B1"/>
    <w:rsid w:val="00BD2088"/>
    <w:rsid w:val="00BD211C"/>
    <w:rsid w:val="00BD24B9"/>
    <w:rsid w:val="00BD2998"/>
    <w:rsid w:val="00BD3488"/>
    <w:rsid w:val="00BD392B"/>
    <w:rsid w:val="00BD3DBF"/>
    <w:rsid w:val="00BD45AA"/>
    <w:rsid w:val="00BD5096"/>
    <w:rsid w:val="00BD53EB"/>
    <w:rsid w:val="00BD5AB8"/>
    <w:rsid w:val="00BD5FE4"/>
    <w:rsid w:val="00BD6526"/>
    <w:rsid w:val="00BD6559"/>
    <w:rsid w:val="00BD6607"/>
    <w:rsid w:val="00BD7C36"/>
    <w:rsid w:val="00BE0018"/>
    <w:rsid w:val="00BE00ED"/>
    <w:rsid w:val="00BE00FC"/>
    <w:rsid w:val="00BE03C3"/>
    <w:rsid w:val="00BE0B72"/>
    <w:rsid w:val="00BE0BED"/>
    <w:rsid w:val="00BE0E84"/>
    <w:rsid w:val="00BE122F"/>
    <w:rsid w:val="00BE181A"/>
    <w:rsid w:val="00BE20B4"/>
    <w:rsid w:val="00BE234F"/>
    <w:rsid w:val="00BE24A0"/>
    <w:rsid w:val="00BE2D7D"/>
    <w:rsid w:val="00BE34F0"/>
    <w:rsid w:val="00BE3AC6"/>
    <w:rsid w:val="00BE4A01"/>
    <w:rsid w:val="00BE4F24"/>
    <w:rsid w:val="00BE5148"/>
    <w:rsid w:val="00BE544D"/>
    <w:rsid w:val="00BE57FA"/>
    <w:rsid w:val="00BE6512"/>
    <w:rsid w:val="00BE6B16"/>
    <w:rsid w:val="00BE70B8"/>
    <w:rsid w:val="00BE73CB"/>
    <w:rsid w:val="00BE7B4B"/>
    <w:rsid w:val="00BE7B9E"/>
    <w:rsid w:val="00BE7C9A"/>
    <w:rsid w:val="00BF08A1"/>
    <w:rsid w:val="00BF1C6F"/>
    <w:rsid w:val="00BF2A45"/>
    <w:rsid w:val="00BF2C5E"/>
    <w:rsid w:val="00BF3B55"/>
    <w:rsid w:val="00BF41B3"/>
    <w:rsid w:val="00BF4359"/>
    <w:rsid w:val="00BF46C3"/>
    <w:rsid w:val="00BF5221"/>
    <w:rsid w:val="00BF5C65"/>
    <w:rsid w:val="00BF5D33"/>
    <w:rsid w:val="00BF67E4"/>
    <w:rsid w:val="00BF7100"/>
    <w:rsid w:val="00BF7453"/>
    <w:rsid w:val="00BF7B58"/>
    <w:rsid w:val="00C00E33"/>
    <w:rsid w:val="00C012E9"/>
    <w:rsid w:val="00C01A0D"/>
    <w:rsid w:val="00C01B79"/>
    <w:rsid w:val="00C023F2"/>
    <w:rsid w:val="00C0287D"/>
    <w:rsid w:val="00C033A9"/>
    <w:rsid w:val="00C0364F"/>
    <w:rsid w:val="00C04048"/>
    <w:rsid w:val="00C0435C"/>
    <w:rsid w:val="00C04B13"/>
    <w:rsid w:val="00C05CF6"/>
    <w:rsid w:val="00C07ACD"/>
    <w:rsid w:val="00C10A08"/>
    <w:rsid w:val="00C10D9E"/>
    <w:rsid w:val="00C1176D"/>
    <w:rsid w:val="00C12133"/>
    <w:rsid w:val="00C12248"/>
    <w:rsid w:val="00C122A1"/>
    <w:rsid w:val="00C1294A"/>
    <w:rsid w:val="00C16482"/>
    <w:rsid w:val="00C1654B"/>
    <w:rsid w:val="00C16D98"/>
    <w:rsid w:val="00C174BB"/>
    <w:rsid w:val="00C17650"/>
    <w:rsid w:val="00C20278"/>
    <w:rsid w:val="00C20BD2"/>
    <w:rsid w:val="00C22185"/>
    <w:rsid w:val="00C22245"/>
    <w:rsid w:val="00C22287"/>
    <w:rsid w:val="00C2228E"/>
    <w:rsid w:val="00C226FD"/>
    <w:rsid w:val="00C22AE6"/>
    <w:rsid w:val="00C22B96"/>
    <w:rsid w:val="00C22D36"/>
    <w:rsid w:val="00C234A7"/>
    <w:rsid w:val="00C23C2B"/>
    <w:rsid w:val="00C23CA5"/>
    <w:rsid w:val="00C25F47"/>
    <w:rsid w:val="00C26658"/>
    <w:rsid w:val="00C267BB"/>
    <w:rsid w:val="00C279D8"/>
    <w:rsid w:val="00C30AFB"/>
    <w:rsid w:val="00C3133E"/>
    <w:rsid w:val="00C31651"/>
    <w:rsid w:val="00C3169A"/>
    <w:rsid w:val="00C31EB6"/>
    <w:rsid w:val="00C320C9"/>
    <w:rsid w:val="00C32B72"/>
    <w:rsid w:val="00C32C6A"/>
    <w:rsid w:val="00C3368B"/>
    <w:rsid w:val="00C34815"/>
    <w:rsid w:val="00C34DD5"/>
    <w:rsid w:val="00C353A5"/>
    <w:rsid w:val="00C36135"/>
    <w:rsid w:val="00C368E4"/>
    <w:rsid w:val="00C376F7"/>
    <w:rsid w:val="00C409AE"/>
    <w:rsid w:val="00C40B23"/>
    <w:rsid w:val="00C41798"/>
    <w:rsid w:val="00C417CC"/>
    <w:rsid w:val="00C41A2D"/>
    <w:rsid w:val="00C41A46"/>
    <w:rsid w:val="00C41D2F"/>
    <w:rsid w:val="00C41EC6"/>
    <w:rsid w:val="00C4230E"/>
    <w:rsid w:val="00C42467"/>
    <w:rsid w:val="00C425C5"/>
    <w:rsid w:val="00C42A34"/>
    <w:rsid w:val="00C42CB8"/>
    <w:rsid w:val="00C42D84"/>
    <w:rsid w:val="00C435B7"/>
    <w:rsid w:val="00C43962"/>
    <w:rsid w:val="00C4438D"/>
    <w:rsid w:val="00C44E40"/>
    <w:rsid w:val="00C45842"/>
    <w:rsid w:val="00C45BC0"/>
    <w:rsid w:val="00C45DD7"/>
    <w:rsid w:val="00C473C6"/>
    <w:rsid w:val="00C4757D"/>
    <w:rsid w:val="00C47AB6"/>
    <w:rsid w:val="00C500B6"/>
    <w:rsid w:val="00C5093F"/>
    <w:rsid w:val="00C51442"/>
    <w:rsid w:val="00C516A8"/>
    <w:rsid w:val="00C519B4"/>
    <w:rsid w:val="00C51B00"/>
    <w:rsid w:val="00C51BC9"/>
    <w:rsid w:val="00C51CBA"/>
    <w:rsid w:val="00C52392"/>
    <w:rsid w:val="00C53577"/>
    <w:rsid w:val="00C53B5D"/>
    <w:rsid w:val="00C5453A"/>
    <w:rsid w:val="00C54D9D"/>
    <w:rsid w:val="00C54E72"/>
    <w:rsid w:val="00C552E8"/>
    <w:rsid w:val="00C57101"/>
    <w:rsid w:val="00C5750C"/>
    <w:rsid w:val="00C57AF6"/>
    <w:rsid w:val="00C60AF7"/>
    <w:rsid w:val="00C6212D"/>
    <w:rsid w:val="00C62BD5"/>
    <w:rsid w:val="00C62FC7"/>
    <w:rsid w:val="00C63B9D"/>
    <w:rsid w:val="00C646FF"/>
    <w:rsid w:val="00C64B88"/>
    <w:rsid w:val="00C651D9"/>
    <w:rsid w:val="00C670DB"/>
    <w:rsid w:val="00C670FE"/>
    <w:rsid w:val="00C672A9"/>
    <w:rsid w:val="00C67839"/>
    <w:rsid w:val="00C67CF0"/>
    <w:rsid w:val="00C67DBE"/>
    <w:rsid w:val="00C70130"/>
    <w:rsid w:val="00C70EE2"/>
    <w:rsid w:val="00C716E1"/>
    <w:rsid w:val="00C72035"/>
    <w:rsid w:val="00C722DA"/>
    <w:rsid w:val="00C72A9A"/>
    <w:rsid w:val="00C72C99"/>
    <w:rsid w:val="00C7344F"/>
    <w:rsid w:val="00C7464A"/>
    <w:rsid w:val="00C74942"/>
    <w:rsid w:val="00C750CE"/>
    <w:rsid w:val="00C75345"/>
    <w:rsid w:val="00C7534A"/>
    <w:rsid w:val="00C754E3"/>
    <w:rsid w:val="00C757CE"/>
    <w:rsid w:val="00C75AA4"/>
    <w:rsid w:val="00C7631C"/>
    <w:rsid w:val="00C77045"/>
    <w:rsid w:val="00C77C89"/>
    <w:rsid w:val="00C8043E"/>
    <w:rsid w:val="00C81D18"/>
    <w:rsid w:val="00C82549"/>
    <w:rsid w:val="00C83098"/>
    <w:rsid w:val="00C8323F"/>
    <w:rsid w:val="00C83451"/>
    <w:rsid w:val="00C83524"/>
    <w:rsid w:val="00C83721"/>
    <w:rsid w:val="00C83FFE"/>
    <w:rsid w:val="00C84316"/>
    <w:rsid w:val="00C8485A"/>
    <w:rsid w:val="00C84B91"/>
    <w:rsid w:val="00C85625"/>
    <w:rsid w:val="00C85B62"/>
    <w:rsid w:val="00C862CE"/>
    <w:rsid w:val="00C8667D"/>
    <w:rsid w:val="00C8669B"/>
    <w:rsid w:val="00C86F7B"/>
    <w:rsid w:val="00C8734F"/>
    <w:rsid w:val="00C87C91"/>
    <w:rsid w:val="00C87E50"/>
    <w:rsid w:val="00C87FD6"/>
    <w:rsid w:val="00C90393"/>
    <w:rsid w:val="00C905F5"/>
    <w:rsid w:val="00C9079F"/>
    <w:rsid w:val="00C90DEE"/>
    <w:rsid w:val="00C916BC"/>
    <w:rsid w:val="00C921ED"/>
    <w:rsid w:val="00C941A6"/>
    <w:rsid w:val="00C9432C"/>
    <w:rsid w:val="00C94978"/>
    <w:rsid w:val="00C95829"/>
    <w:rsid w:val="00C9597D"/>
    <w:rsid w:val="00C962B0"/>
    <w:rsid w:val="00C96466"/>
    <w:rsid w:val="00C96C23"/>
    <w:rsid w:val="00C972EF"/>
    <w:rsid w:val="00C97821"/>
    <w:rsid w:val="00C97967"/>
    <w:rsid w:val="00C97F5F"/>
    <w:rsid w:val="00CA05F1"/>
    <w:rsid w:val="00CA07AB"/>
    <w:rsid w:val="00CA14B4"/>
    <w:rsid w:val="00CA1B93"/>
    <w:rsid w:val="00CA1CDF"/>
    <w:rsid w:val="00CA2D26"/>
    <w:rsid w:val="00CA347B"/>
    <w:rsid w:val="00CA4078"/>
    <w:rsid w:val="00CA4287"/>
    <w:rsid w:val="00CA5157"/>
    <w:rsid w:val="00CA5ABF"/>
    <w:rsid w:val="00CA65CF"/>
    <w:rsid w:val="00CB0D76"/>
    <w:rsid w:val="00CB139F"/>
    <w:rsid w:val="00CB1BD6"/>
    <w:rsid w:val="00CB1FD0"/>
    <w:rsid w:val="00CB2267"/>
    <w:rsid w:val="00CB226C"/>
    <w:rsid w:val="00CB22C2"/>
    <w:rsid w:val="00CB2A74"/>
    <w:rsid w:val="00CB2B56"/>
    <w:rsid w:val="00CB3513"/>
    <w:rsid w:val="00CB3A55"/>
    <w:rsid w:val="00CB3A8B"/>
    <w:rsid w:val="00CB57DF"/>
    <w:rsid w:val="00CB793A"/>
    <w:rsid w:val="00CC0309"/>
    <w:rsid w:val="00CC0F46"/>
    <w:rsid w:val="00CC112D"/>
    <w:rsid w:val="00CC1BDD"/>
    <w:rsid w:val="00CC269E"/>
    <w:rsid w:val="00CC2D58"/>
    <w:rsid w:val="00CC332C"/>
    <w:rsid w:val="00CC3800"/>
    <w:rsid w:val="00CC39D0"/>
    <w:rsid w:val="00CC45FF"/>
    <w:rsid w:val="00CC526C"/>
    <w:rsid w:val="00CC53E2"/>
    <w:rsid w:val="00CC56B9"/>
    <w:rsid w:val="00CC58BE"/>
    <w:rsid w:val="00CC59DC"/>
    <w:rsid w:val="00CC5C79"/>
    <w:rsid w:val="00CC5FBF"/>
    <w:rsid w:val="00CC679E"/>
    <w:rsid w:val="00CC6E32"/>
    <w:rsid w:val="00CC7991"/>
    <w:rsid w:val="00CD02DB"/>
    <w:rsid w:val="00CD0373"/>
    <w:rsid w:val="00CD075E"/>
    <w:rsid w:val="00CD11FB"/>
    <w:rsid w:val="00CD12B6"/>
    <w:rsid w:val="00CD1501"/>
    <w:rsid w:val="00CD1A66"/>
    <w:rsid w:val="00CD1B30"/>
    <w:rsid w:val="00CD32B5"/>
    <w:rsid w:val="00CD3718"/>
    <w:rsid w:val="00CD381D"/>
    <w:rsid w:val="00CD3A85"/>
    <w:rsid w:val="00CD4DAE"/>
    <w:rsid w:val="00CD4EAF"/>
    <w:rsid w:val="00CD548C"/>
    <w:rsid w:val="00CD55F9"/>
    <w:rsid w:val="00CD5986"/>
    <w:rsid w:val="00CE1064"/>
    <w:rsid w:val="00CE1C30"/>
    <w:rsid w:val="00CE1F8C"/>
    <w:rsid w:val="00CE27BD"/>
    <w:rsid w:val="00CE2A54"/>
    <w:rsid w:val="00CE2F74"/>
    <w:rsid w:val="00CE30E8"/>
    <w:rsid w:val="00CE416D"/>
    <w:rsid w:val="00CE47BD"/>
    <w:rsid w:val="00CE549A"/>
    <w:rsid w:val="00CE5A22"/>
    <w:rsid w:val="00CE5A6C"/>
    <w:rsid w:val="00CE60D4"/>
    <w:rsid w:val="00CE627A"/>
    <w:rsid w:val="00CE6F47"/>
    <w:rsid w:val="00CE7A34"/>
    <w:rsid w:val="00CE7AC3"/>
    <w:rsid w:val="00CE7CA0"/>
    <w:rsid w:val="00CF0158"/>
    <w:rsid w:val="00CF062B"/>
    <w:rsid w:val="00CF0F34"/>
    <w:rsid w:val="00CF1C54"/>
    <w:rsid w:val="00CF2C97"/>
    <w:rsid w:val="00CF46D6"/>
    <w:rsid w:val="00CF4811"/>
    <w:rsid w:val="00CF4A97"/>
    <w:rsid w:val="00CF6642"/>
    <w:rsid w:val="00CF6AD1"/>
    <w:rsid w:val="00CF6D81"/>
    <w:rsid w:val="00CF7579"/>
    <w:rsid w:val="00CF779A"/>
    <w:rsid w:val="00CF7D8F"/>
    <w:rsid w:val="00D00AEC"/>
    <w:rsid w:val="00D00E77"/>
    <w:rsid w:val="00D01D3F"/>
    <w:rsid w:val="00D027C6"/>
    <w:rsid w:val="00D02934"/>
    <w:rsid w:val="00D03956"/>
    <w:rsid w:val="00D03B46"/>
    <w:rsid w:val="00D050FF"/>
    <w:rsid w:val="00D0552C"/>
    <w:rsid w:val="00D05B8C"/>
    <w:rsid w:val="00D06888"/>
    <w:rsid w:val="00D068C9"/>
    <w:rsid w:val="00D06AB3"/>
    <w:rsid w:val="00D06DE9"/>
    <w:rsid w:val="00D07405"/>
    <w:rsid w:val="00D07441"/>
    <w:rsid w:val="00D07AAF"/>
    <w:rsid w:val="00D07E97"/>
    <w:rsid w:val="00D10428"/>
    <w:rsid w:val="00D10552"/>
    <w:rsid w:val="00D10A86"/>
    <w:rsid w:val="00D10C70"/>
    <w:rsid w:val="00D114D1"/>
    <w:rsid w:val="00D119E5"/>
    <w:rsid w:val="00D11BB4"/>
    <w:rsid w:val="00D13675"/>
    <w:rsid w:val="00D1381C"/>
    <w:rsid w:val="00D13A0C"/>
    <w:rsid w:val="00D144F7"/>
    <w:rsid w:val="00D1473A"/>
    <w:rsid w:val="00D16524"/>
    <w:rsid w:val="00D1775C"/>
    <w:rsid w:val="00D178C6"/>
    <w:rsid w:val="00D20497"/>
    <w:rsid w:val="00D205D1"/>
    <w:rsid w:val="00D206E2"/>
    <w:rsid w:val="00D20844"/>
    <w:rsid w:val="00D21EE3"/>
    <w:rsid w:val="00D22538"/>
    <w:rsid w:val="00D22858"/>
    <w:rsid w:val="00D228FC"/>
    <w:rsid w:val="00D22A23"/>
    <w:rsid w:val="00D231D6"/>
    <w:rsid w:val="00D23351"/>
    <w:rsid w:val="00D23620"/>
    <w:rsid w:val="00D2365F"/>
    <w:rsid w:val="00D23C9F"/>
    <w:rsid w:val="00D25549"/>
    <w:rsid w:val="00D256D3"/>
    <w:rsid w:val="00D26073"/>
    <w:rsid w:val="00D26340"/>
    <w:rsid w:val="00D266BC"/>
    <w:rsid w:val="00D27B7E"/>
    <w:rsid w:val="00D27CCD"/>
    <w:rsid w:val="00D303FB"/>
    <w:rsid w:val="00D3073E"/>
    <w:rsid w:val="00D3083A"/>
    <w:rsid w:val="00D30C61"/>
    <w:rsid w:val="00D317A8"/>
    <w:rsid w:val="00D3207C"/>
    <w:rsid w:val="00D33D05"/>
    <w:rsid w:val="00D33E99"/>
    <w:rsid w:val="00D3404B"/>
    <w:rsid w:val="00D343B7"/>
    <w:rsid w:val="00D3588D"/>
    <w:rsid w:val="00D363DA"/>
    <w:rsid w:val="00D365EB"/>
    <w:rsid w:val="00D366E1"/>
    <w:rsid w:val="00D36A24"/>
    <w:rsid w:val="00D36CDD"/>
    <w:rsid w:val="00D36EC9"/>
    <w:rsid w:val="00D370F8"/>
    <w:rsid w:val="00D37301"/>
    <w:rsid w:val="00D403D9"/>
    <w:rsid w:val="00D410DB"/>
    <w:rsid w:val="00D41615"/>
    <w:rsid w:val="00D41B8D"/>
    <w:rsid w:val="00D425F5"/>
    <w:rsid w:val="00D4266B"/>
    <w:rsid w:val="00D4274E"/>
    <w:rsid w:val="00D44DB0"/>
    <w:rsid w:val="00D44DBF"/>
    <w:rsid w:val="00D453AD"/>
    <w:rsid w:val="00D4583E"/>
    <w:rsid w:val="00D46D7C"/>
    <w:rsid w:val="00D471F2"/>
    <w:rsid w:val="00D4758B"/>
    <w:rsid w:val="00D47B6C"/>
    <w:rsid w:val="00D47FDF"/>
    <w:rsid w:val="00D509E1"/>
    <w:rsid w:val="00D5186D"/>
    <w:rsid w:val="00D51CF6"/>
    <w:rsid w:val="00D51F29"/>
    <w:rsid w:val="00D5235F"/>
    <w:rsid w:val="00D52569"/>
    <w:rsid w:val="00D52D3D"/>
    <w:rsid w:val="00D5385B"/>
    <w:rsid w:val="00D53D41"/>
    <w:rsid w:val="00D54403"/>
    <w:rsid w:val="00D55A58"/>
    <w:rsid w:val="00D55A7A"/>
    <w:rsid w:val="00D5637A"/>
    <w:rsid w:val="00D568FF"/>
    <w:rsid w:val="00D5700A"/>
    <w:rsid w:val="00D570C6"/>
    <w:rsid w:val="00D5729C"/>
    <w:rsid w:val="00D57350"/>
    <w:rsid w:val="00D57BD3"/>
    <w:rsid w:val="00D61016"/>
    <w:rsid w:val="00D619FB"/>
    <w:rsid w:val="00D61B40"/>
    <w:rsid w:val="00D61C2F"/>
    <w:rsid w:val="00D622B7"/>
    <w:rsid w:val="00D627B9"/>
    <w:rsid w:val="00D627D5"/>
    <w:rsid w:val="00D62C12"/>
    <w:rsid w:val="00D638E2"/>
    <w:rsid w:val="00D644E1"/>
    <w:rsid w:val="00D648B7"/>
    <w:rsid w:val="00D65C81"/>
    <w:rsid w:val="00D66411"/>
    <w:rsid w:val="00D66C85"/>
    <w:rsid w:val="00D676AF"/>
    <w:rsid w:val="00D70C59"/>
    <w:rsid w:val="00D7114A"/>
    <w:rsid w:val="00D71F59"/>
    <w:rsid w:val="00D72790"/>
    <w:rsid w:val="00D728B2"/>
    <w:rsid w:val="00D72E19"/>
    <w:rsid w:val="00D7333E"/>
    <w:rsid w:val="00D73D28"/>
    <w:rsid w:val="00D74B62"/>
    <w:rsid w:val="00D7512C"/>
    <w:rsid w:val="00D75650"/>
    <w:rsid w:val="00D75B48"/>
    <w:rsid w:val="00D75D30"/>
    <w:rsid w:val="00D75F54"/>
    <w:rsid w:val="00D760AF"/>
    <w:rsid w:val="00D767A3"/>
    <w:rsid w:val="00D80169"/>
    <w:rsid w:val="00D80985"/>
    <w:rsid w:val="00D80B9C"/>
    <w:rsid w:val="00D80BC6"/>
    <w:rsid w:val="00D8114C"/>
    <w:rsid w:val="00D818D1"/>
    <w:rsid w:val="00D821A3"/>
    <w:rsid w:val="00D82C1A"/>
    <w:rsid w:val="00D83C5E"/>
    <w:rsid w:val="00D848D3"/>
    <w:rsid w:val="00D856F9"/>
    <w:rsid w:val="00D859F9"/>
    <w:rsid w:val="00D85A66"/>
    <w:rsid w:val="00D87530"/>
    <w:rsid w:val="00D87EC7"/>
    <w:rsid w:val="00D90CE0"/>
    <w:rsid w:val="00D9108F"/>
    <w:rsid w:val="00D913D0"/>
    <w:rsid w:val="00D9174B"/>
    <w:rsid w:val="00D91F05"/>
    <w:rsid w:val="00D923BC"/>
    <w:rsid w:val="00D92A5C"/>
    <w:rsid w:val="00D932D0"/>
    <w:rsid w:val="00D93435"/>
    <w:rsid w:val="00D93B4B"/>
    <w:rsid w:val="00D93F83"/>
    <w:rsid w:val="00D93F8E"/>
    <w:rsid w:val="00D94741"/>
    <w:rsid w:val="00D95B11"/>
    <w:rsid w:val="00D963C3"/>
    <w:rsid w:val="00D96620"/>
    <w:rsid w:val="00DA077C"/>
    <w:rsid w:val="00DA18E2"/>
    <w:rsid w:val="00DA2FEC"/>
    <w:rsid w:val="00DA33D5"/>
    <w:rsid w:val="00DA3688"/>
    <w:rsid w:val="00DA42C1"/>
    <w:rsid w:val="00DA4393"/>
    <w:rsid w:val="00DA4601"/>
    <w:rsid w:val="00DA54D9"/>
    <w:rsid w:val="00DA5966"/>
    <w:rsid w:val="00DA5A52"/>
    <w:rsid w:val="00DA60CA"/>
    <w:rsid w:val="00DA66AD"/>
    <w:rsid w:val="00DA679A"/>
    <w:rsid w:val="00DA6960"/>
    <w:rsid w:val="00DA6BB7"/>
    <w:rsid w:val="00DB020C"/>
    <w:rsid w:val="00DB0BA6"/>
    <w:rsid w:val="00DB1AE6"/>
    <w:rsid w:val="00DB201B"/>
    <w:rsid w:val="00DB2446"/>
    <w:rsid w:val="00DB2A12"/>
    <w:rsid w:val="00DB2F5B"/>
    <w:rsid w:val="00DB305D"/>
    <w:rsid w:val="00DB3127"/>
    <w:rsid w:val="00DB3224"/>
    <w:rsid w:val="00DB3255"/>
    <w:rsid w:val="00DB373D"/>
    <w:rsid w:val="00DB3C69"/>
    <w:rsid w:val="00DB47E3"/>
    <w:rsid w:val="00DB5120"/>
    <w:rsid w:val="00DB5D41"/>
    <w:rsid w:val="00DB6263"/>
    <w:rsid w:val="00DB63AE"/>
    <w:rsid w:val="00DB6A79"/>
    <w:rsid w:val="00DB7930"/>
    <w:rsid w:val="00DC00ED"/>
    <w:rsid w:val="00DC05FD"/>
    <w:rsid w:val="00DC082F"/>
    <w:rsid w:val="00DC2280"/>
    <w:rsid w:val="00DC25FF"/>
    <w:rsid w:val="00DC2991"/>
    <w:rsid w:val="00DC30C4"/>
    <w:rsid w:val="00DC4910"/>
    <w:rsid w:val="00DC5357"/>
    <w:rsid w:val="00DC543D"/>
    <w:rsid w:val="00DC55F2"/>
    <w:rsid w:val="00DC5C0B"/>
    <w:rsid w:val="00DC5DCA"/>
    <w:rsid w:val="00DC6014"/>
    <w:rsid w:val="00DC63C2"/>
    <w:rsid w:val="00DC71DB"/>
    <w:rsid w:val="00DC7286"/>
    <w:rsid w:val="00DC78CF"/>
    <w:rsid w:val="00DD000D"/>
    <w:rsid w:val="00DD00C2"/>
    <w:rsid w:val="00DD01F5"/>
    <w:rsid w:val="00DD0447"/>
    <w:rsid w:val="00DD05C1"/>
    <w:rsid w:val="00DD05E3"/>
    <w:rsid w:val="00DD0699"/>
    <w:rsid w:val="00DD071D"/>
    <w:rsid w:val="00DD0B75"/>
    <w:rsid w:val="00DD129E"/>
    <w:rsid w:val="00DD1A1D"/>
    <w:rsid w:val="00DD1F04"/>
    <w:rsid w:val="00DD25F8"/>
    <w:rsid w:val="00DD270F"/>
    <w:rsid w:val="00DD2801"/>
    <w:rsid w:val="00DD2B67"/>
    <w:rsid w:val="00DD3FEB"/>
    <w:rsid w:val="00DD493F"/>
    <w:rsid w:val="00DD4BAA"/>
    <w:rsid w:val="00DD4E94"/>
    <w:rsid w:val="00DD50A3"/>
    <w:rsid w:val="00DD51FC"/>
    <w:rsid w:val="00DD58E3"/>
    <w:rsid w:val="00DD59DF"/>
    <w:rsid w:val="00DD6124"/>
    <w:rsid w:val="00DD63E4"/>
    <w:rsid w:val="00DD65C5"/>
    <w:rsid w:val="00DD73E6"/>
    <w:rsid w:val="00DD7558"/>
    <w:rsid w:val="00DE0839"/>
    <w:rsid w:val="00DE247D"/>
    <w:rsid w:val="00DE2D25"/>
    <w:rsid w:val="00DE3123"/>
    <w:rsid w:val="00DE39FB"/>
    <w:rsid w:val="00DE4200"/>
    <w:rsid w:val="00DE4EB5"/>
    <w:rsid w:val="00DE60A3"/>
    <w:rsid w:val="00DE614E"/>
    <w:rsid w:val="00DE61AD"/>
    <w:rsid w:val="00DE7004"/>
    <w:rsid w:val="00DE7951"/>
    <w:rsid w:val="00DE7CC8"/>
    <w:rsid w:val="00DE7D57"/>
    <w:rsid w:val="00DF04FE"/>
    <w:rsid w:val="00DF0687"/>
    <w:rsid w:val="00DF0909"/>
    <w:rsid w:val="00DF0971"/>
    <w:rsid w:val="00DF0A38"/>
    <w:rsid w:val="00DF0E3C"/>
    <w:rsid w:val="00DF1B10"/>
    <w:rsid w:val="00DF1E47"/>
    <w:rsid w:val="00DF2232"/>
    <w:rsid w:val="00DF3206"/>
    <w:rsid w:val="00DF3D64"/>
    <w:rsid w:val="00DF4C82"/>
    <w:rsid w:val="00DF4F51"/>
    <w:rsid w:val="00DF60E0"/>
    <w:rsid w:val="00DF615E"/>
    <w:rsid w:val="00DF7518"/>
    <w:rsid w:val="00DF78B1"/>
    <w:rsid w:val="00DF7EEB"/>
    <w:rsid w:val="00DF7FDB"/>
    <w:rsid w:val="00E011B8"/>
    <w:rsid w:val="00E031C9"/>
    <w:rsid w:val="00E03BA8"/>
    <w:rsid w:val="00E03D72"/>
    <w:rsid w:val="00E03EE3"/>
    <w:rsid w:val="00E04A67"/>
    <w:rsid w:val="00E0534B"/>
    <w:rsid w:val="00E05675"/>
    <w:rsid w:val="00E05D45"/>
    <w:rsid w:val="00E06C9B"/>
    <w:rsid w:val="00E07612"/>
    <w:rsid w:val="00E0777C"/>
    <w:rsid w:val="00E07CBA"/>
    <w:rsid w:val="00E116DB"/>
    <w:rsid w:val="00E11CA3"/>
    <w:rsid w:val="00E12237"/>
    <w:rsid w:val="00E12B71"/>
    <w:rsid w:val="00E13D90"/>
    <w:rsid w:val="00E14496"/>
    <w:rsid w:val="00E1476F"/>
    <w:rsid w:val="00E14966"/>
    <w:rsid w:val="00E149E1"/>
    <w:rsid w:val="00E14A2C"/>
    <w:rsid w:val="00E14A8A"/>
    <w:rsid w:val="00E15130"/>
    <w:rsid w:val="00E15E88"/>
    <w:rsid w:val="00E16047"/>
    <w:rsid w:val="00E1676D"/>
    <w:rsid w:val="00E168BA"/>
    <w:rsid w:val="00E16CCA"/>
    <w:rsid w:val="00E1732C"/>
    <w:rsid w:val="00E179B4"/>
    <w:rsid w:val="00E20216"/>
    <w:rsid w:val="00E226C0"/>
    <w:rsid w:val="00E23787"/>
    <w:rsid w:val="00E238A1"/>
    <w:rsid w:val="00E23F40"/>
    <w:rsid w:val="00E243E6"/>
    <w:rsid w:val="00E24F8D"/>
    <w:rsid w:val="00E25510"/>
    <w:rsid w:val="00E25CC7"/>
    <w:rsid w:val="00E263E0"/>
    <w:rsid w:val="00E26505"/>
    <w:rsid w:val="00E267D8"/>
    <w:rsid w:val="00E26CBD"/>
    <w:rsid w:val="00E26DBB"/>
    <w:rsid w:val="00E279C2"/>
    <w:rsid w:val="00E31159"/>
    <w:rsid w:val="00E3179E"/>
    <w:rsid w:val="00E32D45"/>
    <w:rsid w:val="00E342D1"/>
    <w:rsid w:val="00E343FF"/>
    <w:rsid w:val="00E34F70"/>
    <w:rsid w:val="00E3512D"/>
    <w:rsid w:val="00E3540C"/>
    <w:rsid w:val="00E359E3"/>
    <w:rsid w:val="00E35DEA"/>
    <w:rsid w:val="00E35E62"/>
    <w:rsid w:val="00E370D3"/>
    <w:rsid w:val="00E370F2"/>
    <w:rsid w:val="00E37E60"/>
    <w:rsid w:val="00E40075"/>
    <w:rsid w:val="00E40368"/>
    <w:rsid w:val="00E406C2"/>
    <w:rsid w:val="00E4131F"/>
    <w:rsid w:val="00E41ADE"/>
    <w:rsid w:val="00E41D0D"/>
    <w:rsid w:val="00E4260D"/>
    <w:rsid w:val="00E4514F"/>
    <w:rsid w:val="00E45854"/>
    <w:rsid w:val="00E46009"/>
    <w:rsid w:val="00E46B6C"/>
    <w:rsid w:val="00E46BC5"/>
    <w:rsid w:val="00E470B6"/>
    <w:rsid w:val="00E47610"/>
    <w:rsid w:val="00E4776C"/>
    <w:rsid w:val="00E502C3"/>
    <w:rsid w:val="00E507A7"/>
    <w:rsid w:val="00E50984"/>
    <w:rsid w:val="00E51DB0"/>
    <w:rsid w:val="00E51EF6"/>
    <w:rsid w:val="00E52C49"/>
    <w:rsid w:val="00E534EA"/>
    <w:rsid w:val="00E53AA9"/>
    <w:rsid w:val="00E54BFF"/>
    <w:rsid w:val="00E5547C"/>
    <w:rsid w:val="00E56140"/>
    <w:rsid w:val="00E607AE"/>
    <w:rsid w:val="00E60976"/>
    <w:rsid w:val="00E60EA4"/>
    <w:rsid w:val="00E610F6"/>
    <w:rsid w:val="00E61787"/>
    <w:rsid w:val="00E61BAD"/>
    <w:rsid w:val="00E61E50"/>
    <w:rsid w:val="00E620EF"/>
    <w:rsid w:val="00E62393"/>
    <w:rsid w:val="00E62AC4"/>
    <w:rsid w:val="00E62E55"/>
    <w:rsid w:val="00E63BDB"/>
    <w:rsid w:val="00E643B1"/>
    <w:rsid w:val="00E648CE"/>
    <w:rsid w:val="00E64972"/>
    <w:rsid w:val="00E6578B"/>
    <w:rsid w:val="00E674F7"/>
    <w:rsid w:val="00E67CBE"/>
    <w:rsid w:val="00E706DA"/>
    <w:rsid w:val="00E71E97"/>
    <w:rsid w:val="00E723C1"/>
    <w:rsid w:val="00E72468"/>
    <w:rsid w:val="00E725FA"/>
    <w:rsid w:val="00E72E99"/>
    <w:rsid w:val="00E73354"/>
    <w:rsid w:val="00E73364"/>
    <w:rsid w:val="00E73493"/>
    <w:rsid w:val="00E74048"/>
    <w:rsid w:val="00E742A1"/>
    <w:rsid w:val="00E74664"/>
    <w:rsid w:val="00E75489"/>
    <w:rsid w:val="00E77137"/>
    <w:rsid w:val="00E77661"/>
    <w:rsid w:val="00E816B4"/>
    <w:rsid w:val="00E81792"/>
    <w:rsid w:val="00E82EDF"/>
    <w:rsid w:val="00E83225"/>
    <w:rsid w:val="00E83AAC"/>
    <w:rsid w:val="00E84313"/>
    <w:rsid w:val="00E84364"/>
    <w:rsid w:val="00E844A1"/>
    <w:rsid w:val="00E84DB7"/>
    <w:rsid w:val="00E85A88"/>
    <w:rsid w:val="00E85F90"/>
    <w:rsid w:val="00E8686F"/>
    <w:rsid w:val="00E86D2A"/>
    <w:rsid w:val="00E86FA8"/>
    <w:rsid w:val="00E87009"/>
    <w:rsid w:val="00E87CB6"/>
    <w:rsid w:val="00E90F27"/>
    <w:rsid w:val="00E90FA3"/>
    <w:rsid w:val="00E91034"/>
    <w:rsid w:val="00E91AB2"/>
    <w:rsid w:val="00E91E60"/>
    <w:rsid w:val="00E91F72"/>
    <w:rsid w:val="00E9294F"/>
    <w:rsid w:val="00E931A2"/>
    <w:rsid w:val="00E93E79"/>
    <w:rsid w:val="00E9451A"/>
    <w:rsid w:val="00E95C3B"/>
    <w:rsid w:val="00E966F2"/>
    <w:rsid w:val="00E97029"/>
    <w:rsid w:val="00E9797B"/>
    <w:rsid w:val="00EA02B0"/>
    <w:rsid w:val="00EA0421"/>
    <w:rsid w:val="00EA0956"/>
    <w:rsid w:val="00EA09C2"/>
    <w:rsid w:val="00EA18CE"/>
    <w:rsid w:val="00EA18E5"/>
    <w:rsid w:val="00EA1BEF"/>
    <w:rsid w:val="00EA1EF6"/>
    <w:rsid w:val="00EA311E"/>
    <w:rsid w:val="00EA36CF"/>
    <w:rsid w:val="00EA36DA"/>
    <w:rsid w:val="00EA398E"/>
    <w:rsid w:val="00EA44D1"/>
    <w:rsid w:val="00EA4633"/>
    <w:rsid w:val="00EA51BC"/>
    <w:rsid w:val="00EA5730"/>
    <w:rsid w:val="00EA59E5"/>
    <w:rsid w:val="00EA6156"/>
    <w:rsid w:val="00EA62D7"/>
    <w:rsid w:val="00EA670A"/>
    <w:rsid w:val="00EA6DB3"/>
    <w:rsid w:val="00EA7743"/>
    <w:rsid w:val="00EB0E30"/>
    <w:rsid w:val="00EB1260"/>
    <w:rsid w:val="00EB1585"/>
    <w:rsid w:val="00EB1B43"/>
    <w:rsid w:val="00EB2156"/>
    <w:rsid w:val="00EB2507"/>
    <w:rsid w:val="00EB2715"/>
    <w:rsid w:val="00EB2E82"/>
    <w:rsid w:val="00EB2EE5"/>
    <w:rsid w:val="00EB3002"/>
    <w:rsid w:val="00EB38A2"/>
    <w:rsid w:val="00EB444B"/>
    <w:rsid w:val="00EB45AB"/>
    <w:rsid w:val="00EB46FE"/>
    <w:rsid w:val="00EB4F2E"/>
    <w:rsid w:val="00EB514D"/>
    <w:rsid w:val="00EB5FBD"/>
    <w:rsid w:val="00EB6306"/>
    <w:rsid w:val="00EB6FF7"/>
    <w:rsid w:val="00EB70C5"/>
    <w:rsid w:val="00EB787E"/>
    <w:rsid w:val="00EB7A5D"/>
    <w:rsid w:val="00EB7A8F"/>
    <w:rsid w:val="00EB7C1E"/>
    <w:rsid w:val="00EB7E40"/>
    <w:rsid w:val="00EC036A"/>
    <w:rsid w:val="00EC06D3"/>
    <w:rsid w:val="00EC219F"/>
    <w:rsid w:val="00EC2495"/>
    <w:rsid w:val="00EC30BF"/>
    <w:rsid w:val="00EC32E9"/>
    <w:rsid w:val="00EC4640"/>
    <w:rsid w:val="00EC48B9"/>
    <w:rsid w:val="00EC4B58"/>
    <w:rsid w:val="00EC4E85"/>
    <w:rsid w:val="00EC4EB0"/>
    <w:rsid w:val="00EC6DE3"/>
    <w:rsid w:val="00EC6E7D"/>
    <w:rsid w:val="00EC76D7"/>
    <w:rsid w:val="00EC787C"/>
    <w:rsid w:val="00ED0447"/>
    <w:rsid w:val="00ED049C"/>
    <w:rsid w:val="00ED0539"/>
    <w:rsid w:val="00ED229A"/>
    <w:rsid w:val="00ED2571"/>
    <w:rsid w:val="00ED27FF"/>
    <w:rsid w:val="00ED2ABB"/>
    <w:rsid w:val="00ED2BB5"/>
    <w:rsid w:val="00ED3577"/>
    <w:rsid w:val="00ED39F6"/>
    <w:rsid w:val="00ED49CF"/>
    <w:rsid w:val="00ED5886"/>
    <w:rsid w:val="00ED61EB"/>
    <w:rsid w:val="00ED6A79"/>
    <w:rsid w:val="00ED6C87"/>
    <w:rsid w:val="00ED6CDE"/>
    <w:rsid w:val="00ED7373"/>
    <w:rsid w:val="00ED7504"/>
    <w:rsid w:val="00ED7AD5"/>
    <w:rsid w:val="00EE03A2"/>
    <w:rsid w:val="00EE0898"/>
    <w:rsid w:val="00EE1AED"/>
    <w:rsid w:val="00EE1B14"/>
    <w:rsid w:val="00EE2392"/>
    <w:rsid w:val="00EE3D26"/>
    <w:rsid w:val="00EE48A5"/>
    <w:rsid w:val="00EE4C8B"/>
    <w:rsid w:val="00EE4D7B"/>
    <w:rsid w:val="00EE5080"/>
    <w:rsid w:val="00EE6091"/>
    <w:rsid w:val="00EE652C"/>
    <w:rsid w:val="00EE6E4B"/>
    <w:rsid w:val="00EE70E2"/>
    <w:rsid w:val="00EE761F"/>
    <w:rsid w:val="00EE79AD"/>
    <w:rsid w:val="00EE79E5"/>
    <w:rsid w:val="00EF0F48"/>
    <w:rsid w:val="00EF1072"/>
    <w:rsid w:val="00EF137B"/>
    <w:rsid w:val="00EF1738"/>
    <w:rsid w:val="00EF1AD8"/>
    <w:rsid w:val="00EF21EA"/>
    <w:rsid w:val="00EF2D01"/>
    <w:rsid w:val="00EF2DF8"/>
    <w:rsid w:val="00EF31FC"/>
    <w:rsid w:val="00EF4475"/>
    <w:rsid w:val="00EF4D33"/>
    <w:rsid w:val="00EF4EB6"/>
    <w:rsid w:val="00EF51CA"/>
    <w:rsid w:val="00EF5B68"/>
    <w:rsid w:val="00EF6B26"/>
    <w:rsid w:val="00EF7991"/>
    <w:rsid w:val="00F001D3"/>
    <w:rsid w:val="00F00519"/>
    <w:rsid w:val="00F005F1"/>
    <w:rsid w:val="00F00701"/>
    <w:rsid w:val="00F0082C"/>
    <w:rsid w:val="00F01862"/>
    <w:rsid w:val="00F01AE6"/>
    <w:rsid w:val="00F01FDF"/>
    <w:rsid w:val="00F0243E"/>
    <w:rsid w:val="00F02960"/>
    <w:rsid w:val="00F0319B"/>
    <w:rsid w:val="00F0354E"/>
    <w:rsid w:val="00F0392A"/>
    <w:rsid w:val="00F039BC"/>
    <w:rsid w:val="00F04559"/>
    <w:rsid w:val="00F04E79"/>
    <w:rsid w:val="00F04F8E"/>
    <w:rsid w:val="00F05217"/>
    <w:rsid w:val="00F0543A"/>
    <w:rsid w:val="00F05F3B"/>
    <w:rsid w:val="00F06DB5"/>
    <w:rsid w:val="00F07144"/>
    <w:rsid w:val="00F074B5"/>
    <w:rsid w:val="00F07547"/>
    <w:rsid w:val="00F0763A"/>
    <w:rsid w:val="00F0787D"/>
    <w:rsid w:val="00F07D09"/>
    <w:rsid w:val="00F07ED8"/>
    <w:rsid w:val="00F1110E"/>
    <w:rsid w:val="00F11147"/>
    <w:rsid w:val="00F11416"/>
    <w:rsid w:val="00F126E4"/>
    <w:rsid w:val="00F13AF3"/>
    <w:rsid w:val="00F1451C"/>
    <w:rsid w:val="00F149E5"/>
    <w:rsid w:val="00F1555B"/>
    <w:rsid w:val="00F15B6F"/>
    <w:rsid w:val="00F16497"/>
    <w:rsid w:val="00F16B06"/>
    <w:rsid w:val="00F16E0B"/>
    <w:rsid w:val="00F17466"/>
    <w:rsid w:val="00F17AD9"/>
    <w:rsid w:val="00F202BD"/>
    <w:rsid w:val="00F20FF4"/>
    <w:rsid w:val="00F21159"/>
    <w:rsid w:val="00F215E1"/>
    <w:rsid w:val="00F21620"/>
    <w:rsid w:val="00F21DEA"/>
    <w:rsid w:val="00F21EC9"/>
    <w:rsid w:val="00F224BF"/>
    <w:rsid w:val="00F22765"/>
    <w:rsid w:val="00F231F3"/>
    <w:rsid w:val="00F23551"/>
    <w:rsid w:val="00F23C53"/>
    <w:rsid w:val="00F24568"/>
    <w:rsid w:val="00F24B7D"/>
    <w:rsid w:val="00F24CE7"/>
    <w:rsid w:val="00F24D8C"/>
    <w:rsid w:val="00F25116"/>
    <w:rsid w:val="00F2559C"/>
    <w:rsid w:val="00F258D2"/>
    <w:rsid w:val="00F25D18"/>
    <w:rsid w:val="00F26823"/>
    <w:rsid w:val="00F26AA0"/>
    <w:rsid w:val="00F26FA3"/>
    <w:rsid w:val="00F2707C"/>
    <w:rsid w:val="00F276F6"/>
    <w:rsid w:val="00F27772"/>
    <w:rsid w:val="00F277D6"/>
    <w:rsid w:val="00F2798E"/>
    <w:rsid w:val="00F27994"/>
    <w:rsid w:val="00F300AD"/>
    <w:rsid w:val="00F31070"/>
    <w:rsid w:val="00F31356"/>
    <w:rsid w:val="00F31895"/>
    <w:rsid w:val="00F31C52"/>
    <w:rsid w:val="00F31DB6"/>
    <w:rsid w:val="00F32869"/>
    <w:rsid w:val="00F32E40"/>
    <w:rsid w:val="00F33A86"/>
    <w:rsid w:val="00F34B57"/>
    <w:rsid w:val="00F34CDE"/>
    <w:rsid w:val="00F359C1"/>
    <w:rsid w:val="00F35C4A"/>
    <w:rsid w:val="00F35D7D"/>
    <w:rsid w:val="00F362D5"/>
    <w:rsid w:val="00F36EF3"/>
    <w:rsid w:val="00F3716F"/>
    <w:rsid w:val="00F37289"/>
    <w:rsid w:val="00F37538"/>
    <w:rsid w:val="00F37D86"/>
    <w:rsid w:val="00F4000F"/>
    <w:rsid w:val="00F40F54"/>
    <w:rsid w:val="00F411D8"/>
    <w:rsid w:val="00F41D15"/>
    <w:rsid w:val="00F44009"/>
    <w:rsid w:val="00F440E2"/>
    <w:rsid w:val="00F44CDB"/>
    <w:rsid w:val="00F453D3"/>
    <w:rsid w:val="00F456A0"/>
    <w:rsid w:val="00F45B34"/>
    <w:rsid w:val="00F4632F"/>
    <w:rsid w:val="00F465A8"/>
    <w:rsid w:val="00F46783"/>
    <w:rsid w:val="00F47008"/>
    <w:rsid w:val="00F47020"/>
    <w:rsid w:val="00F500CE"/>
    <w:rsid w:val="00F515C3"/>
    <w:rsid w:val="00F515F0"/>
    <w:rsid w:val="00F51880"/>
    <w:rsid w:val="00F51957"/>
    <w:rsid w:val="00F52022"/>
    <w:rsid w:val="00F52345"/>
    <w:rsid w:val="00F52499"/>
    <w:rsid w:val="00F52614"/>
    <w:rsid w:val="00F52A58"/>
    <w:rsid w:val="00F52C61"/>
    <w:rsid w:val="00F52CAC"/>
    <w:rsid w:val="00F531B5"/>
    <w:rsid w:val="00F537A4"/>
    <w:rsid w:val="00F5391A"/>
    <w:rsid w:val="00F53C54"/>
    <w:rsid w:val="00F53E6B"/>
    <w:rsid w:val="00F53E75"/>
    <w:rsid w:val="00F53F91"/>
    <w:rsid w:val="00F5438C"/>
    <w:rsid w:val="00F54B03"/>
    <w:rsid w:val="00F55568"/>
    <w:rsid w:val="00F55910"/>
    <w:rsid w:val="00F56168"/>
    <w:rsid w:val="00F56F0F"/>
    <w:rsid w:val="00F5713A"/>
    <w:rsid w:val="00F5729B"/>
    <w:rsid w:val="00F5731C"/>
    <w:rsid w:val="00F575FC"/>
    <w:rsid w:val="00F602E0"/>
    <w:rsid w:val="00F6191F"/>
    <w:rsid w:val="00F61E53"/>
    <w:rsid w:val="00F62454"/>
    <w:rsid w:val="00F6246B"/>
    <w:rsid w:val="00F62592"/>
    <w:rsid w:val="00F636D6"/>
    <w:rsid w:val="00F63DE9"/>
    <w:rsid w:val="00F645F7"/>
    <w:rsid w:val="00F646FE"/>
    <w:rsid w:val="00F64A27"/>
    <w:rsid w:val="00F64B43"/>
    <w:rsid w:val="00F651A0"/>
    <w:rsid w:val="00F651DF"/>
    <w:rsid w:val="00F651FE"/>
    <w:rsid w:val="00F677F6"/>
    <w:rsid w:val="00F70404"/>
    <w:rsid w:val="00F70D2A"/>
    <w:rsid w:val="00F71554"/>
    <w:rsid w:val="00F71679"/>
    <w:rsid w:val="00F71D38"/>
    <w:rsid w:val="00F71DE2"/>
    <w:rsid w:val="00F7214C"/>
    <w:rsid w:val="00F7297F"/>
    <w:rsid w:val="00F72ADE"/>
    <w:rsid w:val="00F72DE4"/>
    <w:rsid w:val="00F73063"/>
    <w:rsid w:val="00F7437F"/>
    <w:rsid w:val="00F744B8"/>
    <w:rsid w:val="00F7496E"/>
    <w:rsid w:val="00F74ACC"/>
    <w:rsid w:val="00F74ADC"/>
    <w:rsid w:val="00F75363"/>
    <w:rsid w:val="00F75655"/>
    <w:rsid w:val="00F75922"/>
    <w:rsid w:val="00F75C29"/>
    <w:rsid w:val="00F76A86"/>
    <w:rsid w:val="00F77105"/>
    <w:rsid w:val="00F77D21"/>
    <w:rsid w:val="00F77E4A"/>
    <w:rsid w:val="00F814B4"/>
    <w:rsid w:val="00F81753"/>
    <w:rsid w:val="00F81A43"/>
    <w:rsid w:val="00F82714"/>
    <w:rsid w:val="00F8335F"/>
    <w:rsid w:val="00F83D5C"/>
    <w:rsid w:val="00F83FA2"/>
    <w:rsid w:val="00F843DC"/>
    <w:rsid w:val="00F84684"/>
    <w:rsid w:val="00F84717"/>
    <w:rsid w:val="00F8480D"/>
    <w:rsid w:val="00F84D72"/>
    <w:rsid w:val="00F85ABA"/>
    <w:rsid w:val="00F85ACD"/>
    <w:rsid w:val="00F85BF9"/>
    <w:rsid w:val="00F85DCC"/>
    <w:rsid w:val="00F86513"/>
    <w:rsid w:val="00F867DD"/>
    <w:rsid w:val="00F873F1"/>
    <w:rsid w:val="00F90296"/>
    <w:rsid w:val="00F9038B"/>
    <w:rsid w:val="00F90623"/>
    <w:rsid w:val="00F90BF4"/>
    <w:rsid w:val="00F915CB"/>
    <w:rsid w:val="00F91E6E"/>
    <w:rsid w:val="00F9297F"/>
    <w:rsid w:val="00F92BDB"/>
    <w:rsid w:val="00F92BE4"/>
    <w:rsid w:val="00F9309A"/>
    <w:rsid w:val="00F93161"/>
    <w:rsid w:val="00F932CD"/>
    <w:rsid w:val="00F93B75"/>
    <w:rsid w:val="00F93F88"/>
    <w:rsid w:val="00F94099"/>
    <w:rsid w:val="00F949DF"/>
    <w:rsid w:val="00F952A7"/>
    <w:rsid w:val="00F952D9"/>
    <w:rsid w:val="00F958D7"/>
    <w:rsid w:val="00F95EF5"/>
    <w:rsid w:val="00F9665F"/>
    <w:rsid w:val="00F9694B"/>
    <w:rsid w:val="00F9713E"/>
    <w:rsid w:val="00F977F2"/>
    <w:rsid w:val="00F97D31"/>
    <w:rsid w:val="00FA030E"/>
    <w:rsid w:val="00FA060D"/>
    <w:rsid w:val="00FA10E8"/>
    <w:rsid w:val="00FA14E8"/>
    <w:rsid w:val="00FA1784"/>
    <w:rsid w:val="00FA1F39"/>
    <w:rsid w:val="00FA2E30"/>
    <w:rsid w:val="00FA35BC"/>
    <w:rsid w:val="00FA36AD"/>
    <w:rsid w:val="00FA3D52"/>
    <w:rsid w:val="00FA3E3C"/>
    <w:rsid w:val="00FA4C47"/>
    <w:rsid w:val="00FA5447"/>
    <w:rsid w:val="00FA54FB"/>
    <w:rsid w:val="00FA5DAF"/>
    <w:rsid w:val="00FA68AA"/>
    <w:rsid w:val="00FA77E5"/>
    <w:rsid w:val="00FB1197"/>
    <w:rsid w:val="00FB11A9"/>
    <w:rsid w:val="00FB1692"/>
    <w:rsid w:val="00FB2026"/>
    <w:rsid w:val="00FB2BD4"/>
    <w:rsid w:val="00FB469B"/>
    <w:rsid w:val="00FB4EF8"/>
    <w:rsid w:val="00FB5663"/>
    <w:rsid w:val="00FB5675"/>
    <w:rsid w:val="00FB58CA"/>
    <w:rsid w:val="00FB59AE"/>
    <w:rsid w:val="00FB6021"/>
    <w:rsid w:val="00FB6E78"/>
    <w:rsid w:val="00FB7E56"/>
    <w:rsid w:val="00FBB8BB"/>
    <w:rsid w:val="00FC0F75"/>
    <w:rsid w:val="00FC0FC6"/>
    <w:rsid w:val="00FC18D3"/>
    <w:rsid w:val="00FC1A66"/>
    <w:rsid w:val="00FC1CA2"/>
    <w:rsid w:val="00FC1E18"/>
    <w:rsid w:val="00FC21D0"/>
    <w:rsid w:val="00FC274B"/>
    <w:rsid w:val="00FC2C1C"/>
    <w:rsid w:val="00FC3944"/>
    <w:rsid w:val="00FC53C1"/>
    <w:rsid w:val="00FC5716"/>
    <w:rsid w:val="00FC5EF4"/>
    <w:rsid w:val="00FC5F5D"/>
    <w:rsid w:val="00FC6D5D"/>
    <w:rsid w:val="00FC74FD"/>
    <w:rsid w:val="00FC75E9"/>
    <w:rsid w:val="00FC7808"/>
    <w:rsid w:val="00FD122C"/>
    <w:rsid w:val="00FD229D"/>
    <w:rsid w:val="00FD2899"/>
    <w:rsid w:val="00FD2F73"/>
    <w:rsid w:val="00FD3CE3"/>
    <w:rsid w:val="00FD3FB1"/>
    <w:rsid w:val="00FD4390"/>
    <w:rsid w:val="00FD5361"/>
    <w:rsid w:val="00FD59BE"/>
    <w:rsid w:val="00FD5C98"/>
    <w:rsid w:val="00FD5E83"/>
    <w:rsid w:val="00FE119A"/>
    <w:rsid w:val="00FE12D7"/>
    <w:rsid w:val="00FE1527"/>
    <w:rsid w:val="00FE161C"/>
    <w:rsid w:val="00FE1AD0"/>
    <w:rsid w:val="00FE4176"/>
    <w:rsid w:val="00FE4342"/>
    <w:rsid w:val="00FE44EF"/>
    <w:rsid w:val="00FE4548"/>
    <w:rsid w:val="00FE45E2"/>
    <w:rsid w:val="00FE5A48"/>
    <w:rsid w:val="00FE5D63"/>
    <w:rsid w:val="00FE6184"/>
    <w:rsid w:val="00FE6D92"/>
    <w:rsid w:val="00FF047C"/>
    <w:rsid w:val="00FF04AE"/>
    <w:rsid w:val="00FF1A8B"/>
    <w:rsid w:val="00FF20F1"/>
    <w:rsid w:val="00FF21BC"/>
    <w:rsid w:val="00FF2F2B"/>
    <w:rsid w:val="00FF348E"/>
    <w:rsid w:val="00FF3961"/>
    <w:rsid w:val="00FF397F"/>
    <w:rsid w:val="00FF3A31"/>
    <w:rsid w:val="00FF3D10"/>
    <w:rsid w:val="00FF4535"/>
    <w:rsid w:val="00FF48C7"/>
    <w:rsid w:val="00FF4BF2"/>
    <w:rsid w:val="00FF4D5D"/>
    <w:rsid w:val="00FF67ED"/>
    <w:rsid w:val="00FF6A25"/>
    <w:rsid w:val="00FF764E"/>
    <w:rsid w:val="00FF7FE3"/>
    <w:rsid w:val="01231264"/>
    <w:rsid w:val="0135F6B6"/>
    <w:rsid w:val="0141327A"/>
    <w:rsid w:val="018AEB40"/>
    <w:rsid w:val="018E1917"/>
    <w:rsid w:val="01A7D7CC"/>
    <w:rsid w:val="01D77844"/>
    <w:rsid w:val="01E2970E"/>
    <w:rsid w:val="01F8154C"/>
    <w:rsid w:val="01FA85DA"/>
    <w:rsid w:val="020AE461"/>
    <w:rsid w:val="023E5D29"/>
    <w:rsid w:val="026A8B88"/>
    <w:rsid w:val="02D9D399"/>
    <w:rsid w:val="02E5B7B9"/>
    <w:rsid w:val="02F26D2A"/>
    <w:rsid w:val="02FC3A30"/>
    <w:rsid w:val="033539C0"/>
    <w:rsid w:val="0359B1A7"/>
    <w:rsid w:val="038BECED"/>
    <w:rsid w:val="038D9C1B"/>
    <w:rsid w:val="03AD00E2"/>
    <w:rsid w:val="03BFF6D9"/>
    <w:rsid w:val="03D6A8B3"/>
    <w:rsid w:val="043089C9"/>
    <w:rsid w:val="045636A1"/>
    <w:rsid w:val="047ED722"/>
    <w:rsid w:val="04C76C4A"/>
    <w:rsid w:val="04F83C1A"/>
    <w:rsid w:val="051352A5"/>
    <w:rsid w:val="052A546D"/>
    <w:rsid w:val="053E9613"/>
    <w:rsid w:val="05432AFD"/>
    <w:rsid w:val="0549DFE3"/>
    <w:rsid w:val="054AB885"/>
    <w:rsid w:val="057F6E13"/>
    <w:rsid w:val="05AF94B8"/>
    <w:rsid w:val="05B405C3"/>
    <w:rsid w:val="05C4F247"/>
    <w:rsid w:val="06100C72"/>
    <w:rsid w:val="062EE562"/>
    <w:rsid w:val="063046D4"/>
    <w:rsid w:val="063A03CB"/>
    <w:rsid w:val="064B4927"/>
    <w:rsid w:val="066EB589"/>
    <w:rsid w:val="0677567D"/>
    <w:rsid w:val="067FC250"/>
    <w:rsid w:val="069CBD02"/>
    <w:rsid w:val="069F4BED"/>
    <w:rsid w:val="06B4188D"/>
    <w:rsid w:val="06CC48FB"/>
    <w:rsid w:val="06F9B68C"/>
    <w:rsid w:val="07028411"/>
    <w:rsid w:val="0704B679"/>
    <w:rsid w:val="070F493E"/>
    <w:rsid w:val="07122932"/>
    <w:rsid w:val="071D6EC5"/>
    <w:rsid w:val="072DCE5A"/>
    <w:rsid w:val="073413A5"/>
    <w:rsid w:val="078DD292"/>
    <w:rsid w:val="07F3E6C8"/>
    <w:rsid w:val="07FDDCBF"/>
    <w:rsid w:val="0807BD59"/>
    <w:rsid w:val="0831F90A"/>
    <w:rsid w:val="08D32708"/>
    <w:rsid w:val="08D8BA64"/>
    <w:rsid w:val="08E05C8C"/>
    <w:rsid w:val="0922B2CA"/>
    <w:rsid w:val="0928795C"/>
    <w:rsid w:val="094C84DE"/>
    <w:rsid w:val="09624EBA"/>
    <w:rsid w:val="096BDC25"/>
    <w:rsid w:val="0981EB0B"/>
    <w:rsid w:val="098673A8"/>
    <w:rsid w:val="0996911E"/>
    <w:rsid w:val="099BA3C4"/>
    <w:rsid w:val="09BCE3F8"/>
    <w:rsid w:val="09D9F8EE"/>
    <w:rsid w:val="09F0CEC0"/>
    <w:rsid w:val="09FA2E5A"/>
    <w:rsid w:val="0A2423C0"/>
    <w:rsid w:val="0A4A270B"/>
    <w:rsid w:val="0A4AC635"/>
    <w:rsid w:val="0A51DC9C"/>
    <w:rsid w:val="0ACF672B"/>
    <w:rsid w:val="0AE7A107"/>
    <w:rsid w:val="0AEC7820"/>
    <w:rsid w:val="0B022C64"/>
    <w:rsid w:val="0B068E7D"/>
    <w:rsid w:val="0B154401"/>
    <w:rsid w:val="0B26E085"/>
    <w:rsid w:val="0B6774EF"/>
    <w:rsid w:val="0BE7E4E8"/>
    <w:rsid w:val="0C19F329"/>
    <w:rsid w:val="0C6FBA03"/>
    <w:rsid w:val="0C9E5A13"/>
    <w:rsid w:val="0CAB7D7B"/>
    <w:rsid w:val="0CC81279"/>
    <w:rsid w:val="0D19E4ED"/>
    <w:rsid w:val="0D47FEEE"/>
    <w:rsid w:val="0D499665"/>
    <w:rsid w:val="0D52DD5D"/>
    <w:rsid w:val="0D839241"/>
    <w:rsid w:val="0D87FA22"/>
    <w:rsid w:val="0D921A48"/>
    <w:rsid w:val="0DB3E3DF"/>
    <w:rsid w:val="0DC2281E"/>
    <w:rsid w:val="0DD87742"/>
    <w:rsid w:val="0DFD972D"/>
    <w:rsid w:val="0E37870C"/>
    <w:rsid w:val="0E54D0AD"/>
    <w:rsid w:val="0E8D795E"/>
    <w:rsid w:val="0EAA3939"/>
    <w:rsid w:val="0EDC0280"/>
    <w:rsid w:val="0F8C7154"/>
    <w:rsid w:val="0F956402"/>
    <w:rsid w:val="0F9B08EF"/>
    <w:rsid w:val="0FBF8307"/>
    <w:rsid w:val="0FC91A46"/>
    <w:rsid w:val="0FE8EE8A"/>
    <w:rsid w:val="0FEE25A7"/>
    <w:rsid w:val="0FF19305"/>
    <w:rsid w:val="1048347A"/>
    <w:rsid w:val="10862222"/>
    <w:rsid w:val="108756A2"/>
    <w:rsid w:val="1093907A"/>
    <w:rsid w:val="10F24115"/>
    <w:rsid w:val="1106B502"/>
    <w:rsid w:val="1172FEF8"/>
    <w:rsid w:val="11980B36"/>
    <w:rsid w:val="11A898BD"/>
    <w:rsid w:val="11E274EE"/>
    <w:rsid w:val="11F62928"/>
    <w:rsid w:val="11FCC612"/>
    <w:rsid w:val="120D775E"/>
    <w:rsid w:val="1293923E"/>
    <w:rsid w:val="12BEC1EB"/>
    <w:rsid w:val="12D62C19"/>
    <w:rsid w:val="12D8CF64"/>
    <w:rsid w:val="12E222AE"/>
    <w:rsid w:val="1311B26F"/>
    <w:rsid w:val="13145457"/>
    <w:rsid w:val="131D089A"/>
    <w:rsid w:val="13602931"/>
    <w:rsid w:val="13796AA4"/>
    <w:rsid w:val="1391C8E9"/>
    <w:rsid w:val="1397DCC6"/>
    <w:rsid w:val="1399714C"/>
    <w:rsid w:val="13A1867D"/>
    <w:rsid w:val="13AA2D55"/>
    <w:rsid w:val="13BA4D5B"/>
    <w:rsid w:val="13DB2592"/>
    <w:rsid w:val="13E44579"/>
    <w:rsid w:val="13F00010"/>
    <w:rsid w:val="140FF5DE"/>
    <w:rsid w:val="141BF567"/>
    <w:rsid w:val="1420A33C"/>
    <w:rsid w:val="1450FA00"/>
    <w:rsid w:val="146A5B5A"/>
    <w:rsid w:val="14892A0D"/>
    <w:rsid w:val="1489CF49"/>
    <w:rsid w:val="148D4758"/>
    <w:rsid w:val="14B9714C"/>
    <w:rsid w:val="14BBC0D9"/>
    <w:rsid w:val="14C871AF"/>
    <w:rsid w:val="14D0A449"/>
    <w:rsid w:val="14D36195"/>
    <w:rsid w:val="14F41B7F"/>
    <w:rsid w:val="152CE6A5"/>
    <w:rsid w:val="152DF768"/>
    <w:rsid w:val="153814C1"/>
    <w:rsid w:val="15586ACB"/>
    <w:rsid w:val="157F6608"/>
    <w:rsid w:val="15897D04"/>
    <w:rsid w:val="159894BA"/>
    <w:rsid w:val="15DE26D7"/>
    <w:rsid w:val="162E8BE6"/>
    <w:rsid w:val="16313681"/>
    <w:rsid w:val="16324ED0"/>
    <w:rsid w:val="1660F431"/>
    <w:rsid w:val="166DF231"/>
    <w:rsid w:val="16882632"/>
    <w:rsid w:val="169718E1"/>
    <w:rsid w:val="169DD6B9"/>
    <w:rsid w:val="16D542DD"/>
    <w:rsid w:val="16DC9964"/>
    <w:rsid w:val="16E129C7"/>
    <w:rsid w:val="16E795BB"/>
    <w:rsid w:val="1728B43F"/>
    <w:rsid w:val="174868BF"/>
    <w:rsid w:val="1757FA81"/>
    <w:rsid w:val="177059F4"/>
    <w:rsid w:val="1793B450"/>
    <w:rsid w:val="17EBEC62"/>
    <w:rsid w:val="17EEB338"/>
    <w:rsid w:val="18259AD2"/>
    <w:rsid w:val="183188E0"/>
    <w:rsid w:val="184EC198"/>
    <w:rsid w:val="18558AA8"/>
    <w:rsid w:val="1857CFFE"/>
    <w:rsid w:val="186525C3"/>
    <w:rsid w:val="18960621"/>
    <w:rsid w:val="1898624A"/>
    <w:rsid w:val="18AD26FC"/>
    <w:rsid w:val="18E48A15"/>
    <w:rsid w:val="1906611A"/>
    <w:rsid w:val="19248287"/>
    <w:rsid w:val="1927A7BC"/>
    <w:rsid w:val="19411309"/>
    <w:rsid w:val="195249A1"/>
    <w:rsid w:val="19716AFC"/>
    <w:rsid w:val="1992918F"/>
    <w:rsid w:val="19C12FA0"/>
    <w:rsid w:val="19ECF429"/>
    <w:rsid w:val="19F22EF8"/>
    <w:rsid w:val="19FE28B3"/>
    <w:rsid w:val="1A630510"/>
    <w:rsid w:val="1A635659"/>
    <w:rsid w:val="1A9F9F3B"/>
    <w:rsid w:val="1AC0A1BA"/>
    <w:rsid w:val="1AF0AB59"/>
    <w:rsid w:val="1B637698"/>
    <w:rsid w:val="1B7794FB"/>
    <w:rsid w:val="1B95EEFE"/>
    <w:rsid w:val="1BA8E159"/>
    <w:rsid w:val="1BAAD6FA"/>
    <w:rsid w:val="1BD50B85"/>
    <w:rsid w:val="1BF95088"/>
    <w:rsid w:val="1C1A67CC"/>
    <w:rsid w:val="1C4046CA"/>
    <w:rsid w:val="1C60DC05"/>
    <w:rsid w:val="1CAE6708"/>
    <w:rsid w:val="1CB86848"/>
    <w:rsid w:val="1CBE65F1"/>
    <w:rsid w:val="1CD3C8E3"/>
    <w:rsid w:val="1D492179"/>
    <w:rsid w:val="1D5238A5"/>
    <w:rsid w:val="1DA30F3D"/>
    <w:rsid w:val="1E0C30E6"/>
    <w:rsid w:val="1E14E0AB"/>
    <w:rsid w:val="1E3C5BAE"/>
    <w:rsid w:val="1E59CC0F"/>
    <w:rsid w:val="1E874864"/>
    <w:rsid w:val="1EDEB6F7"/>
    <w:rsid w:val="1F2ED8DE"/>
    <w:rsid w:val="1F3D7EDB"/>
    <w:rsid w:val="1F3EFF7A"/>
    <w:rsid w:val="1F600AF6"/>
    <w:rsid w:val="1F670C2A"/>
    <w:rsid w:val="1F67428F"/>
    <w:rsid w:val="1F72965B"/>
    <w:rsid w:val="1FAEA06D"/>
    <w:rsid w:val="1FB21557"/>
    <w:rsid w:val="1FB4B421"/>
    <w:rsid w:val="1FBA4681"/>
    <w:rsid w:val="1FD8EEFA"/>
    <w:rsid w:val="1FE30660"/>
    <w:rsid w:val="201DF231"/>
    <w:rsid w:val="202AE9A5"/>
    <w:rsid w:val="205380CC"/>
    <w:rsid w:val="205901A5"/>
    <w:rsid w:val="2074C7F6"/>
    <w:rsid w:val="209C4BCE"/>
    <w:rsid w:val="209DB5A8"/>
    <w:rsid w:val="20CCE278"/>
    <w:rsid w:val="20DD06BC"/>
    <w:rsid w:val="21267178"/>
    <w:rsid w:val="2126ADFB"/>
    <w:rsid w:val="21553E81"/>
    <w:rsid w:val="21560AC4"/>
    <w:rsid w:val="215E834C"/>
    <w:rsid w:val="21859E49"/>
    <w:rsid w:val="2185B6C6"/>
    <w:rsid w:val="219A869B"/>
    <w:rsid w:val="21B9103C"/>
    <w:rsid w:val="21E05650"/>
    <w:rsid w:val="22052AA2"/>
    <w:rsid w:val="2207A0B3"/>
    <w:rsid w:val="22294314"/>
    <w:rsid w:val="2231CB48"/>
    <w:rsid w:val="2243C962"/>
    <w:rsid w:val="22A5B5FA"/>
    <w:rsid w:val="22A612D2"/>
    <w:rsid w:val="22C04B45"/>
    <w:rsid w:val="22C5B142"/>
    <w:rsid w:val="2333682C"/>
    <w:rsid w:val="234B0CF9"/>
    <w:rsid w:val="235593EE"/>
    <w:rsid w:val="2357CB42"/>
    <w:rsid w:val="235E978F"/>
    <w:rsid w:val="236C8008"/>
    <w:rsid w:val="23984BA4"/>
    <w:rsid w:val="23A822CB"/>
    <w:rsid w:val="23E114BC"/>
    <w:rsid w:val="23FA2173"/>
    <w:rsid w:val="24032308"/>
    <w:rsid w:val="241DAF25"/>
    <w:rsid w:val="242E13C0"/>
    <w:rsid w:val="2432D86C"/>
    <w:rsid w:val="2473D855"/>
    <w:rsid w:val="2480ED59"/>
    <w:rsid w:val="24A39275"/>
    <w:rsid w:val="24A8D1E8"/>
    <w:rsid w:val="24B11A36"/>
    <w:rsid w:val="24E1E6A5"/>
    <w:rsid w:val="24FE94C4"/>
    <w:rsid w:val="25408C03"/>
    <w:rsid w:val="254EFF69"/>
    <w:rsid w:val="2564CD3B"/>
    <w:rsid w:val="25675D89"/>
    <w:rsid w:val="25D9531A"/>
    <w:rsid w:val="25E3B2C4"/>
    <w:rsid w:val="25FC0145"/>
    <w:rsid w:val="261A4682"/>
    <w:rsid w:val="267AB1DA"/>
    <w:rsid w:val="268F241E"/>
    <w:rsid w:val="269463B5"/>
    <w:rsid w:val="26B15EFD"/>
    <w:rsid w:val="26B30A96"/>
    <w:rsid w:val="26CA3A07"/>
    <w:rsid w:val="26F923C4"/>
    <w:rsid w:val="26FDA721"/>
    <w:rsid w:val="270CCA2F"/>
    <w:rsid w:val="2765FCED"/>
    <w:rsid w:val="2794D5BB"/>
    <w:rsid w:val="27D5B7C4"/>
    <w:rsid w:val="27DCF46E"/>
    <w:rsid w:val="27F1DAE0"/>
    <w:rsid w:val="2859EF1D"/>
    <w:rsid w:val="287E81D1"/>
    <w:rsid w:val="2895796E"/>
    <w:rsid w:val="28C666CE"/>
    <w:rsid w:val="28CE436F"/>
    <w:rsid w:val="28EF21BF"/>
    <w:rsid w:val="290DCD96"/>
    <w:rsid w:val="290E7ECB"/>
    <w:rsid w:val="2919B830"/>
    <w:rsid w:val="292C1454"/>
    <w:rsid w:val="29875280"/>
    <w:rsid w:val="298CD133"/>
    <w:rsid w:val="298FE0E9"/>
    <w:rsid w:val="29A153F5"/>
    <w:rsid w:val="29A2551E"/>
    <w:rsid w:val="29CC975A"/>
    <w:rsid w:val="29CCBA30"/>
    <w:rsid w:val="29D5695A"/>
    <w:rsid w:val="29D6E78B"/>
    <w:rsid w:val="29EB072F"/>
    <w:rsid w:val="29F80DAE"/>
    <w:rsid w:val="2A18248E"/>
    <w:rsid w:val="2A1C9550"/>
    <w:rsid w:val="2A4014B5"/>
    <w:rsid w:val="2A518466"/>
    <w:rsid w:val="2A604F59"/>
    <w:rsid w:val="2A793529"/>
    <w:rsid w:val="2A949655"/>
    <w:rsid w:val="2AD05546"/>
    <w:rsid w:val="2B2427C1"/>
    <w:rsid w:val="2B24C505"/>
    <w:rsid w:val="2B44D272"/>
    <w:rsid w:val="2B5AD05C"/>
    <w:rsid w:val="2B8B8BB7"/>
    <w:rsid w:val="2B96D11D"/>
    <w:rsid w:val="2BD660F5"/>
    <w:rsid w:val="2BDAAFC6"/>
    <w:rsid w:val="2BE1F0C3"/>
    <w:rsid w:val="2BECC86A"/>
    <w:rsid w:val="2BF31637"/>
    <w:rsid w:val="2C1F3D7D"/>
    <w:rsid w:val="2C217E15"/>
    <w:rsid w:val="2C2E111B"/>
    <w:rsid w:val="2C6FE108"/>
    <w:rsid w:val="2C70E4B1"/>
    <w:rsid w:val="2C8558CF"/>
    <w:rsid w:val="2CBD53EE"/>
    <w:rsid w:val="2CCC0BF2"/>
    <w:rsid w:val="2CFB7857"/>
    <w:rsid w:val="2D5CDDB9"/>
    <w:rsid w:val="2D7BDED0"/>
    <w:rsid w:val="2D87C740"/>
    <w:rsid w:val="2D8C66CD"/>
    <w:rsid w:val="2D904F08"/>
    <w:rsid w:val="2DAC8C00"/>
    <w:rsid w:val="2DB77DFC"/>
    <w:rsid w:val="2DECE6FE"/>
    <w:rsid w:val="2DF3013D"/>
    <w:rsid w:val="2E0C36EA"/>
    <w:rsid w:val="2E5CF226"/>
    <w:rsid w:val="2EAE61AE"/>
    <w:rsid w:val="2EB06743"/>
    <w:rsid w:val="2EDAD4C6"/>
    <w:rsid w:val="2EDDB4C1"/>
    <w:rsid w:val="2EE49422"/>
    <w:rsid w:val="2F085A53"/>
    <w:rsid w:val="2F3B3DB9"/>
    <w:rsid w:val="2F4DEED8"/>
    <w:rsid w:val="2F530B03"/>
    <w:rsid w:val="2F54767E"/>
    <w:rsid w:val="2F687EDE"/>
    <w:rsid w:val="2F8FF636"/>
    <w:rsid w:val="2FD7F839"/>
    <w:rsid w:val="3007662F"/>
    <w:rsid w:val="3037B48F"/>
    <w:rsid w:val="30481098"/>
    <w:rsid w:val="306B38CC"/>
    <w:rsid w:val="307F7524"/>
    <w:rsid w:val="30A1D277"/>
    <w:rsid w:val="30A85D21"/>
    <w:rsid w:val="30F1D13B"/>
    <w:rsid w:val="31082E8F"/>
    <w:rsid w:val="3170D0A3"/>
    <w:rsid w:val="3185E5FB"/>
    <w:rsid w:val="31ACD29C"/>
    <w:rsid w:val="31C1073E"/>
    <w:rsid w:val="3216BDE3"/>
    <w:rsid w:val="3227466C"/>
    <w:rsid w:val="323EF90B"/>
    <w:rsid w:val="3283B7FA"/>
    <w:rsid w:val="32AC5D6E"/>
    <w:rsid w:val="32B08762"/>
    <w:rsid w:val="32DABACF"/>
    <w:rsid w:val="32E40E0C"/>
    <w:rsid w:val="32EE0909"/>
    <w:rsid w:val="32F87BD1"/>
    <w:rsid w:val="330F6FE4"/>
    <w:rsid w:val="3319DC46"/>
    <w:rsid w:val="336176C3"/>
    <w:rsid w:val="336D290C"/>
    <w:rsid w:val="338176C1"/>
    <w:rsid w:val="33831E0D"/>
    <w:rsid w:val="338EF870"/>
    <w:rsid w:val="33A511DB"/>
    <w:rsid w:val="33B68C08"/>
    <w:rsid w:val="33DCE48F"/>
    <w:rsid w:val="33F7CBA0"/>
    <w:rsid w:val="340CF531"/>
    <w:rsid w:val="3413CC1A"/>
    <w:rsid w:val="34383323"/>
    <w:rsid w:val="34C41809"/>
    <w:rsid w:val="34CB4D28"/>
    <w:rsid w:val="35032C97"/>
    <w:rsid w:val="353E6BFC"/>
    <w:rsid w:val="3571ADCA"/>
    <w:rsid w:val="3585B75A"/>
    <w:rsid w:val="3598CA19"/>
    <w:rsid w:val="3599B9D2"/>
    <w:rsid w:val="36174F3F"/>
    <w:rsid w:val="361BAF95"/>
    <w:rsid w:val="3639C424"/>
    <w:rsid w:val="365AE956"/>
    <w:rsid w:val="365DA939"/>
    <w:rsid w:val="36600EDC"/>
    <w:rsid w:val="36AE3A5D"/>
    <w:rsid w:val="36BFDAE8"/>
    <w:rsid w:val="36D78545"/>
    <w:rsid w:val="36E1FB78"/>
    <w:rsid w:val="372126CA"/>
    <w:rsid w:val="3739F7C7"/>
    <w:rsid w:val="37436263"/>
    <w:rsid w:val="3747F924"/>
    <w:rsid w:val="379DC4F8"/>
    <w:rsid w:val="37B39F16"/>
    <w:rsid w:val="37CA31C0"/>
    <w:rsid w:val="3841CED8"/>
    <w:rsid w:val="384FA22A"/>
    <w:rsid w:val="38505E17"/>
    <w:rsid w:val="38515F0E"/>
    <w:rsid w:val="385C61E7"/>
    <w:rsid w:val="3864901E"/>
    <w:rsid w:val="386D7A4C"/>
    <w:rsid w:val="38730B37"/>
    <w:rsid w:val="389A8EB9"/>
    <w:rsid w:val="38A08E49"/>
    <w:rsid w:val="38C09843"/>
    <w:rsid w:val="38F2EBDF"/>
    <w:rsid w:val="38F466D9"/>
    <w:rsid w:val="38FE7B00"/>
    <w:rsid w:val="394152C5"/>
    <w:rsid w:val="395EE766"/>
    <w:rsid w:val="3976841E"/>
    <w:rsid w:val="3977EF52"/>
    <w:rsid w:val="398FC198"/>
    <w:rsid w:val="39ADC3B5"/>
    <w:rsid w:val="39BAA963"/>
    <w:rsid w:val="39CED3DB"/>
    <w:rsid w:val="39F14981"/>
    <w:rsid w:val="3A3049C4"/>
    <w:rsid w:val="3A31223D"/>
    <w:rsid w:val="3A424774"/>
    <w:rsid w:val="3A67097B"/>
    <w:rsid w:val="3A722607"/>
    <w:rsid w:val="3A7F39A4"/>
    <w:rsid w:val="3A9FCEDB"/>
    <w:rsid w:val="3AA0E861"/>
    <w:rsid w:val="3ADD66E4"/>
    <w:rsid w:val="3AE2D636"/>
    <w:rsid w:val="3AEB3FDC"/>
    <w:rsid w:val="3B47A474"/>
    <w:rsid w:val="3B5DCC75"/>
    <w:rsid w:val="3B76637D"/>
    <w:rsid w:val="3BAB2768"/>
    <w:rsid w:val="3BB5C8EE"/>
    <w:rsid w:val="3BFD6CA9"/>
    <w:rsid w:val="3C209580"/>
    <w:rsid w:val="3C298A84"/>
    <w:rsid w:val="3C2D9C0E"/>
    <w:rsid w:val="3C2F1BD3"/>
    <w:rsid w:val="3C36CC61"/>
    <w:rsid w:val="3C4EC1A9"/>
    <w:rsid w:val="3C8F911E"/>
    <w:rsid w:val="3CE19601"/>
    <w:rsid w:val="3CF23DD6"/>
    <w:rsid w:val="3CF84838"/>
    <w:rsid w:val="3D062263"/>
    <w:rsid w:val="3D499EE8"/>
    <w:rsid w:val="3D54AD49"/>
    <w:rsid w:val="3D54F567"/>
    <w:rsid w:val="3D573040"/>
    <w:rsid w:val="3D5DF490"/>
    <w:rsid w:val="3D826D03"/>
    <w:rsid w:val="3D873926"/>
    <w:rsid w:val="3DA7B55E"/>
    <w:rsid w:val="3DB40918"/>
    <w:rsid w:val="3DB94624"/>
    <w:rsid w:val="3DC3D2A4"/>
    <w:rsid w:val="3DF48882"/>
    <w:rsid w:val="3E003078"/>
    <w:rsid w:val="3E209012"/>
    <w:rsid w:val="3E58BFA0"/>
    <w:rsid w:val="3E5BB6D3"/>
    <w:rsid w:val="3E801D61"/>
    <w:rsid w:val="3E8067B9"/>
    <w:rsid w:val="3E85B242"/>
    <w:rsid w:val="3E89F614"/>
    <w:rsid w:val="3E900872"/>
    <w:rsid w:val="3E92CD9B"/>
    <w:rsid w:val="3E9C1EDD"/>
    <w:rsid w:val="3F007BD3"/>
    <w:rsid w:val="3F07328C"/>
    <w:rsid w:val="3F0C58E2"/>
    <w:rsid w:val="3F10A3EB"/>
    <w:rsid w:val="3F31405E"/>
    <w:rsid w:val="3F8743AF"/>
    <w:rsid w:val="3F907410"/>
    <w:rsid w:val="3FA30030"/>
    <w:rsid w:val="3FB0B8C4"/>
    <w:rsid w:val="3FE66A05"/>
    <w:rsid w:val="40048DAE"/>
    <w:rsid w:val="402D0C33"/>
    <w:rsid w:val="403F6631"/>
    <w:rsid w:val="40CA9AD8"/>
    <w:rsid w:val="4151EEF3"/>
    <w:rsid w:val="41649394"/>
    <w:rsid w:val="41B7416D"/>
    <w:rsid w:val="41F1DF8B"/>
    <w:rsid w:val="41F6F63F"/>
    <w:rsid w:val="41FA17FE"/>
    <w:rsid w:val="42082B42"/>
    <w:rsid w:val="4217C93B"/>
    <w:rsid w:val="42494608"/>
    <w:rsid w:val="4258B9DE"/>
    <w:rsid w:val="42BB0848"/>
    <w:rsid w:val="42EF89B6"/>
    <w:rsid w:val="4309CEC8"/>
    <w:rsid w:val="43231787"/>
    <w:rsid w:val="4337BECB"/>
    <w:rsid w:val="434B510A"/>
    <w:rsid w:val="4393075D"/>
    <w:rsid w:val="43BDEA25"/>
    <w:rsid w:val="43C97DEF"/>
    <w:rsid w:val="43DB6397"/>
    <w:rsid w:val="43ED358B"/>
    <w:rsid w:val="43F0928D"/>
    <w:rsid w:val="44405A66"/>
    <w:rsid w:val="445F7D62"/>
    <w:rsid w:val="4481FF06"/>
    <w:rsid w:val="4482A2BA"/>
    <w:rsid w:val="4498EE94"/>
    <w:rsid w:val="44A7F5FD"/>
    <w:rsid w:val="45457486"/>
    <w:rsid w:val="454DF4E2"/>
    <w:rsid w:val="45589C99"/>
    <w:rsid w:val="457A677C"/>
    <w:rsid w:val="4587C599"/>
    <w:rsid w:val="4591C20D"/>
    <w:rsid w:val="45996B10"/>
    <w:rsid w:val="45AAE128"/>
    <w:rsid w:val="45C144E8"/>
    <w:rsid w:val="45EACB2A"/>
    <w:rsid w:val="460406F5"/>
    <w:rsid w:val="4629B7EC"/>
    <w:rsid w:val="469DFE34"/>
    <w:rsid w:val="46A10F65"/>
    <w:rsid w:val="46AEF0A4"/>
    <w:rsid w:val="46B4A33B"/>
    <w:rsid w:val="46C21679"/>
    <w:rsid w:val="46CF3B71"/>
    <w:rsid w:val="46ED785C"/>
    <w:rsid w:val="46FA8D55"/>
    <w:rsid w:val="472BA9E0"/>
    <w:rsid w:val="4776EBED"/>
    <w:rsid w:val="478D9DFE"/>
    <w:rsid w:val="4795F919"/>
    <w:rsid w:val="47F2D112"/>
    <w:rsid w:val="47F93277"/>
    <w:rsid w:val="48176780"/>
    <w:rsid w:val="4835F6DC"/>
    <w:rsid w:val="48437ADB"/>
    <w:rsid w:val="485E8191"/>
    <w:rsid w:val="486BF181"/>
    <w:rsid w:val="487D3CBF"/>
    <w:rsid w:val="48918E29"/>
    <w:rsid w:val="48A92767"/>
    <w:rsid w:val="48D4AA82"/>
    <w:rsid w:val="48D74EE6"/>
    <w:rsid w:val="48DEC033"/>
    <w:rsid w:val="48E1DA81"/>
    <w:rsid w:val="492F2858"/>
    <w:rsid w:val="495082EA"/>
    <w:rsid w:val="497A9AF3"/>
    <w:rsid w:val="49BA467B"/>
    <w:rsid w:val="49C6608E"/>
    <w:rsid w:val="49D964F8"/>
    <w:rsid w:val="49FC8FF7"/>
    <w:rsid w:val="4A4A6A14"/>
    <w:rsid w:val="4A652468"/>
    <w:rsid w:val="4A65921B"/>
    <w:rsid w:val="4A83C906"/>
    <w:rsid w:val="4A924FB2"/>
    <w:rsid w:val="4B282023"/>
    <w:rsid w:val="4BC8C0E7"/>
    <w:rsid w:val="4BCE6518"/>
    <w:rsid w:val="4BD1D197"/>
    <w:rsid w:val="4BD9F1F5"/>
    <w:rsid w:val="4C2A7A3A"/>
    <w:rsid w:val="4C3F7653"/>
    <w:rsid w:val="4C46805C"/>
    <w:rsid w:val="4C6114FA"/>
    <w:rsid w:val="4C61FECB"/>
    <w:rsid w:val="4C98E5BE"/>
    <w:rsid w:val="4CF2CB16"/>
    <w:rsid w:val="4D105546"/>
    <w:rsid w:val="4D4DB50A"/>
    <w:rsid w:val="4D6820A1"/>
    <w:rsid w:val="4D6A80C1"/>
    <w:rsid w:val="4D716A44"/>
    <w:rsid w:val="4DA48A7C"/>
    <w:rsid w:val="4DB16F4F"/>
    <w:rsid w:val="4DCD8BC4"/>
    <w:rsid w:val="4DE1A893"/>
    <w:rsid w:val="4DE1C557"/>
    <w:rsid w:val="4E01D7F9"/>
    <w:rsid w:val="4E10E14C"/>
    <w:rsid w:val="4E1A14FE"/>
    <w:rsid w:val="4E3F5063"/>
    <w:rsid w:val="4E40DD06"/>
    <w:rsid w:val="4E5159FD"/>
    <w:rsid w:val="4E698B24"/>
    <w:rsid w:val="4E77FD8F"/>
    <w:rsid w:val="4E8E04FF"/>
    <w:rsid w:val="4EA801C2"/>
    <w:rsid w:val="4ECB8D5A"/>
    <w:rsid w:val="4EF60771"/>
    <w:rsid w:val="4F0A41E3"/>
    <w:rsid w:val="4F134A60"/>
    <w:rsid w:val="4F37A8DF"/>
    <w:rsid w:val="4F3C09E9"/>
    <w:rsid w:val="4F46AB85"/>
    <w:rsid w:val="4F5038FF"/>
    <w:rsid w:val="4F600C11"/>
    <w:rsid w:val="4FA79A82"/>
    <w:rsid w:val="4FD2CC31"/>
    <w:rsid w:val="4FE38247"/>
    <w:rsid w:val="500189A4"/>
    <w:rsid w:val="500EC0F6"/>
    <w:rsid w:val="50645408"/>
    <w:rsid w:val="50A059A7"/>
    <w:rsid w:val="50A37D47"/>
    <w:rsid w:val="50C303D8"/>
    <w:rsid w:val="50D6366F"/>
    <w:rsid w:val="50D8ED73"/>
    <w:rsid w:val="50E24CD3"/>
    <w:rsid w:val="50E73806"/>
    <w:rsid w:val="50F8A97C"/>
    <w:rsid w:val="5107A018"/>
    <w:rsid w:val="513280C4"/>
    <w:rsid w:val="5136F8B9"/>
    <w:rsid w:val="5139A780"/>
    <w:rsid w:val="518855D5"/>
    <w:rsid w:val="518B91D4"/>
    <w:rsid w:val="51DE76A0"/>
    <w:rsid w:val="51F05544"/>
    <w:rsid w:val="521A61DC"/>
    <w:rsid w:val="52386A3C"/>
    <w:rsid w:val="5290D620"/>
    <w:rsid w:val="52B429CC"/>
    <w:rsid w:val="52BB57D5"/>
    <w:rsid w:val="52C20021"/>
    <w:rsid w:val="52D0AF76"/>
    <w:rsid w:val="530710B4"/>
    <w:rsid w:val="5318A498"/>
    <w:rsid w:val="533AD05C"/>
    <w:rsid w:val="53514542"/>
    <w:rsid w:val="53655125"/>
    <w:rsid w:val="538BB5DC"/>
    <w:rsid w:val="53B6C4E9"/>
    <w:rsid w:val="53F76CD2"/>
    <w:rsid w:val="541049CF"/>
    <w:rsid w:val="5445E3A4"/>
    <w:rsid w:val="544A2CE9"/>
    <w:rsid w:val="54583373"/>
    <w:rsid w:val="54795E9D"/>
    <w:rsid w:val="54A86B53"/>
    <w:rsid w:val="54AA4676"/>
    <w:rsid w:val="54C1D1FD"/>
    <w:rsid w:val="54D229AB"/>
    <w:rsid w:val="54FD1EE2"/>
    <w:rsid w:val="55025EEE"/>
    <w:rsid w:val="552AA2E7"/>
    <w:rsid w:val="55450E19"/>
    <w:rsid w:val="556C0737"/>
    <w:rsid w:val="556CF1AC"/>
    <w:rsid w:val="5587C6DA"/>
    <w:rsid w:val="558AA479"/>
    <w:rsid w:val="55AFED97"/>
    <w:rsid w:val="55EC270C"/>
    <w:rsid w:val="55ED1D66"/>
    <w:rsid w:val="55ED409C"/>
    <w:rsid w:val="55F49C8D"/>
    <w:rsid w:val="55FCDC6B"/>
    <w:rsid w:val="5609FE9F"/>
    <w:rsid w:val="56332941"/>
    <w:rsid w:val="567F3F87"/>
    <w:rsid w:val="56878109"/>
    <w:rsid w:val="5692A7A7"/>
    <w:rsid w:val="5694768D"/>
    <w:rsid w:val="56D1C9BC"/>
    <w:rsid w:val="571BBED0"/>
    <w:rsid w:val="5758140A"/>
    <w:rsid w:val="5795FE19"/>
    <w:rsid w:val="579821D4"/>
    <w:rsid w:val="57C7EB06"/>
    <w:rsid w:val="57FB9FCF"/>
    <w:rsid w:val="580394A9"/>
    <w:rsid w:val="58279BDF"/>
    <w:rsid w:val="583B02FB"/>
    <w:rsid w:val="5841CBF0"/>
    <w:rsid w:val="5847C785"/>
    <w:rsid w:val="584A3133"/>
    <w:rsid w:val="58622017"/>
    <w:rsid w:val="58725410"/>
    <w:rsid w:val="58BB0D15"/>
    <w:rsid w:val="58C7CF76"/>
    <w:rsid w:val="58D2A83B"/>
    <w:rsid w:val="59330A94"/>
    <w:rsid w:val="597956AB"/>
    <w:rsid w:val="59BB0740"/>
    <w:rsid w:val="59D63A25"/>
    <w:rsid w:val="59D9C0E6"/>
    <w:rsid w:val="5A0119E3"/>
    <w:rsid w:val="5A0E1BDB"/>
    <w:rsid w:val="5A1FBC68"/>
    <w:rsid w:val="5A297BA3"/>
    <w:rsid w:val="5A2CF12F"/>
    <w:rsid w:val="5A557877"/>
    <w:rsid w:val="5A5B9BC2"/>
    <w:rsid w:val="5A60D901"/>
    <w:rsid w:val="5A81438F"/>
    <w:rsid w:val="5AE6ABA4"/>
    <w:rsid w:val="5B03F06A"/>
    <w:rsid w:val="5B1B5A12"/>
    <w:rsid w:val="5B29AE96"/>
    <w:rsid w:val="5B5543BD"/>
    <w:rsid w:val="5B5B5A7F"/>
    <w:rsid w:val="5B8F2581"/>
    <w:rsid w:val="5BB79D9C"/>
    <w:rsid w:val="5BE85D43"/>
    <w:rsid w:val="5BF7CC6C"/>
    <w:rsid w:val="5C184B9F"/>
    <w:rsid w:val="5C2CEA3C"/>
    <w:rsid w:val="5C4C562C"/>
    <w:rsid w:val="5C663528"/>
    <w:rsid w:val="5C6A4699"/>
    <w:rsid w:val="5C6BEE8E"/>
    <w:rsid w:val="5C85BE0C"/>
    <w:rsid w:val="5CBB50A1"/>
    <w:rsid w:val="5D2EE1FF"/>
    <w:rsid w:val="5D6C8A2D"/>
    <w:rsid w:val="5DD1C051"/>
    <w:rsid w:val="5DDEFE08"/>
    <w:rsid w:val="5DE601CE"/>
    <w:rsid w:val="5DE7E285"/>
    <w:rsid w:val="5DEF665C"/>
    <w:rsid w:val="5E068AB3"/>
    <w:rsid w:val="5E0D2580"/>
    <w:rsid w:val="5E34626F"/>
    <w:rsid w:val="5E49B312"/>
    <w:rsid w:val="5E5F641F"/>
    <w:rsid w:val="5E6E962B"/>
    <w:rsid w:val="5E7CC627"/>
    <w:rsid w:val="5EC46CFE"/>
    <w:rsid w:val="5ECED212"/>
    <w:rsid w:val="5EF19F0B"/>
    <w:rsid w:val="5F1330DA"/>
    <w:rsid w:val="5F6ADF06"/>
    <w:rsid w:val="5F84565B"/>
    <w:rsid w:val="5F93DF70"/>
    <w:rsid w:val="5F9564B9"/>
    <w:rsid w:val="5FB261F6"/>
    <w:rsid w:val="5FC83D5C"/>
    <w:rsid w:val="5FD76CC7"/>
    <w:rsid w:val="5FF0A05B"/>
    <w:rsid w:val="6024BF82"/>
    <w:rsid w:val="60335C93"/>
    <w:rsid w:val="603D5CE1"/>
    <w:rsid w:val="605790B0"/>
    <w:rsid w:val="60AA6CD3"/>
    <w:rsid w:val="60C3BC0B"/>
    <w:rsid w:val="610EFC0A"/>
    <w:rsid w:val="6133617E"/>
    <w:rsid w:val="615D8865"/>
    <w:rsid w:val="61A05245"/>
    <w:rsid w:val="61AC5ACD"/>
    <w:rsid w:val="61FD2672"/>
    <w:rsid w:val="6207E107"/>
    <w:rsid w:val="6221B102"/>
    <w:rsid w:val="625D5B37"/>
    <w:rsid w:val="62BF92DE"/>
    <w:rsid w:val="62C1895E"/>
    <w:rsid w:val="62EDD346"/>
    <w:rsid w:val="62F82B7F"/>
    <w:rsid w:val="62FDCDDC"/>
    <w:rsid w:val="6327D818"/>
    <w:rsid w:val="63298383"/>
    <w:rsid w:val="633014B8"/>
    <w:rsid w:val="63720888"/>
    <w:rsid w:val="63805243"/>
    <w:rsid w:val="63849248"/>
    <w:rsid w:val="638893FA"/>
    <w:rsid w:val="638C5A1B"/>
    <w:rsid w:val="63A2193D"/>
    <w:rsid w:val="63D9A25D"/>
    <w:rsid w:val="641518EF"/>
    <w:rsid w:val="642CBD34"/>
    <w:rsid w:val="64476D4C"/>
    <w:rsid w:val="6458BE17"/>
    <w:rsid w:val="648741D9"/>
    <w:rsid w:val="651AEF53"/>
    <w:rsid w:val="65364519"/>
    <w:rsid w:val="653BD953"/>
    <w:rsid w:val="656AF2A4"/>
    <w:rsid w:val="65B4EC9D"/>
    <w:rsid w:val="65C2ECD7"/>
    <w:rsid w:val="65D0A4BE"/>
    <w:rsid w:val="65DC3871"/>
    <w:rsid w:val="66137188"/>
    <w:rsid w:val="663B6461"/>
    <w:rsid w:val="665EE433"/>
    <w:rsid w:val="6663C89B"/>
    <w:rsid w:val="66701984"/>
    <w:rsid w:val="669775FE"/>
    <w:rsid w:val="66AF2C52"/>
    <w:rsid w:val="66FB3607"/>
    <w:rsid w:val="66FEF651"/>
    <w:rsid w:val="670D7B9D"/>
    <w:rsid w:val="67127B4F"/>
    <w:rsid w:val="675DCA33"/>
    <w:rsid w:val="67F2ADA0"/>
    <w:rsid w:val="67FB6602"/>
    <w:rsid w:val="680F83CC"/>
    <w:rsid w:val="68686998"/>
    <w:rsid w:val="6888AE50"/>
    <w:rsid w:val="68B26D48"/>
    <w:rsid w:val="691C982F"/>
    <w:rsid w:val="69377A6B"/>
    <w:rsid w:val="69503944"/>
    <w:rsid w:val="696C8A54"/>
    <w:rsid w:val="696CA2DC"/>
    <w:rsid w:val="69A29156"/>
    <w:rsid w:val="69A350F5"/>
    <w:rsid w:val="69A923DE"/>
    <w:rsid w:val="69B06EE0"/>
    <w:rsid w:val="69ECD20E"/>
    <w:rsid w:val="6A155B70"/>
    <w:rsid w:val="6A1B5E6C"/>
    <w:rsid w:val="6A34E027"/>
    <w:rsid w:val="6A4FE00B"/>
    <w:rsid w:val="6A6D747F"/>
    <w:rsid w:val="6AFAA515"/>
    <w:rsid w:val="6B095BA8"/>
    <w:rsid w:val="6B1FCAF3"/>
    <w:rsid w:val="6B493EBC"/>
    <w:rsid w:val="6B58A936"/>
    <w:rsid w:val="6B65BFA2"/>
    <w:rsid w:val="6B6FC6D2"/>
    <w:rsid w:val="6B87E956"/>
    <w:rsid w:val="6BA96FFA"/>
    <w:rsid w:val="6BCABB08"/>
    <w:rsid w:val="6BCD74A8"/>
    <w:rsid w:val="6BD244C3"/>
    <w:rsid w:val="6BD2C710"/>
    <w:rsid w:val="6BE3636D"/>
    <w:rsid w:val="6BF3075F"/>
    <w:rsid w:val="6BF4417C"/>
    <w:rsid w:val="6C1DBED5"/>
    <w:rsid w:val="6C48171F"/>
    <w:rsid w:val="6C543EBA"/>
    <w:rsid w:val="6C6BB858"/>
    <w:rsid w:val="6C9B38A0"/>
    <w:rsid w:val="6CAC60B5"/>
    <w:rsid w:val="6CD36DAD"/>
    <w:rsid w:val="6CD6DC9A"/>
    <w:rsid w:val="6CE0D68A"/>
    <w:rsid w:val="6CE7E9A7"/>
    <w:rsid w:val="6D02106D"/>
    <w:rsid w:val="6D54EE56"/>
    <w:rsid w:val="6D6BD7E7"/>
    <w:rsid w:val="6DF0CF09"/>
    <w:rsid w:val="6E173FDF"/>
    <w:rsid w:val="6E2E9B65"/>
    <w:rsid w:val="6E3C058D"/>
    <w:rsid w:val="6E41B21A"/>
    <w:rsid w:val="6E966B63"/>
    <w:rsid w:val="6E9D8283"/>
    <w:rsid w:val="6EA21105"/>
    <w:rsid w:val="6EB42615"/>
    <w:rsid w:val="6EC71892"/>
    <w:rsid w:val="6ECA8493"/>
    <w:rsid w:val="6ECF0FDA"/>
    <w:rsid w:val="6EE813E3"/>
    <w:rsid w:val="6EE86341"/>
    <w:rsid w:val="6EEE9AD5"/>
    <w:rsid w:val="6F00DBCA"/>
    <w:rsid w:val="6F081AF6"/>
    <w:rsid w:val="6F262A90"/>
    <w:rsid w:val="6F538480"/>
    <w:rsid w:val="6F837D42"/>
    <w:rsid w:val="6FC0AB54"/>
    <w:rsid w:val="7002005E"/>
    <w:rsid w:val="7004300A"/>
    <w:rsid w:val="700F0FEC"/>
    <w:rsid w:val="70181828"/>
    <w:rsid w:val="701B81D5"/>
    <w:rsid w:val="703A4885"/>
    <w:rsid w:val="705C4CE4"/>
    <w:rsid w:val="70A4A473"/>
    <w:rsid w:val="70E61A99"/>
    <w:rsid w:val="70E7A6A4"/>
    <w:rsid w:val="7108DE1C"/>
    <w:rsid w:val="713141BE"/>
    <w:rsid w:val="71A857F0"/>
    <w:rsid w:val="71E1AEFA"/>
    <w:rsid w:val="71FF3E6B"/>
    <w:rsid w:val="724B2009"/>
    <w:rsid w:val="724B8CF9"/>
    <w:rsid w:val="726BB3F6"/>
    <w:rsid w:val="727C3D55"/>
    <w:rsid w:val="72A515AE"/>
    <w:rsid w:val="72D85555"/>
    <w:rsid w:val="732018C5"/>
    <w:rsid w:val="732DD56A"/>
    <w:rsid w:val="73378D0F"/>
    <w:rsid w:val="73F149EA"/>
    <w:rsid w:val="73FF5ED7"/>
    <w:rsid w:val="741411B5"/>
    <w:rsid w:val="742C6AAF"/>
    <w:rsid w:val="7447C52D"/>
    <w:rsid w:val="7478FCF9"/>
    <w:rsid w:val="74965722"/>
    <w:rsid w:val="751FA602"/>
    <w:rsid w:val="7541E8D3"/>
    <w:rsid w:val="754A4014"/>
    <w:rsid w:val="7566EF96"/>
    <w:rsid w:val="7574D2A7"/>
    <w:rsid w:val="7581C8EA"/>
    <w:rsid w:val="75A3AC71"/>
    <w:rsid w:val="75B75195"/>
    <w:rsid w:val="75C06D1E"/>
    <w:rsid w:val="75E46A66"/>
    <w:rsid w:val="75F3AC9D"/>
    <w:rsid w:val="761F3706"/>
    <w:rsid w:val="76262E96"/>
    <w:rsid w:val="762FC7A2"/>
    <w:rsid w:val="7638B3FD"/>
    <w:rsid w:val="76581574"/>
    <w:rsid w:val="76590374"/>
    <w:rsid w:val="766CC579"/>
    <w:rsid w:val="7689CB03"/>
    <w:rsid w:val="769A41AF"/>
    <w:rsid w:val="77068333"/>
    <w:rsid w:val="770AA1C3"/>
    <w:rsid w:val="7723EF59"/>
    <w:rsid w:val="774C820E"/>
    <w:rsid w:val="7775CCB5"/>
    <w:rsid w:val="77CEBC12"/>
    <w:rsid w:val="77D03032"/>
    <w:rsid w:val="781529DC"/>
    <w:rsid w:val="7823AD05"/>
    <w:rsid w:val="783276D8"/>
    <w:rsid w:val="783A1306"/>
    <w:rsid w:val="785CB2E3"/>
    <w:rsid w:val="78649561"/>
    <w:rsid w:val="78741E18"/>
    <w:rsid w:val="787CF5BF"/>
    <w:rsid w:val="78814D33"/>
    <w:rsid w:val="78FD51D7"/>
    <w:rsid w:val="791CA59E"/>
    <w:rsid w:val="79360862"/>
    <w:rsid w:val="795535D6"/>
    <w:rsid w:val="797120B9"/>
    <w:rsid w:val="79728622"/>
    <w:rsid w:val="7979BD61"/>
    <w:rsid w:val="797ED654"/>
    <w:rsid w:val="79804570"/>
    <w:rsid w:val="79A9E95E"/>
    <w:rsid w:val="79D8AD96"/>
    <w:rsid w:val="79E427A1"/>
    <w:rsid w:val="79E71801"/>
    <w:rsid w:val="7A81E3DB"/>
    <w:rsid w:val="7A8E1B0B"/>
    <w:rsid w:val="7ABDC56B"/>
    <w:rsid w:val="7AFD7D47"/>
    <w:rsid w:val="7B129A3D"/>
    <w:rsid w:val="7B2FEBDD"/>
    <w:rsid w:val="7B80C80A"/>
    <w:rsid w:val="7B8384B6"/>
    <w:rsid w:val="7BC58379"/>
    <w:rsid w:val="7BC616CA"/>
    <w:rsid w:val="7BCCA83C"/>
    <w:rsid w:val="7C0984C4"/>
    <w:rsid w:val="7C22BC9C"/>
    <w:rsid w:val="7C297CEC"/>
    <w:rsid w:val="7C6CC3F7"/>
    <w:rsid w:val="7C6E41DF"/>
    <w:rsid w:val="7C81981D"/>
    <w:rsid w:val="7C8318CD"/>
    <w:rsid w:val="7C95327C"/>
    <w:rsid w:val="7C96AED0"/>
    <w:rsid w:val="7CA507FF"/>
    <w:rsid w:val="7CB1AB5C"/>
    <w:rsid w:val="7CFC6E8F"/>
    <w:rsid w:val="7D0050F6"/>
    <w:rsid w:val="7D05BF26"/>
    <w:rsid w:val="7D508485"/>
    <w:rsid w:val="7D5169F2"/>
    <w:rsid w:val="7D71B1F9"/>
    <w:rsid w:val="7D94A18A"/>
    <w:rsid w:val="7DBB1E5E"/>
    <w:rsid w:val="7DDCE4E9"/>
    <w:rsid w:val="7E0EC366"/>
    <w:rsid w:val="7E1F72FA"/>
    <w:rsid w:val="7E340CEE"/>
    <w:rsid w:val="7E4A77C2"/>
    <w:rsid w:val="7E4B4BAB"/>
    <w:rsid w:val="7E4FC12E"/>
    <w:rsid w:val="7E571D5A"/>
    <w:rsid w:val="7E5FC396"/>
    <w:rsid w:val="7E67F1E4"/>
    <w:rsid w:val="7E8C20A2"/>
    <w:rsid w:val="7E9DE007"/>
    <w:rsid w:val="7ED8DE2F"/>
    <w:rsid w:val="7EEE8181"/>
    <w:rsid w:val="7F11F01D"/>
    <w:rsid w:val="7F3B4146"/>
    <w:rsid w:val="7F4182DE"/>
    <w:rsid w:val="7F42D62F"/>
    <w:rsid w:val="7F58B6E8"/>
    <w:rsid w:val="7F5E3DB2"/>
    <w:rsid w:val="7FD1706A"/>
    <w:rsid w:val="7FD81C54"/>
    <w:rsid w:val="7FE6AEE9"/>
    <w:rsid w:val="7FEA3294"/>
    <w:rsid w:val="7FFDE1DF"/>
  </w:rsids>
  <m:mathPr>
    <m:mathFont m:val="Cambria Math"/>
    <m:brkBin m:val="before"/>
    <m:brkBinSub m:val="--"/>
    <m:smallFrac m:val="0"/>
    <m:dispDef/>
    <m:lMargin m:val="0"/>
    <m:rMargin m:val="0"/>
    <m:defJc m:val="centerGroup"/>
    <m:wrapIndent m:val="1440"/>
    <m:intLim m:val="subSup"/>
    <m:naryLim m:val="undOvr"/>
  </m:mathPr>
  <w:themeFontLang w:val="en-IN"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35B382A"/>
  <w15:docId w15:val="{2167841A-6824-40C3-9503-1E5ECA6ADE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Times New Roman" w:eastAsia="Times New Roman" w:hAnsi="Times New Roman" w:cs="Times New Roman"/>
        <w:lang w:val="en-IN" w:eastAsia="en-IN" w:bidi="ar-SA"/>
      </w:rPr>
    </w:rPrDefault>
    <w:pPrDefault/>
  </w:docDefaults>
  <w:latentStyles w:defLockedState="0" w:defUIPriority="0" w:defSemiHidden="0" w:defUnhideWhenUsed="0" w:defQFormat="0" w:count="376">
    <w:lsdException w:name="heading 1" w:qFormat="1"/>
    <w:lsdException w:name="heading 2"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3" w:unhideWhenUsed="1"/>
    <w:lsdException w:name="List 2" w:semiHidden="1" w:unhideWhenUsed="1"/>
    <w:lsdException w:name="List 3" w:semiHidden="1" w:unhideWhenUsed="1"/>
    <w:lsdException w:name="List Bullet 2" w:semiHidden="1" w:uiPriority="13" w:unhideWhenUsed="1"/>
    <w:lsdException w:name="List Bullet 3" w:semiHidden="1" w:uiPriority="13" w:unhideWhenUsed="1"/>
    <w:lsdException w:name="List Bullet 4" w:semiHidden="1" w:uiPriority="13" w:unhideWhenUsed="1"/>
    <w:lsdException w:name="List Bullet 5" w:semiHidden="1" w:uiPriority="13"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0A49FF"/>
    <w:pPr>
      <w:overflowPunct w:val="0"/>
      <w:autoSpaceDE w:val="0"/>
      <w:autoSpaceDN w:val="0"/>
      <w:adjustRightInd w:val="0"/>
      <w:spacing w:after="120" w:line="276" w:lineRule="auto"/>
      <w:jc w:val="both"/>
      <w:textAlignment w:val="baseline"/>
    </w:pPr>
    <w:rPr>
      <w:lang w:val="en-US" w:eastAsia="de-DE"/>
    </w:rPr>
  </w:style>
  <w:style w:type="paragraph" w:styleId="Heading1">
    <w:name w:val="heading 1"/>
    <w:basedOn w:val="Normal"/>
    <w:next w:val="Normal"/>
    <w:link w:val="Heading1Char"/>
    <w:qFormat/>
    <w:pPr>
      <w:keepNext/>
      <w:numPr>
        <w:ilvl w:val="1"/>
        <w:numId w:val="6"/>
      </w:numPr>
      <w:spacing w:after="240"/>
      <w:outlineLvl w:val="0"/>
    </w:pPr>
    <w:rPr>
      <w:b/>
      <w:bCs/>
      <w:sz w:val="28"/>
      <w:szCs w:val="24"/>
    </w:rPr>
  </w:style>
  <w:style w:type="paragraph" w:styleId="Heading20">
    <w:name w:val="heading 2"/>
    <w:basedOn w:val="Normal"/>
    <w:next w:val="Normal"/>
    <w:link w:val="Heading2Char"/>
    <w:qFormat/>
    <w:pPr>
      <w:keepNext/>
      <w:spacing w:before="240"/>
      <w:outlineLvl w:val="1"/>
    </w:pPr>
    <w:rPr>
      <w:b/>
    </w:rPr>
  </w:style>
  <w:style w:type="paragraph" w:styleId="Heading30">
    <w:name w:val="heading 3"/>
    <w:basedOn w:val="Normal"/>
    <w:next w:val="Normal"/>
    <w:link w:val="Heading3Char"/>
    <w:uiPriority w:val="9"/>
    <w:qFormat/>
    <w:pPr>
      <w:keepNext/>
      <w:spacing w:before="180"/>
      <w:outlineLvl w:val="2"/>
    </w:pPr>
    <w:rPr>
      <w:b/>
      <w:bCs/>
      <w:szCs w:val="26"/>
    </w:rPr>
  </w:style>
  <w:style w:type="paragraph" w:styleId="Heading40">
    <w:name w:val="heading 4"/>
    <w:next w:val="Normal"/>
    <w:link w:val="Heading4Char"/>
    <w:qFormat/>
    <w:rsid w:val="00B73E2D"/>
    <w:pPr>
      <w:keepNext/>
      <w:keepLines/>
      <w:snapToGrid w:val="0"/>
      <w:spacing w:before="320" w:after="160" w:line="254" w:lineRule="auto"/>
      <w:jc w:val="both"/>
      <w:outlineLvl w:val="3"/>
    </w:pPr>
    <w:rPr>
      <w:b/>
      <w:bCs/>
      <w:szCs w:val="28"/>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rPr>
      <w:sz w:val="20"/>
    </w:rPr>
  </w:style>
  <w:style w:type="paragraph" w:customStyle="1" w:styleId="Runninghead-left">
    <w:name w:val="Running head - left"/>
    <w:basedOn w:val="Normal"/>
    <w:rsid w:val="00D52D3D"/>
    <w:pPr>
      <w:tabs>
        <w:tab w:val="left" w:pos="680"/>
        <w:tab w:val="right" w:pos="6237"/>
        <w:tab w:val="right" w:pos="6917"/>
      </w:tabs>
      <w:spacing w:line="200" w:lineRule="exact"/>
      <w:jc w:val="left"/>
    </w:pPr>
    <w:rPr>
      <w:sz w:val="17"/>
    </w:rPr>
  </w:style>
  <w:style w:type="paragraph" w:customStyle="1" w:styleId="Runninghead-right">
    <w:name w:val="Running head - right"/>
    <w:basedOn w:val="Runninghead-left"/>
    <w:pPr>
      <w:jc w:val="right"/>
    </w:pPr>
  </w:style>
  <w:style w:type="paragraph" w:customStyle="1" w:styleId="author">
    <w:name w:val="author"/>
    <w:basedOn w:val="Normal"/>
    <w:next w:val="Normal"/>
    <w:rsid w:val="00A60EC9"/>
    <w:pPr>
      <w:suppressAutoHyphens/>
      <w:spacing w:before="240" w:after="240"/>
      <w:jc w:val="left"/>
    </w:pPr>
    <w:rPr>
      <w:b/>
    </w:rPr>
  </w:style>
  <w:style w:type="paragraph" w:customStyle="1" w:styleId="table">
    <w:name w:val="table"/>
    <w:basedOn w:val="Normal"/>
    <w:rsid w:val="00D52D3D"/>
    <w:pPr>
      <w:spacing w:before="60" w:line="200" w:lineRule="atLeast"/>
      <w:jc w:val="left"/>
    </w:pPr>
    <w:rPr>
      <w:sz w:val="17"/>
      <w:szCs w:val="18"/>
    </w:rPr>
  </w:style>
  <w:style w:type="paragraph" w:customStyle="1" w:styleId="equation">
    <w:name w:val="equation"/>
    <w:basedOn w:val="Normal"/>
    <w:next w:val="Normal"/>
    <w:rsid w:val="00D54403"/>
    <w:pPr>
      <w:tabs>
        <w:tab w:val="center" w:pos="3204"/>
        <w:tab w:val="right" w:pos="6634"/>
      </w:tabs>
      <w:spacing w:before="480" w:after="480"/>
      <w:jc w:val="left"/>
    </w:pPr>
  </w:style>
  <w:style w:type="paragraph" w:customStyle="1" w:styleId="fignotes">
    <w:name w:val="fignotes"/>
    <w:basedOn w:val="Normal"/>
    <w:next w:val="Normal"/>
    <w:rsid w:val="00D52D3D"/>
    <w:pPr>
      <w:keepLines/>
      <w:spacing w:before="120" w:after="240"/>
    </w:pPr>
    <w:rPr>
      <w:sz w:val="17"/>
    </w:rPr>
  </w:style>
  <w:style w:type="paragraph" w:customStyle="1" w:styleId="heading10">
    <w:name w:val="heading1"/>
    <w:basedOn w:val="Normal"/>
    <w:next w:val="noindentpara"/>
    <w:rsid w:val="008346D2"/>
    <w:pPr>
      <w:keepNext/>
      <w:keepLines/>
      <w:numPr>
        <w:ilvl w:val="1"/>
        <w:numId w:val="9"/>
      </w:numPr>
      <w:suppressAutoHyphens/>
      <w:spacing w:before="720" w:after="480" w:line="280" w:lineRule="atLeast"/>
      <w:jc w:val="left"/>
      <w:outlineLvl w:val="1"/>
    </w:pPr>
    <w:rPr>
      <w:b/>
      <w:sz w:val="24"/>
    </w:rPr>
  </w:style>
  <w:style w:type="paragraph" w:customStyle="1" w:styleId="heading2">
    <w:name w:val="heading2"/>
    <w:basedOn w:val="heading10"/>
    <w:next w:val="noindentpara"/>
    <w:rsid w:val="0098437F"/>
    <w:pPr>
      <w:numPr>
        <w:ilvl w:val="2"/>
      </w:numPr>
      <w:tabs>
        <w:tab w:val="left" w:pos="510"/>
      </w:tabs>
      <w:spacing w:after="0"/>
      <w:outlineLvl w:val="2"/>
    </w:pPr>
    <w:rPr>
      <w:i/>
      <w:lang w:val="en-GB"/>
    </w:rPr>
  </w:style>
  <w:style w:type="paragraph" w:customStyle="1" w:styleId="heading3">
    <w:name w:val="heading3"/>
    <w:basedOn w:val="Normal"/>
    <w:next w:val="noindentpara"/>
    <w:rsid w:val="008346D2"/>
    <w:pPr>
      <w:numPr>
        <w:ilvl w:val="3"/>
        <w:numId w:val="9"/>
      </w:numPr>
      <w:tabs>
        <w:tab w:val="left" w:pos="284"/>
      </w:tabs>
      <w:suppressAutoHyphens/>
      <w:spacing w:before="480" w:after="240"/>
      <w:jc w:val="left"/>
      <w:outlineLvl w:val="3"/>
    </w:pPr>
    <w:rPr>
      <w:b/>
    </w:rPr>
  </w:style>
  <w:style w:type="paragraph" w:customStyle="1" w:styleId="subitem">
    <w:name w:val="subitem"/>
    <w:rsid w:val="006A574A"/>
    <w:pPr>
      <w:numPr>
        <w:numId w:val="1"/>
      </w:numPr>
      <w:spacing w:after="120" w:line="240" w:lineRule="atLeast"/>
      <w:contextualSpacing/>
      <w:jc w:val="both"/>
    </w:pPr>
    <w:rPr>
      <w:lang w:val="en-US" w:eastAsia="de-DE"/>
    </w:rPr>
  </w:style>
  <w:style w:type="paragraph" w:customStyle="1" w:styleId="NumberedItem">
    <w:name w:val="Numbered Item"/>
    <w:basedOn w:val="bulletitem"/>
    <w:rsid w:val="006A574A"/>
  </w:style>
  <w:style w:type="paragraph" w:customStyle="1" w:styleId="bulletitem">
    <w:name w:val="bulletitem"/>
    <w:basedOn w:val="Normal"/>
    <w:rsid w:val="00EA44D1"/>
    <w:pPr>
      <w:numPr>
        <w:numId w:val="2"/>
      </w:numPr>
      <w:ind w:left="0" w:firstLine="0"/>
      <w:contextualSpacing/>
    </w:pPr>
  </w:style>
  <w:style w:type="paragraph" w:customStyle="1" w:styleId="reference">
    <w:name w:val="reference"/>
    <w:basedOn w:val="Normal"/>
    <w:rsid w:val="00903CE4"/>
    <w:pPr>
      <w:tabs>
        <w:tab w:val="left" w:pos="340"/>
      </w:tabs>
    </w:pPr>
    <w:rPr>
      <w:sz w:val="17"/>
    </w:rPr>
  </w:style>
  <w:style w:type="paragraph" w:customStyle="1" w:styleId="important">
    <w:name w:val="important"/>
    <w:basedOn w:val="Normal"/>
    <w:rsid w:val="006E4B8C"/>
    <w:pPr>
      <w:shd w:val="clear" w:color="auto" w:fill="D9D9D9"/>
      <w:spacing w:before="240" w:after="240"/>
      <w:ind w:left="238" w:right="238" w:firstLine="284"/>
      <w:contextualSpacing/>
    </w:pPr>
  </w:style>
  <w:style w:type="paragraph" w:customStyle="1" w:styleId="tablelegend">
    <w:name w:val="tablelegend"/>
    <w:basedOn w:val="Normal"/>
    <w:next w:val="Normal"/>
    <w:rsid w:val="004A0CD5"/>
    <w:pPr>
      <w:keepNext/>
      <w:keepLines/>
      <w:spacing w:before="240" w:line="200" w:lineRule="atLeast"/>
    </w:pPr>
    <w:rPr>
      <w:sz w:val="17"/>
    </w:rPr>
  </w:style>
  <w:style w:type="paragraph" w:customStyle="1" w:styleId="tablenotes">
    <w:name w:val="tablenotes"/>
    <w:basedOn w:val="Normal"/>
    <w:next w:val="Normal"/>
    <w:rsid w:val="00D52D3D"/>
    <w:pPr>
      <w:widowControl w:val="0"/>
      <w:spacing w:before="20" w:line="200" w:lineRule="atLeast"/>
      <w:jc w:val="left"/>
    </w:pPr>
    <w:rPr>
      <w:sz w:val="17"/>
    </w:rPr>
  </w:style>
  <w:style w:type="paragraph" w:styleId="Index1">
    <w:name w:val="index 1"/>
    <w:basedOn w:val="Normal"/>
    <w:uiPriority w:val="99"/>
    <w:semiHidden/>
    <w:rsid w:val="00A03A43"/>
    <w:pPr>
      <w:ind w:left="200" w:hanging="200"/>
      <w:jc w:val="left"/>
    </w:pPr>
    <w:rPr>
      <w:sz w:val="18"/>
      <w:szCs w:val="18"/>
    </w:rPr>
  </w:style>
  <w:style w:type="paragraph" w:styleId="Index2">
    <w:name w:val="index 2"/>
    <w:basedOn w:val="Index1"/>
    <w:uiPriority w:val="99"/>
    <w:semiHidden/>
    <w:rsid w:val="009960F7"/>
    <w:pPr>
      <w:ind w:left="400"/>
    </w:pPr>
  </w:style>
  <w:style w:type="paragraph" w:styleId="Index3">
    <w:name w:val="index 3"/>
    <w:basedOn w:val="Normal"/>
    <w:next w:val="Normal"/>
    <w:semiHidden/>
    <w:pPr>
      <w:ind w:left="600" w:hanging="200"/>
      <w:jc w:val="left"/>
    </w:pPr>
    <w:rPr>
      <w:sz w:val="18"/>
      <w:szCs w:val="18"/>
    </w:rPr>
  </w:style>
  <w:style w:type="paragraph" w:styleId="FootnoteText">
    <w:name w:val="footnote text"/>
    <w:basedOn w:val="Normal"/>
    <w:link w:val="FootnoteTextChar"/>
  </w:style>
  <w:style w:type="paragraph" w:styleId="TOC4">
    <w:name w:val="toc 4"/>
    <w:basedOn w:val="Normal"/>
    <w:next w:val="Normal"/>
    <w:semiHidden/>
    <w:rsid w:val="00F9665F"/>
    <w:pPr>
      <w:spacing w:after="0"/>
      <w:ind w:left="600"/>
      <w:jc w:val="left"/>
    </w:pPr>
    <w:rPr>
      <w:rFonts w:asciiTheme="minorHAnsi" w:hAnsiTheme="minorHAnsi" w:cstheme="minorHAnsi"/>
    </w:rPr>
  </w:style>
  <w:style w:type="character" w:styleId="Hyperlink">
    <w:name w:val="Hyperlink"/>
    <w:uiPriority w:val="99"/>
    <w:rPr>
      <w:color w:val="0000FF"/>
      <w:u w:val="single"/>
    </w:rPr>
  </w:style>
  <w:style w:type="paragraph" w:customStyle="1" w:styleId="heading4">
    <w:name w:val="heading4"/>
    <w:basedOn w:val="Normal"/>
    <w:next w:val="noindentpara"/>
    <w:rsid w:val="008346D2"/>
    <w:pPr>
      <w:keepNext/>
      <w:numPr>
        <w:ilvl w:val="4"/>
        <w:numId w:val="9"/>
      </w:numPr>
      <w:outlineLvl w:val="4"/>
    </w:pPr>
  </w:style>
  <w:style w:type="paragraph" w:customStyle="1" w:styleId="heading5">
    <w:name w:val="heading5"/>
    <w:basedOn w:val="Normal"/>
    <w:next w:val="noindentpara"/>
    <w:rsid w:val="008346D2"/>
    <w:pPr>
      <w:numPr>
        <w:ilvl w:val="5"/>
        <w:numId w:val="9"/>
      </w:numPr>
      <w:spacing w:before="360"/>
      <w:outlineLvl w:val="5"/>
    </w:pPr>
    <w:rPr>
      <w:i/>
    </w:rPr>
  </w:style>
  <w:style w:type="paragraph" w:customStyle="1" w:styleId="MainSubtitle">
    <w:name w:val="Main_Subtitle"/>
    <w:basedOn w:val="Normal"/>
    <w:next w:val="Normal"/>
    <w:rsid w:val="00583E41"/>
    <w:pPr>
      <w:tabs>
        <w:tab w:val="left" w:pos="567"/>
      </w:tabs>
      <w:spacing w:before="320" w:line="320" w:lineRule="atLeast"/>
    </w:pPr>
    <w:rPr>
      <w:sz w:val="28"/>
    </w:rPr>
  </w:style>
  <w:style w:type="paragraph" w:customStyle="1" w:styleId="RuninHead1">
    <w:name w:val="RuninHead1"/>
    <w:basedOn w:val="Normal"/>
    <w:next w:val="noindentpara"/>
    <w:link w:val="RuninHead1Char"/>
    <w:rsid w:val="002539B7"/>
    <w:pPr>
      <w:spacing w:line="240" w:lineRule="auto"/>
      <w:jc w:val="left"/>
    </w:pPr>
    <w:rPr>
      <w:b/>
    </w:rPr>
  </w:style>
  <w:style w:type="paragraph" w:customStyle="1" w:styleId="RuninHead2">
    <w:name w:val="RuninHead2"/>
    <w:basedOn w:val="Normal"/>
    <w:next w:val="Normal"/>
    <w:link w:val="RuninHead2Char"/>
    <w:rsid w:val="002539B7"/>
    <w:pPr>
      <w:spacing w:line="240" w:lineRule="auto"/>
      <w:jc w:val="left"/>
    </w:pPr>
    <w:rPr>
      <w:b/>
      <w:i/>
    </w:rPr>
  </w:style>
  <w:style w:type="paragraph" w:customStyle="1" w:styleId="affiliation">
    <w:name w:val="affiliation"/>
    <w:basedOn w:val="Normal"/>
    <w:next w:val="Normal"/>
    <w:rsid w:val="0081006B"/>
    <w:pPr>
      <w:suppressAutoHyphens/>
      <w:spacing w:before="240" w:line="200" w:lineRule="atLeast"/>
      <w:ind w:left="238"/>
      <w:contextualSpacing/>
      <w:jc w:val="left"/>
    </w:pPr>
    <w:rPr>
      <w:sz w:val="17"/>
    </w:rPr>
  </w:style>
  <w:style w:type="paragraph" w:customStyle="1" w:styleId="abstract">
    <w:name w:val="abstract"/>
    <w:basedOn w:val="Normal"/>
    <w:next w:val="Normal"/>
    <w:rsid w:val="00A03A43"/>
  </w:style>
  <w:style w:type="paragraph" w:customStyle="1" w:styleId="quotation">
    <w:name w:val="quotation"/>
    <w:basedOn w:val="affiliation"/>
    <w:next w:val="Normal"/>
    <w:rsid w:val="0081006B"/>
    <w:pPr>
      <w:spacing w:after="240"/>
      <w:ind w:right="238"/>
      <w:jc w:val="both"/>
    </w:pPr>
  </w:style>
  <w:style w:type="paragraph" w:customStyle="1" w:styleId="acknowledgements">
    <w:name w:val="acknowledgements"/>
    <w:basedOn w:val="unheading1"/>
    <w:next w:val="Normal"/>
    <w:rsid w:val="00161555"/>
    <w:rPr>
      <w:b w:val="0"/>
      <w:sz w:val="20"/>
    </w:rPr>
  </w:style>
  <w:style w:type="paragraph" w:customStyle="1" w:styleId="references">
    <w:name w:val="references"/>
    <w:basedOn w:val="unheading1"/>
    <w:rsid w:val="005308AA"/>
    <w:pPr>
      <w:spacing w:before="0" w:after="120" w:line="276" w:lineRule="auto"/>
    </w:pPr>
  </w:style>
  <w:style w:type="paragraph" w:customStyle="1" w:styleId="figurecitation">
    <w:name w:val="figurecitation"/>
    <w:basedOn w:val="Normal"/>
    <w:rsid w:val="00B61139"/>
    <w:pPr>
      <w:pBdr>
        <w:top w:val="single" w:sz="8" w:space="1" w:color="auto"/>
        <w:left w:val="single" w:sz="8" w:space="4" w:color="auto"/>
        <w:bottom w:val="single" w:sz="8" w:space="1" w:color="auto"/>
        <w:right w:val="single" w:sz="8" w:space="4" w:color="auto"/>
      </w:pBdr>
    </w:pPr>
    <w:rPr>
      <w:b/>
      <w:sz w:val="36"/>
    </w:rPr>
  </w:style>
  <w:style w:type="paragraph" w:customStyle="1" w:styleId="para">
    <w:name w:val="para"/>
    <w:rsid w:val="00FA4C47"/>
    <w:pPr>
      <w:spacing w:after="120" w:line="276" w:lineRule="auto"/>
      <w:jc w:val="both"/>
    </w:pPr>
    <w:rPr>
      <w:lang w:val="en-US" w:eastAsia="de-DE"/>
    </w:rPr>
  </w:style>
  <w:style w:type="paragraph" w:customStyle="1" w:styleId="formalpara">
    <w:name w:val="formalpara"/>
    <w:basedOn w:val="Normal"/>
    <w:next w:val="Normal"/>
    <w:rsid w:val="00A03A43"/>
    <w:pPr>
      <w:spacing w:before="480" w:after="240"/>
    </w:pPr>
  </w:style>
  <w:style w:type="paragraph" w:customStyle="1" w:styleId="keyword">
    <w:name w:val="keyword"/>
    <w:basedOn w:val="abstract"/>
    <w:rsid w:val="004A0CD5"/>
  </w:style>
  <w:style w:type="paragraph" w:customStyle="1" w:styleId="appendix">
    <w:name w:val="appendix"/>
    <w:basedOn w:val="unheading1"/>
    <w:next w:val="Normal"/>
    <w:qFormat/>
    <w:rsid w:val="00923C93"/>
    <w:rPr>
      <w:b w:val="0"/>
    </w:rPr>
  </w:style>
  <w:style w:type="paragraph" w:customStyle="1" w:styleId="List1">
    <w:name w:val="List1"/>
    <w:basedOn w:val="para"/>
    <w:next w:val="Normal"/>
    <w:rsid w:val="00E6578B"/>
    <w:pPr>
      <w:spacing w:before="480" w:after="480" w:line="240" w:lineRule="atLeast"/>
      <w:contextualSpacing/>
    </w:pPr>
    <w:rPr>
      <w:lang w:val="en-IN"/>
    </w:rPr>
  </w:style>
  <w:style w:type="paragraph" w:customStyle="1" w:styleId="figure">
    <w:name w:val="figure"/>
    <w:basedOn w:val="table"/>
    <w:next w:val="Normal"/>
    <w:rsid w:val="002C16AE"/>
    <w:pPr>
      <w:spacing w:line="276" w:lineRule="auto"/>
    </w:pPr>
    <w:rPr>
      <w:lang w:val="en-IN"/>
    </w:rPr>
  </w:style>
  <w:style w:type="numbering" w:customStyle="1" w:styleId="Olist">
    <w:name w:val="Olist"/>
    <w:basedOn w:val="NoList"/>
    <w:rsid w:val="00995BA3"/>
    <w:pPr>
      <w:numPr>
        <w:numId w:val="3"/>
      </w:numPr>
    </w:pPr>
  </w:style>
  <w:style w:type="numbering" w:customStyle="1" w:styleId="UList">
    <w:name w:val="UList"/>
    <w:basedOn w:val="NoList"/>
    <w:rsid w:val="00995BA3"/>
    <w:pPr>
      <w:numPr>
        <w:numId w:val="4"/>
      </w:numPr>
    </w:pPr>
  </w:style>
  <w:style w:type="numbering" w:customStyle="1" w:styleId="Ulistt">
    <w:name w:val="Ulistt"/>
    <w:basedOn w:val="NoList"/>
    <w:rsid w:val="00995BA3"/>
    <w:pPr>
      <w:numPr>
        <w:numId w:val="5"/>
      </w:numPr>
    </w:pPr>
  </w:style>
  <w:style w:type="paragraph" w:customStyle="1" w:styleId="continuoustext">
    <w:name w:val="continuoustext"/>
    <w:basedOn w:val="para"/>
    <w:next w:val="Normal"/>
    <w:rsid w:val="00C754E3"/>
  </w:style>
  <w:style w:type="paragraph" w:customStyle="1" w:styleId="computercode">
    <w:name w:val="computercode"/>
    <w:basedOn w:val="para"/>
    <w:next w:val="Normal"/>
    <w:rsid w:val="00DF0687"/>
  </w:style>
  <w:style w:type="paragraph" w:customStyle="1" w:styleId="MainTitle">
    <w:name w:val="Main_Title"/>
    <w:basedOn w:val="Normal"/>
    <w:next w:val="Normal"/>
    <w:link w:val="MainTitleChar"/>
    <w:rsid w:val="003C3278"/>
    <w:pPr>
      <w:keepNext/>
      <w:pageBreakBefore/>
      <w:numPr>
        <w:numId w:val="8"/>
      </w:numPr>
      <w:suppressAutoHyphens/>
      <w:spacing w:before="360" w:after="480" w:line="360" w:lineRule="auto"/>
      <w:outlineLvl w:val="0"/>
    </w:pPr>
    <w:rPr>
      <w:b/>
      <w:sz w:val="32"/>
    </w:rPr>
  </w:style>
  <w:style w:type="paragraph" w:styleId="Subtitle">
    <w:name w:val="Subtitle"/>
    <w:basedOn w:val="Normal"/>
    <w:next w:val="Normal"/>
    <w:link w:val="SubtitleChar"/>
    <w:rsid w:val="00A64714"/>
    <w:pPr>
      <w:numPr>
        <w:ilvl w:val="1"/>
      </w:numPr>
      <w:spacing w:after="160"/>
      <w:ind w:firstLine="238"/>
    </w:pPr>
    <w:rPr>
      <w:color w:val="5A5A5A" w:themeColor="text1" w:themeTint="A5"/>
      <w:spacing w:val="15"/>
      <w:sz w:val="22"/>
      <w:szCs w:val="22"/>
    </w:rPr>
  </w:style>
  <w:style w:type="character" w:customStyle="1" w:styleId="SubtitleChar">
    <w:name w:val="Subtitle Char"/>
    <w:basedOn w:val="DefaultParagraphFont"/>
    <w:link w:val="Subtitle"/>
    <w:rsid w:val="00A64714"/>
    <w:rPr>
      <w:rFonts w:ascii="Times New Roman" w:eastAsia="Times New Roman" w:hAnsi="Times New Roman" w:cs="Times New Roman"/>
      <w:color w:val="5A5A5A" w:themeColor="text1" w:themeTint="A5"/>
      <w:spacing w:val="15"/>
      <w:sz w:val="22"/>
      <w:szCs w:val="22"/>
      <w:lang w:val="en-US" w:eastAsia="de-DE"/>
    </w:rPr>
  </w:style>
  <w:style w:type="paragraph" w:customStyle="1" w:styleId="footenote">
    <w:name w:val="footenote"/>
    <w:basedOn w:val="para"/>
    <w:rsid w:val="00E648CE"/>
    <w:pPr>
      <w:spacing w:line="200" w:lineRule="exact"/>
      <w:ind w:left="238"/>
    </w:pPr>
    <w:rPr>
      <w:sz w:val="17"/>
    </w:rPr>
  </w:style>
  <w:style w:type="paragraph" w:styleId="IndexHeading">
    <w:name w:val="index heading"/>
    <w:basedOn w:val="Normal"/>
    <w:next w:val="Index1"/>
    <w:uiPriority w:val="99"/>
    <w:unhideWhenUsed/>
    <w:rsid w:val="00A84354"/>
    <w:pPr>
      <w:pBdr>
        <w:top w:val="single" w:sz="12" w:space="0" w:color="auto"/>
      </w:pBdr>
      <w:spacing w:before="360" w:after="240"/>
      <w:jc w:val="left"/>
    </w:pPr>
    <w:rPr>
      <w:b/>
      <w:bCs/>
      <w:i/>
      <w:iCs/>
      <w:sz w:val="26"/>
      <w:szCs w:val="26"/>
    </w:rPr>
  </w:style>
  <w:style w:type="paragraph" w:styleId="TOC5">
    <w:name w:val="toc 5"/>
    <w:basedOn w:val="Normal"/>
    <w:next w:val="Normal"/>
    <w:autoRedefine/>
    <w:semiHidden/>
    <w:unhideWhenUsed/>
    <w:rsid w:val="00AD21BF"/>
    <w:pPr>
      <w:spacing w:after="0"/>
      <w:ind w:left="800"/>
      <w:jc w:val="left"/>
    </w:pPr>
    <w:rPr>
      <w:rFonts w:asciiTheme="minorHAnsi" w:hAnsiTheme="minorHAnsi" w:cstheme="minorHAnsi"/>
    </w:rPr>
  </w:style>
  <w:style w:type="paragraph" w:styleId="TOC6">
    <w:name w:val="toc 6"/>
    <w:basedOn w:val="Normal"/>
    <w:next w:val="Normal"/>
    <w:autoRedefine/>
    <w:semiHidden/>
    <w:unhideWhenUsed/>
    <w:rsid w:val="00AD21BF"/>
    <w:pPr>
      <w:spacing w:after="0"/>
      <w:ind w:left="1000"/>
      <w:jc w:val="left"/>
    </w:pPr>
    <w:rPr>
      <w:rFonts w:asciiTheme="minorHAnsi" w:hAnsiTheme="minorHAnsi" w:cstheme="minorHAnsi"/>
    </w:rPr>
  </w:style>
  <w:style w:type="paragraph" w:styleId="TOC7">
    <w:name w:val="toc 7"/>
    <w:basedOn w:val="Normal"/>
    <w:next w:val="Normal"/>
    <w:autoRedefine/>
    <w:semiHidden/>
    <w:unhideWhenUsed/>
    <w:rsid w:val="00AD21BF"/>
    <w:pPr>
      <w:spacing w:after="0"/>
      <w:ind w:left="1200"/>
      <w:jc w:val="left"/>
    </w:pPr>
    <w:rPr>
      <w:rFonts w:asciiTheme="minorHAnsi" w:hAnsiTheme="minorHAnsi" w:cstheme="minorHAnsi"/>
    </w:rPr>
  </w:style>
  <w:style w:type="paragraph" w:styleId="TOC8">
    <w:name w:val="toc 8"/>
    <w:basedOn w:val="Normal"/>
    <w:next w:val="Normal"/>
    <w:autoRedefine/>
    <w:semiHidden/>
    <w:unhideWhenUsed/>
    <w:rsid w:val="00AD21BF"/>
    <w:pPr>
      <w:spacing w:after="0"/>
      <w:ind w:left="1400"/>
      <w:jc w:val="left"/>
    </w:pPr>
    <w:rPr>
      <w:rFonts w:asciiTheme="minorHAnsi" w:hAnsiTheme="minorHAnsi" w:cstheme="minorHAnsi"/>
    </w:rPr>
  </w:style>
  <w:style w:type="paragraph" w:styleId="TOC9">
    <w:name w:val="toc 9"/>
    <w:basedOn w:val="Normal"/>
    <w:next w:val="Normal"/>
    <w:autoRedefine/>
    <w:semiHidden/>
    <w:unhideWhenUsed/>
    <w:rsid w:val="00AD21BF"/>
    <w:pPr>
      <w:spacing w:after="0"/>
      <w:ind w:left="1600"/>
      <w:jc w:val="left"/>
    </w:pPr>
    <w:rPr>
      <w:rFonts w:asciiTheme="minorHAnsi" w:hAnsiTheme="minorHAnsi" w:cstheme="minorHAnsi"/>
    </w:rPr>
  </w:style>
  <w:style w:type="table" w:styleId="TableGrid">
    <w:name w:val="Table Grid"/>
    <w:basedOn w:val="TableNormal"/>
    <w:uiPriority w:val="59"/>
    <w:rsid w:val="001075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iclenote">
    <w:name w:val="articlenote"/>
    <w:basedOn w:val="affiliation"/>
    <w:next w:val="Normal"/>
    <w:rsid w:val="00AD3BD2"/>
    <w:pPr>
      <w:ind w:left="0"/>
    </w:pPr>
  </w:style>
  <w:style w:type="paragraph" w:styleId="TOCHeading">
    <w:name w:val="TOC Heading"/>
    <w:basedOn w:val="Heading1"/>
    <w:next w:val="Normal"/>
    <w:uiPriority w:val="39"/>
    <w:unhideWhenUsed/>
    <w:qFormat/>
    <w:rsid w:val="00170DEC"/>
    <w:pPr>
      <w:keepLines/>
      <w:overflowPunct/>
      <w:autoSpaceDE/>
      <w:autoSpaceDN/>
      <w:adjustRightInd/>
      <w:spacing w:before="240" w:after="0" w:line="259" w:lineRule="auto"/>
      <w:jc w:val="left"/>
      <w:textAlignment w:val="auto"/>
      <w:outlineLvl w:val="9"/>
    </w:pPr>
    <w:rPr>
      <w:b w:val="0"/>
      <w:bCs w:val="0"/>
      <w:color w:val="365F91" w:themeColor="accent1" w:themeShade="BF"/>
      <w:sz w:val="32"/>
      <w:szCs w:val="32"/>
      <w:lang w:eastAsia="en-US"/>
    </w:rPr>
  </w:style>
  <w:style w:type="paragraph" w:customStyle="1" w:styleId="example">
    <w:name w:val="example"/>
    <w:basedOn w:val="formalpara"/>
    <w:rsid w:val="008C336F"/>
    <w:pPr>
      <w:ind w:firstLine="284"/>
      <w:contextualSpacing/>
    </w:pPr>
  </w:style>
  <w:style w:type="paragraph" w:customStyle="1" w:styleId="definition">
    <w:name w:val="definition"/>
    <w:basedOn w:val="example"/>
    <w:next w:val="Normal"/>
    <w:rsid w:val="0054444A"/>
  </w:style>
  <w:style w:type="paragraph" w:customStyle="1" w:styleId="warning">
    <w:name w:val="warning"/>
    <w:basedOn w:val="definition"/>
    <w:next w:val="Normal"/>
    <w:rsid w:val="0054444A"/>
  </w:style>
  <w:style w:type="paragraph" w:customStyle="1" w:styleId="overview">
    <w:name w:val="overview"/>
    <w:basedOn w:val="warning"/>
    <w:next w:val="Normal"/>
    <w:rsid w:val="00412F94"/>
    <w:pPr>
      <w:pBdr>
        <w:top w:val="single" w:sz="4" w:space="1" w:color="auto"/>
        <w:left w:val="single" w:sz="4" w:space="4" w:color="auto"/>
        <w:bottom w:val="single" w:sz="4" w:space="1" w:color="auto"/>
        <w:right w:val="single" w:sz="4" w:space="4" w:color="auto"/>
      </w:pBdr>
    </w:pPr>
  </w:style>
  <w:style w:type="paragraph" w:customStyle="1" w:styleId="legal">
    <w:name w:val="legal"/>
    <w:basedOn w:val="overview"/>
    <w:next w:val="Normal"/>
    <w:rsid w:val="0054444A"/>
  </w:style>
  <w:style w:type="paragraph" w:customStyle="1" w:styleId="RuninHead3">
    <w:name w:val="RuninHead3"/>
    <w:basedOn w:val="Normal"/>
    <w:next w:val="noindentpara"/>
    <w:link w:val="RuninHead3Char"/>
    <w:rsid w:val="00E04A67"/>
    <w:rPr>
      <w:b/>
    </w:rPr>
  </w:style>
  <w:style w:type="paragraph" w:styleId="ListParagraph">
    <w:name w:val="List Paragraph"/>
    <w:basedOn w:val="Normal"/>
    <w:link w:val="ListParagraphChar"/>
    <w:uiPriority w:val="34"/>
    <w:rsid w:val="002023E1"/>
    <w:pPr>
      <w:overflowPunct/>
      <w:autoSpaceDE/>
      <w:autoSpaceDN/>
      <w:adjustRightInd/>
      <w:contextualSpacing/>
      <w:jc w:val="left"/>
      <w:textAlignment w:val="auto"/>
    </w:pPr>
    <w:rPr>
      <w:szCs w:val="22"/>
      <w:lang w:eastAsia="en-US"/>
    </w:rPr>
  </w:style>
  <w:style w:type="character" w:customStyle="1" w:styleId="ListParagraphChar">
    <w:name w:val="List Paragraph Char"/>
    <w:link w:val="ListParagraph"/>
    <w:uiPriority w:val="34"/>
    <w:locked/>
    <w:rsid w:val="002023E1"/>
    <w:rPr>
      <w:rFonts w:ascii="Times New Roman" w:eastAsia="Times New Roman" w:hAnsi="Times New Roman" w:cs="Times New Roman"/>
      <w:szCs w:val="22"/>
      <w:lang w:val="en-US" w:eastAsia="en-US"/>
    </w:rPr>
  </w:style>
  <w:style w:type="paragraph" w:styleId="Title">
    <w:name w:val="Title"/>
    <w:basedOn w:val="Normal"/>
    <w:next w:val="Normal"/>
    <w:link w:val="TitleChar"/>
    <w:qFormat/>
    <w:rsid w:val="00714B1E"/>
    <w:pPr>
      <w:spacing w:line="240" w:lineRule="auto"/>
      <w:contextualSpacing/>
    </w:pPr>
    <w:rPr>
      <w:spacing w:val="-10"/>
      <w:kern w:val="28"/>
      <w:sz w:val="56"/>
      <w:szCs w:val="56"/>
    </w:rPr>
  </w:style>
  <w:style w:type="character" w:customStyle="1" w:styleId="TitleChar">
    <w:name w:val="Title Char"/>
    <w:basedOn w:val="DefaultParagraphFont"/>
    <w:link w:val="Title"/>
    <w:rsid w:val="00714B1E"/>
    <w:rPr>
      <w:rFonts w:ascii="Times New Roman" w:eastAsia="Times New Roman" w:hAnsi="Times New Roman" w:cs="Times New Roman"/>
      <w:spacing w:val="-10"/>
      <w:kern w:val="28"/>
      <w:sz w:val="56"/>
      <w:szCs w:val="56"/>
      <w:lang w:val="en-US" w:eastAsia="de-DE"/>
    </w:rPr>
  </w:style>
  <w:style w:type="paragraph" w:customStyle="1" w:styleId="question">
    <w:name w:val="question"/>
    <w:basedOn w:val="formalpara"/>
    <w:next w:val="Normal"/>
    <w:rsid w:val="001114B2"/>
    <w:pPr>
      <w:ind w:firstLine="284"/>
      <w:contextualSpacing/>
    </w:pPr>
  </w:style>
  <w:style w:type="paragraph" w:customStyle="1" w:styleId="importantold">
    <w:name w:val="important_old"/>
    <w:basedOn w:val="overview"/>
    <w:next w:val="Normal"/>
    <w:rsid w:val="00D80985"/>
  </w:style>
  <w:style w:type="paragraph" w:styleId="TOC1">
    <w:name w:val="toc 1"/>
    <w:basedOn w:val="Normal"/>
    <w:next w:val="Normal"/>
    <w:autoRedefine/>
    <w:uiPriority w:val="39"/>
    <w:unhideWhenUsed/>
    <w:rsid w:val="00E47610"/>
    <w:pPr>
      <w:tabs>
        <w:tab w:val="left" w:pos="600"/>
        <w:tab w:val="right" w:leader="dot" w:pos="6623"/>
      </w:tabs>
      <w:spacing w:before="120" w:after="0"/>
      <w:jc w:val="left"/>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D07E97"/>
    <w:pPr>
      <w:spacing w:before="120" w:after="0"/>
      <w:ind w:left="200"/>
      <w:jc w:val="left"/>
    </w:pPr>
    <w:rPr>
      <w:rFonts w:asciiTheme="minorHAnsi" w:hAnsiTheme="minorHAnsi" w:cstheme="minorHAnsi"/>
      <w:b/>
      <w:bCs/>
      <w:sz w:val="22"/>
      <w:szCs w:val="22"/>
    </w:rPr>
  </w:style>
  <w:style w:type="paragraph" w:styleId="TOC3">
    <w:name w:val="toc 3"/>
    <w:basedOn w:val="Normal"/>
    <w:next w:val="Normal"/>
    <w:autoRedefine/>
    <w:uiPriority w:val="39"/>
    <w:semiHidden/>
    <w:unhideWhenUsed/>
    <w:rsid w:val="00D07E97"/>
    <w:pPr>
      <w:spacing w:after="0"/>
      <w:ind w:left="400"/>
      <w:jc w:val="left"/>
    </w:pPr>
    <w:rPr>
      <w:rFonts w:asciiTheme="minorHAnsi" w:hAnsiTheme="minorHAnsi" w:cstheme="minorHAnsi"/>
    </w:rPr>
  </w:style>
  <w:style w:type="character" w:customStyle="1" w:styleId="RuninHead1Char">
    <w:name w:val="RuninHead1 Char"/>
    <w:basedOn w:val="DefaultParagraphFont"/>
    <w:link w:val="RuninHead1"/>
    <w:rsid w:val="002539B7"/>
    <w:rPr>
      <w:rFonts w:ascii="Times New Roman" w:eastAsia="Times New Roman" w:hAnsi="Times New Roman" w:cs="Times New Roman"/>
      <w:b/>
      <w:lang w:val="en-US" w:eastAsia="de-DE"/>
    </w:rPr>
  </w:style>
  <w:style w:type="character" w:customStyle="1" w:styleId="RuninHead2Char">
    <w:name w:val="RuninHead2 Char"/>
    <w:basedOn w:val="DefaultParagraphFont"/>
    <w:link w:val="RuninHead2"/>
    <w:rsid w:val="002539B7"/>
    <w:rPr>
      <w:rFonts w:ascii="Times New Roman" w:eastAsia="Times New Roman" w:hAnsi="Times New Roman" w:cs="Times New Roman"/>
      <w:b/>
      <w:i/>
      <w:lang w:val="en-US" w:eastAsia="de-DE"/>
    </w:rPr>
  </w:style>
  <w:style w:type="character" w:customStyle="1" w:styleId="RuninHead3Char">
    <w:name w:val="RuninHead3 Char"/>
    <w:basedOn w:val="RuninHead2Char"/>
    <w:link w:val="RuninHead3"/>
    <w:rsid w:val="00E04A67"/>
    <w:rPr>
      <w:rFonts w:ascii="Times New Roman" w:eastAsia="Times New Roman" w:hAnsi="Times New Roman" w:cs="Times New Roman"/>
      <w:b/>
      <w:i w:val="0"/>
      <w:lang w:val="en-US" w:eastAsia="de-DE"/>
    </w:rPr>
  </w:style>
  <w:style w:type="paragraph" w:customStyle="1" w:styleId="noindentpara">
    <w:name w:val="noindentpara"/>
    <w:basedOn w:val="para"/>
    <w:next w:val="para"/>
    <w:rsid w:val="0064479C"/>
  </w:style>
  <w:style w:type="character" w:customStyle="1" w:styleId="Heading4Char">
    <w:name w:val="Heading 4 Char"/>
    <w:basedOn w:val="DefaultParagraphFont"/>
    <w:link w:val="Heading40"/>
    <w:rsid w:val="00B73E2D"/>
    <w:rPr>
      <w:rFonts w:ascii="Times New Roman" w:eastAsia="Times New Roman" w:hAnsi="Times New Roman" w:cs="Times New Roman"/>
      <w:b/>
      <w:bCs/>
      <w:szCs w:val="28"/>
      <w:lang w:val="en-US" w:eastAsia="zh-CN"/>
    </w:rPr>
  </w:style>
  <w:style w:type="paragraph" w:styleId="Footer">
    <w:name w:val="footer"/>
    <w:basedOn w:val="Normal"/>
    <w:link w:val="FooterChar"/>
    <w:uiPriority w:val="99"/>
    <w:rsid w:val="00B73E2D"/>
    <w:pPr>
      <w:tabs>
        <w:tab w:val="center" w:pos="4536"/>
        <w:tab w:val="right" w:pos="9072"/>
      </w:tabs>
      <w:overflowPunct/>
      <w:autoSpaceDE/>
      <w:autoSpaceDN/>
      <w:adjustRightInd/>
      <w:spacing w:line="240" w:lineRule="auto"/>
      <w:jc w:val="left"/>
      <w:textAlignment w:val="auto"/>
    </w:pPr>
    <w:rPr>
      <w:sz w:val="24"/>
      <w:szCs w:val="24"/>
      <w:lang w:val="pl-PL" w:eastAsia="pl-PL"/>
    </w:rPr>
  </w:style>
  <w:style w:type="character" w:customStyle="1" w:styleId="FooterChar">
    <w:name w:val="Footer Char"/>
    <w:basedOn w:val="DefaultParagraphFont"/>
    <w:link w:val="Footer"/>
    <w:uiPriority w:val="99"/>
    <w:rsid w:val="00B73E2D"/>
    <w:rPr>
      <w:rFonts w:ascii="Times New Roman" w:eastAsia="Times New Roman" w:hAnsi="Times New Roman" w:cs="Times New Roman"/>
      <w:sz w:val="24"/>
      <w:szCs w:val="24"/>
      <w:lang w:val="pl-PL" w:eastAsia="pl-PL"/>
    </w:rPr>
  </w:style>
  <w:style w:type="table" w:styleId="TableSimple1">
    <w:name w:val="Table Simple 1"/>
    <w:basedOn w:val="TableNormal"/>
    <w:rsid w:val="00B73E2D"/>
    <w:rPr>
      <w:lang w:val="en-US" w:eastAsia="zh-C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Header">
    <w:name w:val="header"/>
    <w:basedOn w:val="Normal"/>
    <w:link w:val="HeaderChar"/>
    <w:rsid w:val="00B73E2D"/>
    <w:pPr>
      <w:pBdr>
        <w:bottom w:val="single" w:sz="6" w:space="1" w:color="auto"/>
      </w:pBdr>
      <w:tabs>
        <w:tab w:val="center" w:pos="4153"/>
        <w:tab w:val="right" w:pos="8306"/>
      </w:tabs>
      <w:overflowPunct/>
      <w:autoSpaceDE/>
      <w:autoSpaceDN/>
      <w:adjustRightInd/>
      <w:snapToGrid w:val="0"/>
      <w:spacing w:line="240" w:lineRule="auto"/>
      <w:jc w:val="center"/>
      <w:textAlignment w:val="auto"/>
    </w:pPr>
    <w:rPr>
      <w:sz w:val="18"/>
      <w:szCs w:val="18"/>
      <w:lang w:val="pl-PL" w:eastAsia="pl-PL"/>
    </w:rPr>
  </w:style>
  <w:style w:type="character" w:customStyle="1" w:styleId="HeaderChar">
    <w:name w:val="Header Char"/>
    <w:basedOn w:val="DefaultParagraphFont"/>
    <w:link w:val="Header"/>
    <w:rsid w:val="00B73E2D"/>
    <w:rPr>
      <w:rFonts w:ascii="Times New Roman" w:eastAsia="Times New Roman" w:hAnsi="Times New Roman" w:cs="Times New Roman"/>
      <w:sz w:val="18"/>
      <w:szCs w:val="18"/>
      <w:lang w:val="pl-PL" w:eastAsia="pl-PL"/>
    </w:rPr>
  </w:style>
  <w:style w:type="character" w:customStyle="1" w:styleId="FootnoteTextChar">
    <w:name w:val="Footnote Text Char"/>
    <w:link w:val="FootnoteText"/>
    <w:rsid w:val="00B73E2D"/>
    <w:rPr>
      <w:rFonts w:ascii="Times New Roman" w:eastAsia="Times New Roman" w:hAnsi="Times New Roman" w:cs="Times New Roman"/>
      <w:lang w:val="en-US" w:eastAsia="de-DE"/>
    </w:rPr>
  </w:style>
  <w:style w:type="character" w:customStyle="1" w:styleId="Heading1Char">
    <w:name w:val="Heading 1 Char"/>
    <w:link w:val="Heading1"/>
    <w:rsid w:val="00B73E2D"/>
    <w:rPr>
      <w:rFonts w:ascii="Times New Roman" w:eastAsia="Times New Roman" w:hAnsi="Times New Roman" w:cs="Times New Roman"/>
      <w:b/>
      <w:bCs/>
      <w:sz w:val="28"/>
      <w:szCs w:val="24"/>
      <w:lang w:val="en-US" w:eastAsia="de-DE"/>
    </w:rPr>
  </w:style>
  <w:style w:type="paragraph" w:customStyle="1" w:styleId="abbreviationpara">
    <w:name w:val="abbreviationpara"/>
    <w:basedOn w:val="Normal"/>
    <w:next w:val="Normal"/>
    <w:rsid w:val="008A04B5"/>
  </w:style>
  <w:style w:type="character" w:customStyle="1" w:styleId="trans">
    <w:name w:val="trans"/>
    <w:basedOn w:val="DefaultParagraphFont"/>
    <w:rsid w:val="00B73E2D"/>
  </w:style>
  <w:style w:type="character" w:customStyle="1" w:styleId="MTEquationSection">
    <w:name w:val="MTEquationSection"/>
    <w:rsid w:val="00B73E2D"/>
    <w:rPr>
      <w:noProof/>
      <w:vanish w:val="0"/>
      <w:color w:val="FF0000"/>
      <w:sz w:val="28"/>
      <w:szCs w:val="28"/>
    </w:rPr>
  </w:style>
  <w:style w:type="paragraph" w:styleId="Index4">
    <w:name w:val="index 4"/>
    <w:basedOn w:val="Normal"/>
    <w:next w:val="Normal"/>
    <w:autoRedefine/>
    <w:semiHidden/>
    <w:unhideWhenUsed/>
    <w:rsid w:val="008B3191"/>
    <w:pPr>
      <w:spacing w:line="240" w:lineRule="auto"/>
      <w:ind w:left="800" w:hanging="200"/>
    </w:pPr>
  </w:style>
  <w:style w:type="paragraph" w:styleId="Index5">
    <w:name w:val="index 5"/>
    <w:basedOn w:val="Normal"/>
    <w:next w:val="Normal"/>
    <w:autoRedefine/>
    <w:semiHidden/>
    <w:unhideWhenUsed/>
    <w:rsid w:val="008B3191"/>
    <w:pPr>
      <w:spacing w:line="240" w:lineRule="auto"/>
      <w:ind w:left="1000" w:hanging="200"/>
    </w:pPr>
  </w:style>
  <w:style w:type="paragraph" w:customStyle="1" w:styleId="MTDisplayEquation">
    <w:name w:val="MTDisplayEquation"/>
    <w:basedOn w:val="Normal"/>
    <w:link w:val="MTDisplayEquationChar"/>
    <w:rsid w:val="00B73E2D"/>
    <w:pPr>
      <w:widowControl w:val="0"/>
      <w:tabs>
        <w:tab w:val="center" w:pos="4540"/>
        <w:tab w:val="right" w:pos="9080"/>
      </w:tabs>
      <w:overflowPunct/>
      <w:autoSpaceDE/>
      <w:autoSpaceDN/>
      <w:adjustRightInd/>
      <w:spacing w:line="360" w:lineRule="auto"/>
      <w:ind w:firstLine="420"/>
      <w:textAlignment w:val="auto"/>
    </w:pPr>
    <w:rPr>
      <w:kern w:val="2"/>
      <w:sz w:val="24"/>
      <w:szCs w:val="24"/>
      <w:lang w:eastAsia="zh-CN"/>
    </w:rPr>
  </w:style>
  <w:style w:type="character" w:customStyle="1" w:styleId="MTDisplayEquationChar">
    <w:name w:val="MTDisplayEquation Char"/>
    <w:link w:val="MTDisplayEquation"/>
    <w:rsid w:val="00B73E2D"/>
    <w:rPr>
      <w:rFonts w:ascii="Times New Roman" w:eastAsia="Times New Roman" w:hAnsi="Times New Roman" w:cs="Times New Roman"/>
      <w:kern w:val="2"/>
      <w:sz w:val="24"/>
      <w:szCs w:val="24"/>
      <w:lang w:val="en-US" w:eastAsia="zh-CN"/>
    </w:rPr>
  </w:style>
  <w:style w:type="paragraph" w:styleId="Index6">
    <w:name w:val="index 6"/>
    <w:basedOn w:val="Normal"/>
    <w:next w:val="Normal"/>
    <w:autoRedefine/>
    <w:semiHidden/>
    <w:unhideWhenUsed/>
    <w:rsid w:val="008B3191"/>
    <w:pPr>
      <w:spacing w:line="240" w:lineRule="auto"/>
      <w:ind w:left="1200" w:hanging="200"/>
    </w:pPr>
  </w:style>
  <w:style w:type="paragraph" w:styleId="Index7">
    <w:name w:val="index 7"/>
    <w:basedOn w:val="Normal"/>
    <w:next w:val="Normal"/>
    <w:autoRedefine/>
    <w:semiHidden/>
    <w:unhideWhenUsed/>
    <w:rsid w:val="008B3191"/>
    <w:pPr>
      <w:spacing w:line="240" w:lineRule="auto"/>
      <w:ind w:left="1400" w:hanging="200"/>
    </w:pPr>
  </w:style>
  <w:style w:type="paragraph" w:styleId="CommentSubject">
    <w:name w:val="annotation subject"/>
    <w:basedOn w:val="Normal"/>
    <w:next w:val="Normal"/>
    <w:link w:val="CommentSubjectChar"/>
    <w:rsid w:val="008A04B5"/>
    <w:pPr>
      <w:overflowPunct/>
      <w:autoSpaceDE/>
      <w:autoSpaceDN/>
      <w:adjustRightInd/>
      <w:spacing w:line="240" w:lineRule="auto"/>
      <w:jc w:val="left"/>
      <w:textAlignment w:val="auto"/>
    </w:pPr>
    <w:rPr>
      <w:b/>
      <w:bCs/>
      <w:sz w:val="24"/>
      <w:szCs w:val="24"/>
      <w:lang w:val="pl-PL" w:eastAsia="pl-PL"/>
    </w:rPr>
  </w:style>
  <w:style w:type="character" w:customStyle="1" w:styleId="CommentSubjectChar">
    <w:name w:val="Comment Subject Char"/>
    <w:basedOn w:val="DefaultParagraphFont"/>
    <w:link w:val="CommentSubject"/>
    <w:rsid w:val="008A04B5"/>
    <w:rPr>
      <w:rFonts w:ascii="Times New Roman" w:eastAsia="Times New Roman" w:hAnsi="Times New Roman" w:cs="Times New Roman"/>
      <w:b/>
      <w:bCs/>
      <w:sz w:val="24"/>
      <w:szCs w:val="24"/>
      <w:lang w:val="pl-PL" w:eastAsia="pl-PL"/>
    </w:rPr>
  </w:style>
  <w:style w:type="paragraph" w:customStyle="1" w:styleId="reltitle">
    <w:name w:val="rel_title"/>
    <w:basedOn w:val="Normal"/>
    <w:rsid w:val="00B73E2D"/>
    <w:pPr>
      <w:overflowPunct/>
      <w:autoSpaceDE/>
      <w:autoSpaceDN/>
      <w:adjustRightInd/>
      <w:spacing w:before="100" w:beforeAutospacing="1" w:after="100" w:afterAutospacing="1" w:line="240" w:lineRule="auto"/>
      <w:jc w:val="left"/>
      <w:textAlignment w:val="auto"/>
    </w:pPr>
    <w:rPr>
      <w:sz w:val="24"/>
      <w:szCs w:val="24"/>
      <w:lang w:eastAsia="zh-CN"/>
    </w:rPr>
  </w:style>
  <w:style w:type="table" w:styleId="TableClassic1">
    <w:name w:val="Table Classic 1"/>
    <w:basedOn w:val="TableNormal"/>
    <w:rsid w:val="00B73E2D"/>
    <w:rPr>
      <w:lang w:val="en-US" w:eastAsia="zh-C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2Char">
    <w:name w:val="Heading 2 Char"/>
    <w:link w:val="Heading20"/>
    <w:rsid w:val="00B73E2D"/>
    <w:rPr>
      <w:rFonts w:ascii="Times New Roman" w:eastAsia="Times New Roman" w:hAnsi="Times New Roman" w:cs="Times New Roman"/>
      <w:b/>
      <w:lang w:val="en-US" w:eastAsia="de-DE"/>
    </w:rPr>
  </w:style>
  <w:style w:type="paragraph" w:customStyle="1" w:styleId="Text">
    <w:name w:val="Text"/>
    <w:basedOn w:val="Normal"/>
    <w:rsid w:val="00B73E2D"/>
    <w:pPr>
      <w:widowControl w:val="0"/>
      <w:overflowPunct/>
      <w:autoSpaceDE/>
      <w:autoSpaceDN/>
      <w:adjustRightInd/>
      <w:spacing w:line="252" w:lineRule="auto"/>
      <w:ind w:firstLine="202"/>
      <w:textAlignment w:val="auto"/>
    </w:pPr>
    <w:rPr>
      <w:lang w:eastAsia="en-US"/>
    </w:rPr>
  </w:style>
  <w:style w:type="paragraph" w:customStyle="1" w:styleId="Equation0">
    <w:name w:val="Equation"/>
    <w:basedOn w:val="Normal"/>
    <w:next w:val="Normal"/>
    <w:uiPriority w:val="99"/>
    <w:rsid w:val="00B73E2D"/>
    <w:pPr>
      <w:widowControl w:val="0"/>
      <w:tabs>
        <w:tab w:val="right" w:pos="5040"/>
      </w:tabs>
      <w:overflowPunct/>
      <w:autoSpaceDE/>
      <w:autoSpaceDN/>
      <w:adjustRightInd/>
      <w:spacing w:line="252" w:lineRule="auto"/>
      <w:textAlignment w:val="auto"/>
    </w:pPr>
    <w:rPr>
      <w:lang w:eastAsia="en-US"/>
    </w:rPr>
  </w:style>
  <w:style w:type="paragraph" w:styleId="Index8">
    <w:name w:val="index 8"/>
    <w:basedOn w:val="Normal"/>
    <w:next w:val="Normal"/>
    <w:autoRedefine/>
    <w:semiHidden/>
    <w:unhideWhenUsed/>
    <w:rsid w:val="008B3191"/>
    <w:pPr>
      <w:spacing w:line="240" w:lineRule="auto"/>
      <w:ind w:left="1600" w:hanging="200"/>
    </w:pPr>
  </w:style>
  <w:style w:type="paragraph" w:customStyle="1" w:styleId="Default">
    <w:name w:val="Default"/>
    <w:rsid w:val="00B73E2D"/>
    <w:pPr>
      <w:widowControl w:val="0"/>
      <w:autoSpaceDE w:val="0"/>
      <w:autoSpaceDN w:val="0"/>
      <w:adjustRightInd w:val="0"/>
    </w:pPr>
    <w:rPr>
      <w:color w:val="000000"/>
      <w:sz w:val="24"/>
      <w:szCs w:val="24"/>
      <w:lang w:val="en-US" w:eastAsia="zh-CN"/>
    </w:rPr>
  </w:style>
  <w:style w:type="paragraph" w:styleId="Index9">
    <w:name w:val="index 9"/>
    <w:basedOn w:val="Normal"/>
    <w:next w:val="Normal"/>
    <w:autoRedefine/>
    <w:semiHidden/>
    <w:unhideWhenUsed/>
    <w:rsid w:val="008B3191"/>
    <w:pPr>
      <w:spacing w:line="240" w:lineRule="auto"/>
      <w:ind w:left="1800" w:hanging="200"/>
    </w:pPr>
  </w:style>
  <w:style w:type="character" w:customStyle="1" w:styleId="text0">
    <w:name w:val="text"/>
    <w:basedOn w:val="DefaultParagraphFont"/>
    <w:rsid w:val="00B73E2D"/>
  </w:style>
  <w:style w:type="character" w:customStyle="1" w:styleId="article-number">
    <w:name w:val="article-number"/>
    <w:basedOn w:val="DefaultParagraphFont"/>
    <w:rsid w:val="00B73E2D"/>
  </w:style>
  <w:style w:type="character" w:customStyle="1" w:styleId="separator">
    <w:name w:val="separator"/>
    <w:basedOn w:val="DefaultParagraphFont"/>
    <w:rsid w:val="00B73E2D"/>
  </w:style>
  <w:style w:type="paragraph" w:customStyle="1" w:styleId="References0">
    <w:name w:val="References"/>
    <w:basedOn w:val="Normal"/>
    <w:rsid w:val="00B73E2D"/>
    <w:pPr>
      <w:overflowPunct/>
      <w:autoSpaceDE/>
      <w:autoSpaceDN/>
      <w:adjustRightInd/>
      <w:spacing w:line="240" w:lineRule="auto"/>
      <w:ind w:firstLine="288"/>
      <w:textAlignment w:val="auto"/>
    </w:pPr>
    <w:rPr>
      <w:sz w:val="18"/>
      <w:lang w:eastAsia="en-US"/>
    </w:rPr>
  </w:style>
  <w:style w:type="character" w:customStyle="1" w:styleId="UnresolvedMention1">
    <w:name w:val="Unresolved Mention1"/>
    <w:basedOn w:val="DefaultParagraphFont"/>
    <w:uiPriority w:val="99"/>
    <w:semiHidden/>
    <w:unhideWhenUsed/>
    <w:rsid w:val="00B73E2D"/>
    <w:rPr>
      <w:color w:val="605E5C"/>
      <w:shd w:val="clear" w:color="auto" w:fill="E1DFDD"/>
    </w:rPr>
  </w:style>
  <w:style w:type="character" w:styleId="PlaceholderText">
    <w:name w:val="Placeholder Text"/>
    <w:basedOn w:val="DefaultParagraphFont"/>
    <w:uiPriority w:val="99"/>
    <w:semiHidden/>
    <w:rsid w:val="00B73E2D"/>
    <w:rPr>
      <w:color w:val="808080"/>
    </w:rPr>
  </w:style>
  <w:style w:type="paragraph" w:styleId="Revision">
    <w:name w:val="Revision"/>
    <w:hidden/>
    <w:uiPriority w:val="99"/>
    <w:semiHidden/>
    <w:rsid w:val="00B73E2D"/>
    <w:rPr>
      <w:sz w:val="24"/>
      <w:szCs w:val="24"/>
      <w:lang w:val="pl-PL" w:eastAsia="pl-PL"/>
    </w:rPr>
  </w:style>
  <w:style w:type="character" w:customStyle="1" w:styleId="Heading3Char">
    <w:name w:val="Heading 3 Char"/>
    <w:basedOn w:val="DefaultParagraphFont"/>
    <w:link w:val="Heading30"/>
    <w:uiPriority w:val="9"/>
    <w:rsid w:val="00B73E2D"/>
    <w:rPr>
      <w:rFonts w:ascii="Times New Roman" w:eastAsia="Times New Roman" w:hAnsi="Times New Roman" w:cs="Times New Roman"/>
      <w:b/>
      <w:bCs/>
      <w:szCs w:val="26"/>
      <w:lang w:val="en-US" w:eastAsia="de-DE"/>
    </w:rPr>
  </w:style>
  <w:style w:type="paragraph" w:styleId="NormalWeb">
    <w:name w:val="Normal (Web)"/>
    <w:basedOn w:val="Normal"/>
    <w:uiPriority w:val="99"/>
    <w:unhideWhenUsed/>
    <w:rsid w:val="00B73E2D"/>
    <w:pPr>
      <w:overflowPunct/>
      <w:autoSpaceDE/>
      <w:autoSpaceDN/>
      <w:adjustRightInd/>
      <w:spacing w:before="100" w:beforeAutospacing="1" w:after="100" w:afterAutospacing="1" w:line="240" w:lineRule="auto"/>
      <w:jc w:val="left"/>
      <w:textAlignment w:val="auto"/>
    </w:pPr>
    <w:rPr>
      <w:sz w:val="24"/>
      <w:szCs w:val="24"/>
      <w:lang w:eastAsia="zh-CN"/>
    </w:rPr>
  </w:style>
  <w:style w:type="table" w:styleId="TableGridLight">
    <w:name w:val="Grid Table Light"/>
    <w:basedOn w:val="TableNormal"/>
    <w:uiPriority w:val="40"/>
    <w:rsid w:val="00B73E2D"/>
    <w:rPr>
      <w:lang w:val="en-US" w:eastAsia="zh-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bbreviation">
    <w:name w:val="abbreviation"/>
    <w:basedOn w:val="Normal"/>
    <w:next w:val="Normal"/>
    <w:rsid w:val="004427F4"/>
    <w:pPr>
      <w:spacing w:before="480" w:after="480"/>
    </w:pPr>
    <w:rPr>
      <w:b/>
      <w:bCs/>
    </w:rPr>
  </w:style>
  <w:style w:type="paragraph" w:customStyle="1" w:styleId="CompetingInterests">
    <w:name w:val="CompetingInterests"/>
    <w:basedOn w:val="unheading1"/>
    <w:next w:val="Normal"/>
    <w:rsid w:val="00EE3D26"/>
    <w:pPr>
      <w:spacing w:line="276" w:lineRule="auto"/>
    </w:pPr>
    <w:rPr>
      <w:b w:val="0"/>
      <w:sz w:val="20"/>
    </w:rPr>
  </w:style>
  <w:style w:type="paragraph" w:customStyle="1" w:styleId="EthicsApproval">
    <w:name w:val="EthicsApproval"/>
    <w:basedOn w:val="unheading1"/>
    <w:next w:val="Normal"/>
    <w:rsid w:val="00161555"/>
    <w:rPr>
      <w:b w:val="0"/>
      <w:sz w:val="20"/>
    </w:rPr>
  </w:style>
  <w:style w:type="character" w:styleId="FootnoteReference">
    <w:name w:val="footnote reference"/>
    <w:basedOn w:val="DefaultParagraphFont"/>
    <w:semiHidden/>
    <w:unhideWhenUsed/>
    <w:rsid w:val="00425989"/>
    <w:rPr>
      <w:vertAlign w:val="superscript"/>
    </w:rPr>
  </w:style>
  <w:style w:type="paragraph" w:customStyle="1" w:styleId="unheading1">
    <w:name w:val="unheading1"/>
    <w:basedOn w:val="Normal"/>
    <w:next w:val="noindentpara"/>
    <w:rsid w:val="0044766E"/>
    <w:pPr>
      <w:spacing w:before="720" w:after="480" w:line="280" w:lineRule="atLeast"/>
      <w:jc w:val="left"/>
      <w:outlineLvl w:val="0"/>
    </w:pPr>
    <w:rPr>
      <w:b/>
      <w:sz w:val="24"/>
      <w:lang w:val="en-IN"/>
    </w:rPr>
  </w:style>
  <w:style w:type="paragraph" w:customStyle="1" w:styleId="unheading2">
    <w:name w:val="unheading2"/>
    <w:basedOn w:val="unheading1"/>
    <w:next w:val="noindentpara"/>
    <w:rsid w:val="0044766E"/>
    <w:pPr>
      <w:outlineLvl w:val="1"/>
    </w:pPr>
    <w:rPr>
      <w:i/>
    </w:rPr>
  </w:style>
  <w:style w:type="paragraph" w:customStyle="1" w:styleId="unheading3">
    <w:name w:val="unheading3"/>
    <w:basedOn w:val="unheading2"/>
    <w:next w:val="noindentpara"/>
    <w:rsid w:val="00E3512D"/>
    <w:pPr>
      <w:spacing w:before="480" w:after="240" w:line="240" w:lineRule="atLeast"/>
      <w:outlineLvl w:val="2"/>
    </w:pPr>
    <w:rPr>
      <w:i w:val="0"/>
      <w:sz w:val="20"/>
    </w:rPr>
  </w:style>
  <w:style w:type="paragraph" w:customStyle="1" w:styleId="unheading4">
    <w:name w:val="unheading4"/>
    <w:basedOn w:val="unheading3"/>
    <w:next w:val="noindentpara"/>
    <w:rsid w:val="00E3512D"/>
    <w:pPr>
      <w:outlineLvl w:val="3"/>
    </w:pPr>
    <w:rPr>
      <w:b w:val="0"/>
    </w:rPr>
  </w:style>
  <w:style w:type="paragraph" w:customStyle="1" w:styleId="unheading5">
    <w:name w:val="unheading5"/>
    <w:basedOn w:val="unheading4"/>
    <w:next w:val="noindentpara"/>
    <w:rsid w:val="00E3512D"/>
    <w:pPr>
      <w:spacing w:before="360" w:after="120"/>
      <w:jc w:val="both"/>
      <w:outlineLvl w:val="4"/>
    </w:pPr>
    <w:rPr>
      <w:i/>
    </w:rPr>
  </w:style>
  <w:style w:type="paragraph" w:customStyle="1" w:styleId="exampleCont">
    <w:name w:val="exampleCont"/>
    <w:basedOn w:val="example"/>
    <w:rsid w:val="00756FAB"/>
    <w:pPr>
      <w:spacing w:before="0" w:after="0" w:line="240" w:lineRule="auto"/>
      <w:contextualSpacing w:val="0"/>
    </w:pPr>
    <w:rPr>
      <w:lang w:val="en-IN"/>
    </w:rPr>
  </w:style>
  <w:style w:type="character" w:customStyle="1" w:styleId="MainTitleChar">
    <w:name w:val="Main_Title Char"/>
    <w:basedOn w:val="DefaultParagraphFont"/>
    <w:link w:val="MainTitle"/>
    <w:rsid w:val="00833827"/>
    <w:rPr>
      <w:rFonts w:ascii="Times New Roman" w:eastAsia="Times New Roman" w:hAnsi="Times New Roman" w:cs="Times New Roman"/>
      <w:b/>
      <w:sz w:val="32"/>
      <w:lang w:val="en-US" w:eastAsia="de-DE"/>
    </w:rPr>
  </w:style>
  <w:style w:type="paragraph" w:customStyle="1" w:styleId="DMainTitle">
    <w:name w:val="DMain_Title"/>
    <w:basedOn w:val="MainTitle"/>
    <w:next w:val="Normal"/>
    <w:rsid w:val="0087167C"/>
    <w:pPr>
      <w:numPr>
        <w:numId w:val="9"/>
      </w:numPr>
    </w:pPr>
  </w:style>
  <w:style w:type="paragraph" w:styleId="Caption">
    <w:name w:val="caption"/>
    <w:basedOn w:val="Normal"/>
    <w:next w:val="Normal"/>
    <w:uiPriority w:val="35"/>
    <w:semiHidden/>
    <w:unhideWhenUsed/>
    <w:qFormat/>
    <w:rsid w:val="0087167C"/>
    <w:pPr>
      <w:spacing w:after="200" w:line="240" w:lineRule="auto"/>
    </w:pPr>
    <w:rPr>
      <w:i/>
      <w:iCs/>
      <w:color w:val="1F497D" w:themeColor="text2"/>
      <w:sz w:val="18"/>
      <w:szCs w:val="18"/>
    </w:rPr>
  </w:style>
  <w:style w:type="paragraph" w:styleId="EndnoteText">
    <w:name w:val="endnote text"/>
    <w:basedOn w:val="Normal"/>
    <w:link w:val="EndnoteTextChar"/>
    <w:semiHidden/>
    <w:unhideWhenUsed/>
    <w:rsid w:val="00C9079F"/>
    <w:pPr>
      <w:spacing w:line="240" w:lineRule="auto"/>
    </w:pPr>
  </w:style>
  <w:style w:type="character" w:customStyle="1" w:styleId="EndnoteTextChar">
    <w:name w:val="Endnote Text Char"/>
    <w:basedOn w:val="DefaultParagraphFont"/>
    <w:link w:val="EndnoteText"/>
    <w:semiHidden/>
    <w:rsid w:val="00C9079F"/>
    <w:rPr>
      <w:rFonts w:ascii="Times New Roman" w:eastAsia="Times New Roman" w:hAnsi="Times New Roman" w:cs="Times New Roman"/>
      <w:lang w:val="en-US" w:eastAsia="de-DE"/>
    </w:rPr>
  </w:style>
  <w:style w:type="character" w:styleId="EndnoteReference">
    <w:name w:val="endnote reference"/>
    <w:basedOn w:val="DefaultParagraphFont"/>
    <w:semiHidden/>
    <w:unhideWhenUsed/>
    <w:rsid w:val="00C9079F"/>
    <w:rPr>
      <w:vertAlign w:val="superscript"/>
    </w:rPr>
  </w:style>
  <w:style w:type="paragraph" w:customStyle="1" w:styleId="motto">
    <w:name w:val="motto"/>
    <w:basedOn w:val="articlenote"/>
    <w:rsid w:val="00AD3BD2"/>
    <w:pPr>
      <w:ind w:left="238"/>
      <w:jc w:val="right"/>
    </w:pPr>
  </w:style>
  <w:style w:type="paragraph" w:customStyle="1" w:styleId="Numreference">
    <w:name w:val="Num_reference"/>
    <w:basedOn w:val="reference"/>
    <w:next w:val="Normal"/>
    <w:rsid w:val="00B2171A"/>
    <w:pPr>
      <w:numPr>
        <w:numId w:val="10"/>
      </w:numPr>
    </w:pPr>
    <w:rPr>
      <w:lang w:val="en-IN"/>
    </w:rPr>
  </w:style>
  <w:style w:type="character" w:styleId="CommentReference">
    <w:name w:val="annotation reference"/>
    <w:basedOn w:val="DefaultParagraphFont"/>
    <w:uiPriority w:val="99"/>
    <w:semiHidden/>
    <w:unhideWhenUsed/>
    <w:rsid w:val="00E04A67"/>
    <w:rPr>
      <w:sz w:val="16"/>
      <w:szCs w:val="16"/>
    </w:rPr>
  </w:style>
  <w:style w:type="paragraph" w:styleId="CommentText">
    <w:name w:val="annotation text"/>
    <w:basedOn w:val="Normal"/>
    <w:link w:val="CommentTextChar"/>
    <w:uiPriority w:val="99"/>
    <w:unhideWhenUsed/>
    <w:rsid w:val="00E04A67"/>
    <w:pPr>
      <w:spacing w:line="240" w:lineRule="auto"/>
    </w:pPr>
  </w:style>
  <w:style w:type="character" w:customStyle="1" w:styleId="CommentTextChar">
    <w:name w:val="Comment Text Char"/>
    <w:basedOn w:val="DefaultParagraphFont"/>
    <w:link w:val="CommentText"/>
    <w:uiPriority w:val="99"/>
    <w:rsid w:val="00E04A67"/>
    <w:rPr>
      <w:rFonts w:ascii="Times New Roman" w:eastAsia="Times New Roman" w:hAnsi="Times New Roman" w:cs="Times New Roman"/>
      <w:lang w:val="en-US" w:eastAsia="de-DE"/>
    </w:rPr>
  </w:style>
  <w:style w:type="paragraph" w:styleId="BalloonText">
    <w:name w:val="Balloon Text"/>
    <w:basedOn w:val="Normal"/>
    <w:link w:val="BalloonTextChar"/>
    <w:semiHidden/>
    <w:unhideWhenUsed/>
    <w:rsid w:val="00E04A67"/>
    <w:pPr>
      <w:spacing w:line="240" w:lineRule="auto"/>
    </w:pPr>
    <w:rPr>
      <w:sz w:val="18"/>
      <w:szCs w:val="18"/>
    </w:rPr>
  </w:style>
  <w:style w:type="character" w:customStyle="1" w:styleId="BalloonTextChar">
    <w:name w:val="Balloon Text Char"/>
    <w:basedOn w:val="DefaultParagraphFont"/>
    <w:link w:val="BalloonText"/>
    <w:semiHidden/>
    <w:rsid w:val="00E04A67"/>
    <w:rPr>
      <w:rFonts w:ascii="Times New Roman" w:eastAsia="Times New Roman" w:hAnsi="Times New Roman" w:cs="Times New Roman"/>
      <w:sz w:val="18"/>
      <w:szCs w:val="18"/>
      <w:lang w:val="en-US" w:eastAsia="de-DE"/>
    </w:rPr>
  </w:style>
  <w:style w:type="character" w:styleId="LineNumber">
    <w:name w:val="line number"/>
    <w:basedOn w:val="DefaultParagraphFont"/>
    <w:semiHidden/>
    <w:unhideWhenUsed/>
    <w:rsid w:val="00577AD3"/>
  </w:style>
  <w:style w:type="paragraph" w:styleId="ListBullet">
    <w:name w:val="List Bullet"/>
    <w:basedOn w:val="Normal"/>
    <w:uiPriority w:val="13"/>
    <w:rsid w:val="00360511"/>
    <w:pPr>
      <w:numPr>
        <w:numId w:val="19"/>
      </w:numPr>
      <w:overflowPunct/>
      <w:autoSpaceDE/>
      <w:autoSpaceDN/>
      <w:adjustRightInd/>
      <w:spacing w:before="40" w:line="264" w:lineRule="auto"/>
      <w:textAlignment w:val="auto"/>
    </w:pPr>
    <w:rPr>
      <w:color w:val="1D1D1B"/>
      <w:sz w:val="18"/>
      <w:szCs w:val="18"/>
      <w:lang w:val="fr-FR" w:eastAsia="en-GB"/>
    </w:rPr>
  </w:style>
  <w:style w:type="paragraph" w:styleId="ListBullet2">
    <w:name w:val="List Bullet 2"/>
    <w:basedOn w:val="Normal"/>
    <w:uiPriority w:val="13"/>
    <w:rsid w:val="00360511"/>
    <w:pPr>
      <w:numPr>
        <w:ilvl w:val="1"/>
        <w:numId w:val="19"/>
      </w:numPr>
      <w:overflowPunct/>
      <w:autoSpaceDE/>
      <w:autoSpaceDN/>
      <w:adjustRightInd/>
      <w:spacing w:before="40" w:line="264" w:lineRule="auto"/>
      <w:textAlignment w:val="auto"/>
    </w:pPr>
    <w:rPr>
      <w:color w:val="1D1D1B"/>
      <w:sz w:val="18"/>
      <w:szCs w:val="18"/>
      <w:lang w:val="fr-FR" w:eastAsia="en-GB"/>
    </w:rPr>
  </w:style>
  <w:style w:type="paragraph" w:styleId="ListBullet3">
    <w:name w:val="List Bullet 3"/>
    <w:basedOn w:val="Normal"/>
    <w:uiPriority w:val="13"/>
    <w:rsid w:val="00360511"/>
    <w:pPr>
      <w:numPr>
        <w:ilvl w:val="2"/>
        <w:numId w:val="19"/>
      </w:numPr>
      <w:overflowPunct/>
      <w:autoSpaceDE/>
      <w:autoSpaceDN/>
      <w:adjustRightInd/>
      <w:spacing w:before="40" w:line="264" w:lineRule="auto"/>
      <w:textAlignment w:val="auto"/>
    </w:pPr>
    <w:rPr>
      <w:color w:val="1D1D1B"/>
      <w:sz w:val="18"/>
      <w:szCs w:val="18"/>
      <w:lang w:val="fr-FR" w:eastAsia="en-GB"/>
    </w:rPr>
  </w:style>
  <w:style w:type="paragraph" w:styleId="ListBullet4">
    <w:name w:val="List Bullet 4"/>
    <w:basedOn w:val="Normal"/>
    <w:uiPriority w:val="13"/>
    <w:semiHidden/>
    <w:rsid w:val="00360511"/>
    <w:pPr>
      <w:numPr>
        <w:ilvl w:val="3"/>
        <w:numId w:val="19"/>
      </w:numPr>
      <w:overflowPunct/>
      <w:autoSpaceDE/>
      <w:autoSpaceDN/>
      <w:adjustRightInd/>
      <w:spacing w:before="40" w:line="264" w:lineRule="auto"/>
      <w:textAlignment w:val="auto"/>
    </w:pPr>
    <w:rPr>
      <w:color w:val="1D1D1B"/>
      <w:sz w:val="18"/>
      <w:szCs w:val="18"/>
      <w:lang w:val="fr-FR" w:eastAsia="en-GB"/>
    </w:rPr>
  </w:style>
  <w:style w:type="paragraph" w:styleId="ListBullet5">
    <w:name w:val="List Bullet 5"/>
    <w:basedOn w:val="Normal"/>
    <w:uiPriority w:val="13"/>
    <w:semiHidden/>
    <w:rsid w:val="00360511"/>
    <w:pPr>
      <w:numPr>
        <w:ilvl w:val="4"/>
        <w:numId w:val="19"/>
      </w:numPr>
      <w:overflowPunct/>
      <w:autoSpaceDE/>
      <w:autoSpaceDN/>
      <w:adjustRightInd/>
      <w:spacing w:before="40" w:line="264" w:lineRule="auto"/>
      <w:textAlignment w:val="auto"/>
    </w:pPr>
    <w:rPr>
      <w:color w:val="1D1D1B"/>
      <w:sz w:val="18"/>
      <w:szCs w:val="18"/>
      <w:lang w:val="fr-FR" w:eastAsia="en-GB"/>
    </w:rPr>
  </w:style>
  <w:style w:type="character" w:styleId="UnresolvedMention">
    <w:name w:val="Unresolved Mention"/>
    <w:basedOn w:val="DefaultParagraphFont"/>
    <w:uiPriority w:val="99"/>
    <w:semiHidden/>
    <w:unhideWhenUsed/>
    <w:rsid w:val="00EA59E5"/>
    <w:rPr>
      <w:color w:val="605E5C"/>
      <w:shd w:val="clear" w:color="auto" w:fill="E1DFDD"/>
    </w:rPr>
  </w:style>
  <w:style w:type="character" w:styleId="Mention">
    <w:name w:val="Mention"/>
    <w:basedOn w:val="DefaultParagraphFont"/>
    <w:uiPriority w:val="99"/>
    <w:unhideWhenUsed/>
    <w:rsid w:val="00760AC4"/>
    <w:rPr>
      <w:color w:val="2B579A"/>
      <w:shd w:val="clear" w:color="auto" w:fill="E1DFDD"/>
    </w:rPr>
  </w:style>
  <w:style w:type="paragraph" w:styleId="NoSpacing">
    <w:name w:val="No Spacing"/>
    <w:uiPriority w:val="1"/>
    <w:qFormat/>
    <w:rsid w:val="0011351B"/>
    <w:pPr>
      <w:overflowPunct w:val="0"/>
      <w:autoSpaceDE w:val="0"/>
      <w:autoSpaceDN w:val="0"/>
      <w:adjustRightInd w:val="0"/>
      <w:spacing w:after="120" w:line="276" w:lineRule="auto"/>
      <w:jc w:val="both"/>
      <w:textAlignment w:val="baseline"/>
    </w:pPr>
    <w:rPr>
      <w:lang w:val="en-US" w:eastAsia="de-DE"/>
    </w:rPr>
  </w:style>
  <w:style w:type="character" w:styleId="FollowedHyperlink">
    <w:name w:val="FollowedHyperlink"/>
    <w:basedOn w:val="DefaultParagraphFont"/>
    <w:semiHidden/>
    <w:unhideWhenUsed/>
    <w:rsid w:val="00F83D5C"/>
    <w:rPr>
      <w:color w:val="800080" w:themeColor="followedHyperlink"/>
      <w:u w:val="single"/>
    </w:rPr>
  </w:style>
  <w:style w:type="paragraph" w:customStyle="1" w:styleId="Normal1">
    <w:name w:val="Normal1"/>
    <w:basedOn w:val="para"/>
    <w:rsid w:val="0098437F"/>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ivs>
    <w:div w:id="338629126">
      <w:bodyDiv w:val="1"/>
      <w:marLeft w:val="0"/>
      <w:marRight w:val="0"/>
      <w:marTop w:val="0"/>
      <w:marBottom w:val="0"/>
      <w:divBdr>
        <w:top w:val="none" w:sz="0" w:space="0" w:color="auto"/>
        <w:left w:val="none" w:sz="0" w:space="0" w:color="auto"/>
        <w:bottom w:val="none" w:sz="0" w:space="0" w:color="auto"/>
        <w:right w:val="none" w:sz="0" w:space="0" w:color="auto"/>
      </w:divBdr>
    </w:div>
    <w:div w:id="363096188">
      <w:bodyDiv w:val="1"/>
      <w:marLeft w:val="0"/>
      <w:marRight w:val="0"/>
      <w:marTop w:val="0"/>
      <w:marBottom w:val="0"/>
      <w:divBdr>
        <w:top w:val="none" w:sz="0" w:space="0" w:color="auto"/>
        <w:left w:val="none" w:sz="0" w:space="0" w:color="auto"/>
        <w:bottom w:val="none" w:sz="0" w:space="0" w:color="auto"/>
        <w:right w:val="none" w:sz="0" w:space="0" w:color="auto"/>
      </w:divBdr>
      <w:divsChild>
        <w:div w:id="1435587217">
          <w:marLeft w:val="0"/>
          <w:marRight w:val="0"/>
          <w:marTop w:val="0"/>
          <w:marBottom w:val="0"/>
          <w:divBdr>
            <w:top w:val="none" w:sz="0" w:space="0" w:color="auto"/>
            <w:left w:val="none" w:sz="0" w:space="0" w:color="auto"/>
            <w:bottom w:val="none" w:sz="0" w:space="0" w:color="auto"/>
            <w:right w:val="none" w:sz="0" w:space="0" w:color="auto"/>
          </w:divBdr>
        </w:div>
        <w:div w:id="1569460137">
          <w:marLeft w:val="0"/>
          <w:marRight w:val="0"/>
          <w:marTop w:val="0"/>
          <w:marBottom w:val="0"/>
          <w:divBdr>
            <w:top w:val="none" w:sz="0" w:space="0" w:color="auto"/>
            <w:left w:val="none" w:sz="0" w:space="0" w:color="auto"/>
            <w:bottom w:val="none" w:sz="0" w:space="0" w:color="auto"/>
            <w:right w:val="none" w:sz="0" w:space="0" w:color="auto"/>
          </w:divBdr>
        </w:div>
      </w:divsChild>
    </w:div>
    <w:div w:id="428429143">
      <w:bodyDiv w:val="1"/>
      <w:marLeft w:val="0"/>
      <w:marRight w:val="0"/>
      <w:marTop w:val="0"/>
      <w:marBottom w:val="0"/>
      <w:divBdr>
        <w:top w:val="none" w:sz="0" w:space="0" w:color="auto"/>
        <w:left w:val="none" w:sz="0" w:space="0" w:color="auto"/>
        <w:bottom w:val="none" w:sz="0" w:space="0" w:color="auto"/>
        <w:right w:val="none" w:sz="0" w:space="0" w:color="auto"/>
      </w:divBdr>
    </w:div>
    <w:div w:id="594364899">
      <w:bodyDiv w:val="1"/>
      <w:marLeft w:val="0"/>
      <w:marRight w:val="0"/>
      <w:marTop w:val="0"/>
      <w:marBottom w:val="0"/>
      <w:divBdr>
        <w:top w:val="none" w:sz="0" w:space="0" w:color="auto"/>
        <w:left w:val="none" w:sz="0" w:space="0" w:color="auto"/>
        <w:bottom w:val="none" w:sz="0" w:space="0" w:color="auto"/>
        <w:right w:val="none" w:sz="0" w:space="0" w:color="auto"/>
      </w:divBdr>
      <w:divsChild>
        <w:div w:id="944728289">
          <w:marLeft w:val="0"/>
          <w:marRight w:val="0"/>
          <w:marTop w:val="0"/>
          <w:marBottom w:val="0"/>
          <w:divBdr>
            <w:top w:val="none" w:sz="0" w:space="0" w:color="auto"/>
            <w:left w:val="none" w:sz="0" w:space="0" w:color="auto"/>
            <w:bottom w:val="none" w:sz="0" w:space="0" w:color="auto"/>
            <w:right w:val="none" w:sz="0" w:space="0" w:color="auto"/>
          </w:divBdr>
        </w:div>
        <w:div w:id="1799101346">
          <w:marLeft w:val="0"/>
          <w:marRight w:val="0"/>
          <w:marTop w:val="0"/>
          <w:marBottom w:val="0"/>
          <w:divBdr>
            <w:top w:val="none" w:sz="0" w:space="0" w:color="auto"/>
            <w:left w:val="none" w:sz="0" w:space="0" w:color="auto"/>
            <w:bottom w:val="none" w:sz="0" w:space="0" w:color="auto"/>
            <w:right w:val="none" w:sz="0" w:space="0" w:color="auto"/>
          </w:divBdr>
        </w:div>
      </w:divsChild>
    </w:div>
    <w:div w:id="1440763078">
      <w:bodyDiv w:val="1"/>
      <w:marLeft w:val="0"/>
      <w:marRight w:val="0"/>
      <w:marTop w:val="0"/>
      <w:marBottom w:val="0"/>
      <w:divBdr>
        <w:top w:val="none" w:sz="0" w:space="0" w:color="auto"/>
        <w:left w:val="none" w:sz="0" w:space="0" w:color="auto"/>
        <w:bottom w:val="none" w:sz="0" w:space="0" w:color="auto"/>
        <w:right w:val="none" w:sz="0" w:space="0" w:color="auto"/>
      </w:divBdr>
    </w:div>
    <w:div w:id="1565682121">
      <w:bodyDiv w:val="1"/>
      <w:marLeft w:val="0"/>
      <w:marRight w:val="0"/>
      <w:marTop w:val="0"/>
      <w:marBottom w:val="0"/>
      <w:divBdr>
        <w:top w:val="none" w:sz="0" w:space="0" w:color="auto"/>
        <w:left w:val="none" w:sz="0" w:space="0" w:color="auto"/>
        <w:bottom w:val="none" w:sz="0" w:space="0" w:color="auto"/>
        <w:right w:val="none" w:sz="0" w:space="0" w:color="auto"/>
      </w:divBdr>
      <w:divsChild>
        <w:div w:id="154685048">
          <w:marLeft w:val="0"/>
          <w:marRight w:val="0"/>
          <w:marTop w:val="0"/>
          <w:marBottom w:val="0"/>
          <w:divBdr>
            <w:top w:val="none" w:sz="0" w:space="0" w:color="auto"/>
            <w:left w:val="none" w:sz="0" w:space="0" w:color="auto"/>
            <w:bottom w:val="none" w:sz="0" w:space="0" w:color="auto"/>
            <w:right w:val="none" w:sz="0" w:space="0" w:color="auto"/>
          </w:divBdr>
        </w:div>
        <w:div w:id="1779442916">
          <w:marLeft w:val="0"/>
          <w:marRight w:val="0"/>
          <w:marTop w:val="0"/>
          <w:marBottom w:val="0"/>
          <w:divBdr>
            <w:top w:val="none" w:sz="0" w:space="0" w:color="auto"/>
            <w:left w:val="none" w:sz="0" w:space="0" w:color="auto"/>
            <w:bottom w:val="none" w:sz="0" w:space="0" w:color="auto"/>
            <w:right w:val="none" w:sz="0" w:space="0" w:color="auto"/>
          </w:divBdr>
        </w:div>
      </w:divsChild>
    </w:div>
    <w:div w:id="1627271918">
      <w:bodyDiv w:val="1"/>
      <w:marLeft w:val="0"/>
      <w:marRight w:val="0"/>
      <w:marTop w:val="0"/>
      <w:marBottom w:val="0"/>
      <w:divBdr>
        <w:top w:val="none" w:sz="0" w:space="0" w:color="auto"/>
        <w:left w:val="none" w:sz="0" w:space="0" w:color="auto"/>
        <w:bottom w:val="none" w:sz="0" w:space="0" w:color="auto"/>
        <w:right w:val="none" w:sz="0" w:space="0" w:color="auto"/>
      </w:divBdr>
    </w:div>
    <w:div w:id="210950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sv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107" Type="http://schemas.openxmlformats.org/officeDocument/2006/relationships/image" Target="media/image98.png"/><Relationship Id="rId11" Type="http://schemas.openxmlformats.org/officeDocument/2006/relationships/image" Target="media/image2.sv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footnotes" Target="footnotes.xml"/><Relationship Id="rId23" Type="http://schemas.openxmlformats.org/officeDocument/2006/relationships/image" Target="media/image14.svg"/><Relationship Id="rId119" Type="http://schemas.openxmlformats.org/officeDocument/2006/relationships/image" Target="media/image110.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13" Type="http://schemas.openxmlformats.org/officeDocument/2006/relationships/image" Target="media/image4.svg"/><Relationship Id="rId109" Type="http://schemas.openxmlformats.org/officeDocument/2006/relationships/image" Target="media/image100.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hyperlink" Target="https://trails.readthedocs.io/en/latest/" TargetMode="Externa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 Type="http://schemas.openxmlformats.org/officeDocument/2006/relationships/image" Target="media/image16.svg"/><Relationship Id="rId46" Type="http://schemas.openxmlformats.org/officeDocument/2006/relationships/image" Target="media/image37.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15" Type="http://schemas.openxmlformats.org/officeDocument/2006/relationships/image" Target="media/image6.sv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hyperlink" Target="https://github.com/Laboratory-for-Energy-Systems-Analysis/trails/tree/main/examples" TargetMode="External"/><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microsoft.com/office/2019/05/relationships/documenttasks" Target="documenttasks/documenttasks1.xml"/><Relationship Id="rId26" Type="http://schemas.openxmlformats.org/officeDocument/2006/relationships/image" Target="media/image17.png"/><Relationship Id="rId231" Type="http://schemas.openxmlformats.org/officeDocument/2006/relationships/image" Target="media/image222.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7" Type="http://schemas.openxmlformats.org/officeDocument/2006/relationships/image" Target="media/image18.sv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17" Type="http://schemas.openxmlformats.org/officeDocument/2006/relationships/image" Target="media/image8.sv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sv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0.svg"/><Relationship Id="rId224" Type="http://schemas.openxmlformats.org/officeDocument/2006/relationships/image" Target="media/image215.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theme" Target="theme/theme1.xml"/><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s>
</file>

<file path=word/documenttasks/documenttasks1.xml><?xml version="1.0" encoding="utf-8"?>
<t:Tasks xmlns:t="http://schemas.microsoft.com/office/tasks/2019/documenttasks" xmlns:oel="http://schemas.microsoft.com/office/2019/extlst">
  <t:Task id="{9BD2A23E-DCA1-4A2F-BB97-922D518CCCF1}">
    <t:Anchor>
      <t:Comment id="1924330639"/>
    </t:Anchor>
    <t:History>
      <t:Event id="{53D5A3B2-1E4E-49AA-8571-63034F4EE984}" time="2025-06-12T08:45:19.72Z">
        <t:Attribution userId="S::alvaro.hahn-menacho@psi.ch::0fd90662-c53f-41c8-91f0-d6b6efcb6a85" userProvider="AD" userName="Hahn Menacho Alvaro Jose"/>
        <t:Anchor>
          <t:Comment id="1924330639"/>
        </t:Anchor>
        <t:Create/>
      </t:Event>
      <t:Event id="{B2FD9BB3-7AE4-43DA-9D3B-B8A6282FBC18}" time="2025-06-12T08:45:19.72Z">
        <t:Attribution userId="S::alvaro.hahn-menacho@psi.ch::0fd90662-c53f-41c8-91f0-d6b6efcb6a85" userProvider="AD" userName="Hahn Menacho Alvaro Jose"/>
        <t:Anchor>
          <t:Comment id="1924330639"/>
        </t:Anchor>
        <t:Assign userId="S::romain.sacchi@psi.ch::741f6142-2efe-454a-9f11-53d822a9b813" userProvider="AD" userName="Sacchi Romain"/>
      </t:Event>
      <t:Event id="{457C7C92-B3FC-466E-8E72-86FE153D31C4}" time="2025-06-12T08:45:19.72Z">
        <t:Attribution userId="S::alvaro.hahn-menacho@psi.ch::0fd90662-c53f-41c8-91f0-d6b6efcb6a85" userProvider="AD" userName="Hahn Menacho Alvaro Jose"/>
        <t:Anchor>
          <t:Comment id="1924330639"/>
        </t:Anchor>
        <t:SetTitle title="@Sacchi Romain missing"/>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9A16B2-7087-467F-BCD8-5DE9709FDE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928</TotalTime>
  <Pages>103</Pages>
  <Words>12383</Words>
  <Characters>78141</Characters>
  <Application>Microsoft Office Word</Application>
  <DocSecurity>0</DocSecurity>
  <Lines>2790</Lines>
  <Paragraphs>1257</Paragraphs>
  <ScaleCrop>false</ScaleCrop>
  <Company>BertelsmannSpringer</Company>
  <LinksUpToDate>false</LinksUpToDate>
  <CharactersWithSpaces>89267</CharactersWithSpaces>
  <SharedDoc>false</SharedDoc>
  <HLinks>
    <vt:vector size="174" baseType="variant">
      <vt:variant>
        <vt:i4>1966134</vt:i4>
      </vt:variant>
      <vt:variant>
        <vt:i4>164</vt:i4>
      </vt:variant>
      <vt:variant>
        <vt:i4>0</vt:i4>
      </vt:variant>
      <vt:variant>
        <vt:i4>5</vt:i4>
      </vt:variant>
      <vt:variant>
        <vt:lpwstr/>
      </vt:variant>
      <vt:variant>
        <vt:lpwstr>_Toc233129524</vt:lpwstr>
      </vt:variant>
      <vt:variant>
        <vt:i4>1966134</vt:i4>
      </vt:variant>
      <vt:variant>
        <vt:i4>158</vt:i4>
      </vt:variant>
      <vt:variant>
        <vt:i4>0</vt:i4>
      </vt:variant>
      <vt:variant>
        <vt:i4>5</vt:i4>
      </vt:variant>
      <vt:variant>
        <vt:lpwstr/>
      </vt:variant>
      <vt:variant>
        <vt:lpwstr>_Toc233129523</vt:lpwstr>
      </vt:variant>
      <vt:variant>
        <vt:i4>1966134</vt:i4>
      </vt:variant>
      <vt:variant>
        <vt:i4>152</vt:i4>
      </vt:variant>
      <vt:variant>
        <vt:i4>0</vt:i4>
      </vt:variant>
      <vt:variant>
        <vt:i4>5</vt:i4>
      </vt:variant>
      <vt:variant>
        <vt:lpwstr/>
      </vt:variant>
      <vt:variant>
        <vt:lpwstr>_Toc233129522</vt:lpwstr>
      </vt:variant>
      <vt:variant>
        <vt:i4>1966134</vt:i4>
      </vt:variant>
      <vt:variant>
        <vt:i4>146</vt:i4>
      </vt:variant>
      <vt:variant>
        <vt:i4>0</vt:i4>
      </vt:variant>
      <vt:variant>
        <vt:i4>5</vt:i4>
      </vt:variant>
      <vt:variant>
        <vt:lpwstr/>
      </vt:variant>
      <vt:variant>
        <vt:lpwstr>_Toc233129521</vt:lpwstr>
      </vt:variant>
      <vt:variant>
        <vt:i4>1966134</vt:i4>
      </vt:variant>
      <vt:variant>
        <vt:i4>140</vt:i4>
      </vt:variant>
      <vt:variant>
        <vt:i4>0</vt:i4>
      </vt:variant>
      <vt:variant>
        <vt:i4>5</vt:i4>
      </vt:variant>
      <vt:variant>
        <vt:lpwstr/>
      </vt:variant>
      <vt:variant>
        <vt:lpwstr>_Toc233129520</vt:lpwstr>
      </vt:variant>
      <vt:variant>
        <vt:i4>1900598</vt:i4>
      </vt:variant>
      <vt:variant>
        <vt:i4>134</vt:i4>
      </vt:variant>
      <vt:variant>
        <vt:i4>0</vt:i4>
      </vt:variant>
      <vt:variant>
        <vt:i4>5</vt:i4>
      </vt:variant>
      <vt:variant>
        <vt:lpwstr/>
      </vt:variant>
      <vt:variant>
        <vt:lpwstr>_Toc233129519</vt:lpwstr>
      </vt:variant>
      <vt:variant>
        <vt:i4>1900598</vt:i4>
      </vt:variant>
      <vt:variant>
        <vt:i4>128</vt:i4>
      </vt:variant>
      <vt:variant>
        <vt:i4>0</vt:i4>
      </vt:variant>
      <vt:variant>
        <vt:i4>5</vt:i4>
      </vt:variant>
      <vt:variant>
        <vt:lpwstr/>
      </vt:variant>
      <vt:variant>
        <vt:lpwstr>_Toc233129518</vt:lpwstr>
      </vt:variant>
      <vt:variant>
        <vt:i4>1900598</vt:i4>
      </vt:variant>
      <vt:variant>
        <vt:i4>122</vt:i4>
      </vt:variant>
      <vt:variant>
        <vt:i4>0</vt:i4>
      </vt:variant>
      <vt:variant>
        <vt:i4>5</vt:i4>
      </vt:variant>
      <vt:variant>
        <vt:lpwstr/>
      </vt:variant>
      <vt:variant>
        <vt:lpwstr>_Toc233129517</vt:lpwstr>
      </vt:variant>
      <vt:variant>
        <vt:i4>1900598</vt:i4>
      </vt:variant>
      <vt:variant>
        <vt:i4>116</vt:i4>
      </vt:variant>
      <vt:variant>
        <vt:i4>0</vt:i4>
      </vt:variant>
      <vt:variant>
        <vt:i4>5</vt:i4>
      </vt:variant>
      <vt:variant>
        <vt:lpwstr/>
      </vt:variant>
      <vt:variant>
        <vt:lpwstr>_Toc233129516</vt:lpwstr>
      </vt:variant>
      <vt:variant>
        <vt:i4>1900598</vt:i4>
      </vt:variant>
      <vt:variant>
        <vt:i4>110</vt:i4>
      </vt:variant>
      <vt:variant>
        <vt:i4>0</vt:i4>
      </vt:variant>
      <vt:variant>
        <vt:i4>5</vt:i4>
      </vt:variant>
      <vt:variant>
        <vt:lpwstr/>
      </vt:variant>
      <vt:variant>
        <vt:lpwstr>_Toc233129515</vt:lpwstr>
      </vt:variant>
      <vt:variant>
        <vt:i4>1900598</vt:i4>
      </vt:variant>
      <vt:variant>
        <vt:i4>104</vt:i4>
      </vt:variant>
      <vt:variant>
        <vt:i4>0</vt:i4>
      </vt:variant>
      <vt:variant>
        <vt:i4>5</vt:i4>
      </vt:variant>
      <vt:variant>
        <vt:lpwstr/>
      </vt:variant>
      <vt:variant>
        <vt:lpwstr>_Toc233129514</vt:lpwstr>
      </vt:variant>
      <vt:variant>
        <vt:i4>1900598</vt:i4>
      </vt:variant>
      <vt:variant>
        <vt:i4>98</vt:i4>
      </vt:variant>
      <vt:variant>
        <vt:i4>0</vt:i4>
      </vt:variant>
      <vt:variant>
        <vt:i4>5</vt:i4>
      </vt:variant>
      <vt:variant>
        <vt:lpwstr/>
      </vt:variant>
      <vt:variant>
        <vt:lpwstr>_Toc233129513</vt:lpwstr>
      </vt:variant>
      <vt:variant>
        <vt:i4>1900598</vt:i4>
      </vt:variant>
      <vt:variant>
        <vt:i4>92</vt:i4>
      </vt:variant>
      <vt:variant>
        <vt:i4>0</vt:i4>
      </vt:variant>
      <vt:variant>
        <vt:i4>5</vt:i4>
      </vt:variant>
      <vt:variant>
        <vt:lpwstr/>
      </vt:variant>
      <vt:variant>
        <vt:lpwstr>_Toc233129512</vt:lpwstr>
      </vt:variant>
      <vt:variant>
        <vt:i4>1900598</vt:i4>
      </vt:variant>
      <vt:variant>
        <vt:i4>86</vt:i4>
      </vt:variant>
      <vt:variant>
        <vt:i4>0</vt:i4>
      </vt:variant>
      <vt:variant>
        <vt:i4>5</vt:i4>
      </vt:variant>
      <vt:variant>
        <vt:lpwstr/>
      </vt:variant>
      <vt:variant>
        <vt:lpwstr>_Toc233129511</vt:lpwstr>
      </vt:variant>
      <vt:variant>
        <vt:i4>1900598</vt:i4>
      </vt:variant>
      <vt:variant>
        <vt:i4>80</vt:i4>
      </vt:variant>
      <vt:variant>
        <vt:i4>0</vt:i4>
      </vt:variant>
      <vt:variant>
        <vt:i4>5</vt:i4>
      </vt:variant>
      <vt:variant>
        <vt:lpwstr/>
      </vt:variant>
      <vt:variant>
        <vt:lpwstr>_Toc233129510</vt:lpwstr>
      </vt:variant>
      <vt:variant>
        <vt:i4>1835062</vt:i4>
      </vt:variant>
      <vt:variant>
        <vt:i4>74</vt:i4>
      </vt:variant>
      <vt:variant>
        <vt:i4>0</vt:i4>
      </vt:variant>
      <vt:variant>
        <vt:i4>5</vt:i4>
      </vt:variant>
      <vt:variant>
        <vt:lpwstr/>
      </vt:variant>
      <vt:variant>
        <vt:lpwstr>_Toc233129509</vt:lpwstr>
      </vt:variant>
      <vt:variant>
        <vt:i4>1835062</vt:i4>
      </vt:variant>
      <vt:variant>
        <vt:i4>68</vt:i4>
      </vt:variant>
      <vt:variant>
        <vt:i4>0</vt:i4>
      </vt:variant>
      <vt:variant>
        <vt:i4>5</vt:i4>
      </vt:variant>
      <vt:variant>
        <vt:lpwstr/>
      </vt:variant>
      <vt:variant>
        <vt:lpwstr>_Toc233129508</vt:lpwstr>
      </vt:variant>
      <vt:variant>
        <vt:i4>1835062</vt:i4>
      </vt:variant>
      <vt:variant>
        <vt:i4>62</vt:i4>
      </vt:variant>
      <vt:variant>
        <vt:i4>0</vt:i4>
      </vt:variant>
      <vt:variant>
        <vt:i4>5</vt:i4>
      </vt:variant>
      <vt:variant>
        <vt:lpwstr/>
      </vt:variant>
      <vt:variant>
        <vt:lpwstr>_Toc233129507</vt:lpwstr>
      </vt:variant>
      <vt:variant>
        <vt:i4>1835062</vt:i4>
      </vt:variant>
      <vt:variant>
        <vt:i4>56</vt:i4>
      </vt:variant>
      <vt:variant>
        <vt:i4>0</vt:i4>
      </vt:variant>
      <vt:variant>
        <vt:i4>5</vt:i4>
      </vt:variant>
      <vt:variant>
        <vt:lpwstr/>
      </vt:variant>
      <vt:variant>
        <vt:lpwstr>_Toc233129506</vt:lpwstr>
      </vt:variant>
      <vt:variant>
        <vt:i4>1835062</vt:i4>
      </vt:variant>
      <vt:variant>
        <vt:i4>50</vt:i4>
      </vt:variant>
      <vt:variant>
        <vt:i4>0</vt:i4>
      </vt:variant>
      <vt:variant>
        <vt:i4>5</vt:i4>
      </vt:variant>
      <vt:variant>
        <vt:lpwstr/>
      </vt:variant>
      <vt:variant>
        <vt:lpwstr>_Toc233129505</vt:lpwstr>
      </vt:variant>
      <vt:variant>
        <vt:i4>1835062</vt:i4>
      </vt:variant>
      <vt:variant>
        <vt:i4>44</vt:i4>
      </vt:variant>
      <vt:variant>
        <vt:i4>0</vt:i4>
      </vt:variant>
      <vt:variant>
        <vt:i4>5</vt:i4>
      </vt:variant>
      <vt:variant>
        <vt:lpwstr/>
      </vt:variant>
      <vt:variant>
        <vt:lpwstr>_Toc233129504</vt:lpwstr>
      </vt:variant>
      <vt:variant>
        <vt:i4>1835062</vt:i4>
      </vt:variant>
      <vt:variant>
        <vt:i4>38</vt:i4>
      </vt:variant>
      <vt:variant>
        <vt:i4>0</vt:i4>
      </vt:variant>
      <vt:variant>
        <vt:i4>5</vt:i4>
      </vt:variant>
      <vt:variant>
        <vt:lpwstr/>
      </vt:variant>
      <vt:variant>
        <vt:lpwstr>_Toc233129503</vt:lpwstr>
      </vt:variant>
      <vt:variant>
        <vt:i4>1835062</vt:i4>
      </vt:variant>
      <vt:variant>
        <vt:i4>32</vt:i4>
      </vt:variant>
      <vt:variant>
        <vt:i4>0</vt:i4>
      </vt:variant>
      <vt:variant>
        <vt:i4>5</vt:i4>
      </vt:variant>
      <vt:variant>
        <vt:lpwstr/>
      </vt:variant>
      <vt:variant>
        <vt:lpwstr>_Toc233129502</vt:lpwstr>
      </vt:variant>
      <vt:variant>
        <vt:i4>1835062</vt:i4>
      </vt:variant>
      <vt:variant>
        <vt:i4>26</vt:i4>
      </vt:variant>
      <vt:variant>
        <vt:i4>0</vt:i4>
      </vt:variant>
      <vt:variant>
        <vt:i4>5</vt:i4>
      </vt:variant>
      <vt:variant>
        <vt:lpwstr/>
      </vt:variant>
      <vt:variant>
        <vt:lpwstr>_Toc233129501</vt:lpwstr>
      </vt:variant>
      <vt:variant>
        <vt:i4>1835062</vt:i4>
      </vt:variant>
      <vt:variant>
        <vt:i4>20</vt:i4>
      </vt:variant>
      <vt:variant>
        <vt:i4>0</vt:i4>
      </vt:variant>
      <vt:variant>
        <vt:i4>5</vt:i4>
      </vt:variant>
      <vt:variant>
        <vt:lpwstr/>
      </vt:variant>
      <vt:variant>
        <vt:lpwstr>_Toc233129500</vt:lpwstr>
      </vt:variant>
      <vt:variant>
        <vt:i4>1376311</vt:i4>
      </vt:variant>
      <vt:variant>
        <vt:i4>14</vt:i4>
      </vt:variant>
      <vt:variant>
        <vt:i4>0</vt:i4>
      </vt:variant>
      <vt:variant>
        <vt:i4>5</vt:i4>
      </vt:variant>
      <vt:variant>
        <vt:lpwstr/>
      </vt:variant>
      <vt:variant>
        <vt:lpwstr>_Toc233129499</vt:lpwstr>
      </vt:variant>
      <vt:variant>
        <vt:i4>1376311</vt:i4>
      </vt:variant>
      <vt:variant>
        <vt:i4>8</vt:i4>
      </vt:variant>
      <vt:variant>
        <vt:i4>0</vt:i4>
      </vt:variant>
      <vt:variant>
        <vt:i4>5</vt:i4>
      </vt:variant>
      <vt:variant>
        <vt:lpwstr/>
      </vt:variant>
      <vt:variant>
        <vt:lpwstr>_Toc233129498</vt:lpwstr>
      </vt:variant>
      <vt:variant>
        <vt:i4>7143475</vt:i4>
      </vt:variant>
      <vt:variant>
        <vt:i4>3</vt:i4>
      </vt:variant>
      <vt:variant>
        <vt:i4>0</vt:i4>
      </vt:variant>
      <vt:variant>
        <vt:i4>5</vt:i4>
      </vt:variant>
      <vt:variant>
        <vt:lpwstr>https://github.com/Laboratory-for-Energy-Systems-Analysis/trails/tree/main/examples</vt:lpwstr>
      </vt:variant>
      <vt:variant>
        <vt:lpwstr/>
      </vt:variant>
      <vt:variant>
        <vt:i4>720898</vt:i4>
      </vt:variant>
      <vt:variant>
        <vt:i4>0</vt:i4>
      </vt:variant>
      <vt:variant>
        <vt:i4>0</vt:i4>
      </vt:variant>
      <vt:variant>
        <vt:i4>5</vt:i4>
      </vt:variant>
      <vt:variant>
        <vt:lpwstr>https://trails.readthedocs.io/en/latest/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Romain Sacchi</cp:lastModifiedBy>
  <cp:revision>212</cp:revision>
  <dcterms:created xsi:type="dcterms:W3CDTF">2025-06-16T21:45:00Z</dcterms:created>
  <dcterms:modified xsi:type="dcterms:W3CDTF">2026-06-24T09:04:00Z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AMA Manual of Style 11th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ASA Style Guide 6th/7th edition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http://www.zotero.org/styles/apa</vt:lpwstr>
  </property>
  <property fmtid="{D5CDD505-2E9C-101B-9397-08002B2CF9AE}" pid="9" name="Mendeley Recent Style Name 3_1">
    <vt:lpwstr>American Psychological Association 7th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18th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(author-date/Harvard)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4th edition (note with bibliography)</vt:lpwstr>
  </property>
  <property fmtid="{D5CDD505-2E9C-101B-9397-08002B2CF9AE}" pid="18" name="Mendeley Recent Style Id 8_1">
    <vt:lpwstr>http://www.zotero.org/styles/sustainable-production-and-consumption</vt:lpwstr>
  </property>
  <property fmtid="{D5CDD505-2E9C-101B-9397-08002B2CF9AE}" pid="19" name="Mendeley Recent Style Name 8_1">
    <vt:lpwstr>Sustainable Production and Consumption</vt:lpwstr>
  </property>
  <property fmtid="{D5CDD505-2E9C-101B-9397-08002B2CF9AE}" pid="20" name="Mendeley Recent Style Id 9_1">
    <vt:lpwstr>http://www.zotero.org/styles/the-international-journal-of-life-cycle-assessment</vt:lpwstr>
  </property>
  <property fmtid="{D5CDD505-2E9C-101B-9397-08002B2CF9AE}" pid="21" name="Mendeley Recent Style Name 9_1">
    <vt:lpwstr>The International Journal of Life Cycle Assessment</vt:lpwstr>
  </property>
  <property fmtid="{D5CDD505-2E9C-101B-9397-08002B2CF9AE}" pid="22" name="Mendeley Document_1">
    <vt:lpwstr>True</vt:lpwstr>
  </property>
  <property fmtid="{D5CDD505-2E9C-101B-9397-08002B2CF9AE}" pid="23" name="Mendeley Unique User Id_1">
    <vt:lpwstr>c7ea4e33-6ad1-3d20-acc3-e25a6a18fc78</vt:lpwstr>
  </property>
  <property fmtid="{D5CDD505-2E9C-101B-9397-08002B2CF9AE}" pid="24" name="Mendeley Citation Style_1">
    <vt:lpwstr>http://www.zotero.org/styles/the-international-journal-of-life-cycle-assessment</vt:lpwstr>
  </property>
  <property fmtid="{D5CDD505-2E9C-101B-9397-08002B2CF9AE}" pid="25" name="GrammarlyDocumentId">
    <vt:lpwstr>902a32da-80f0-4402-9a60-c6a8e021e402</vt:lpwstr>
  </property>
</Properties>
</file>