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5DF984">
      <w:pPr>
        <w:jc w:val="center"/>
        <w:rPr>
          <w:rFonts w:hint="eastAsia"/>
          <w:b/>
          <w:bCs/>
        </w:rPr>
      </w:pPr>
      <w:r>
        <w:rPr>
          <w:rFonts w:hint="eastAsia"/>
          <w:b/>
          <w:bCs/>
        </w:rPr>
        <w:t>Thematic Coding Framework</w:t>
      </w:r>
    </w:p>
    <w:p w14:paraId="02E63305">
      <w:pPr>
        <w:rPr>
          <w:rFonts w:hint="eastAsia"/>
        </w:rPr>
      </w:pPr>
      <w:r>
        <w:rPr>
          <w:rFonts w:hint="eastAsia"/>
          <w:b/>
          <w:bCs/>
        </w:rPr>
        <w:t>Study Titl</w:t>
      </w:r>
      <w:r>
        <w:rPr>
          <w:rFonts w:hint="eastAsia"/>
        </w:rPr>
        <w:t>e: The Restoration of Strength: Bodily Capital Reconstruction and Family Reciprocity Repair through Resistance Exercise Participation among Older Adults with Sarcopenia—A Qualitative Study</w:t>
      </w:r>
    </w:p>
    <w:p w14:paraId="4738D9D7">
      <w:pPr>
        <w:rPr>
          <w:rFonts w:hint="eastAsia"/>
        </w:rPr>
      </w:pPr>
    </w:p>
    <w:p w14:paraId="54F7FD8C">
      <w:pPr>
        <w:rPr>
          <w:rFonts w:hint="eastAsia"/>
        </w:rPr>
      </w:pPr>
      <w:r>
        <w:rPr>
          <w:rFonts w:hint="eastAsia"/>
          <w:b/>
          <w:bCs/>
        </w:rPr>
        <w:t>Analytical Approach</w:t>
      </w:r>
      <w:r>
        <w:rPr>
          <w:rFonts w:hint="eastAsia"/>
        </w:rPr>
        <w:t>: Reflexive Thematic Analysis (Braun &amp; Clarke, 2022)</w:t>
      </w:r>
    </w:p>
    <w:p w14:paraId="70523717">
      <w:pPr>
        <w:rPr>
          <w:rFonts w:hint="eastAsia"/>
        </w:rPr>
      </w:pPr>
    </w:p>
    <w:p w14:paraId="7194B5BD">
      <w:pPr>
        <w:rPr>
          <w:rFonts w:hint="eastAsia"/>
        </w:rPr>
      </w:pPr>
      <w:r>
        <w:rPr>
          <w:rFonts w:hint="eastAsia"/>
          <w:b/>
          <w:bCs/>
        </w:rPr>
        <w:t>Number of Participants</w:t>
      </w:r>
      <w:r>
        <w:rPr>
          <w:rFonts w:hint="eastAsia"/>
        </w:rPr>
        <w:t>: 24 (15 women, 9 men)</w:t>
      </w:r>
    </w:p>
    <w:p w14:paraId="4F515FFE">
      <w:pPr>
        <w:rPr>
          <w:rFonts w:hint="eastAsia"/>
        </w:rPr>
      </w:pPr>
    </w:p>
    <w:p w14:paraId="3BBD2CCB">
      <w:pPr>
        <w:rPr>
          <w:rFonts w:hint="eastAsia"/>
        </w:rPr>
      </w:pPr>
      <w:r>
        <w:rPr>
          <w:rFonts w:hint="eastAsia"/>
          <w:b/>
          <w:bCs/>
        </w:rPr>
        <w:t>Data Sources</w:t>
      </w:r>
      <w:r>
        <w:rPr>
          <w:rFonts w:hint="eastAsia"/>
        </w:rPr>
        <w:t>: Exercise logs (Weeks 1–8), in-depth interviews (Weeks 1, 4, 8), photo-voice photographs and discussions (Weeks 6–8)</w:t>
      </w:r>
    </w:p>
    <w:p w14:paraId="32CAD50C">
      <w:pPr>
        <w:rPr>
          <w:rFonts w:hint="eastAsia"/>
          <w:b/>
          <w:bCs/>
        </w:rPr>
      </w:pPr>
    </w:p>
    <w:p w14:paraId="128451EF">
      <w:pPr>
        <w:ind w:firstLine="843" w:firstLineChars="400"/>
      </w:pPr>
      <w:r>
        <w:rPr>
          <w:rFonts w:hint="eastAsia"/>
          <w:b/>
          <w:bCs/>
        </w:rPr>
        <w:t>Overview of Thematic Structure</w:t>
      </w:r>
    </w:p>
    <w:tbl>
      <w:tblPr>
        <w:tblStyle w:val="3"/>
        <w:tblpPr w:leftFromText="180" w:rightFromText="180" w:vertAnchor="text" w:tblpX="193" w:tblpY="50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377"/>
        <w:gridCol w:w="1619"/>
        <w:gridCol w:w="4123"/>
      </w:tblGrid>
      <w:tr w14:paraId="39B37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trPr>
        <w:tc>
          <w:tcPr>
            <w:tcW w:w="1377" w:type="dxa"/>
          </w:tcPr>
          <w:p w14:paraId="5FBD86B5">
            <w:pPr>
              <w:jc w:val="center"/>
              <w:rPr>
                <w:rFonts w:hint="eastAsia"/>
                <w:b/>
                <w:bCs/>
                <w:vertAlign w:val="baseline"/>
              </w:rPr>
            </w:pPr>
            <w:r>
              <w:rPr>
                <w:rFonts w:hint="eastAsia"/>
                <w:b/>
                <w:bCs/>
                <w:vertAlign w:val="baseline"/>
              </w:rPr>
              <w:t>Theme</w:t>
            </w:r>
          </w:p>
        </w:tc>
        <w:tc>
          <w:tcPr>
            <w:tcW w:w="1619" w:type="dxa"/>
          </w:tcPr>
          <w:p w14:paraId="118D4EA5">
            <w:pPr>
              <w:jc w:val="center"/>
              <w:rPr>
                <w:rFonts w:hint="eastAsia"/>
                <w:b/>
                <w:bCs/>
                <w:vertAlign w:val="baseline"/>
              </w:rPr>
            </w:pPr>
            <w:r>
              <w:rPr>
                <w:rFonts w:hint="eastAsia"/>
                <w:b/>
                <w:bCs/>
                <w:vertAlign w:val="baseline"/>
              </w:rPr>
              <w:t>Sub-theme</w:t>
            </w:r>
          </w:p>
        </w:tc>
        <w:tc>
          <w:tcPr>
            <w:tcW w:w="4123" w:type="dxa"/>
          </w:tcPr>
          <w:p w14:paraId="6627E41C">
            <w:pPr>
              <w:jc w:val="center"/>
              <w:rPr>
                <w:rFonts w:hint="eastAsia"/>
                <w:b/>
                <w:bCs/>
                <w:vertAlign w:val="baseline"/>
              </w:rPr>
            </w:pPr>
            <w:r>
              <w:rPr>
                <w:rFonts w:hint="eastAsia"/>
                <w:b/>
                <w:bCs/>
                <w:vertAlign w:val="baseline"/>
              </w:rPr>
              <w:t>Definition</w:t>
            </w:r>
          </w:p>
        </w:tc>
      </w:tr>
      <w:tr w14:paraId="15A85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15" w:hRule="atLeast"/>
        </w:trPr>
        <w:tc>
          <w:tcPr>
            <w:tcW w:w="1377" w:type="dxa"/>
            <w:vMerge w:val="restart"/>
          </w:tcPr>
          <w:p w14:paraId="3683C122">
            <w:pPr>
              <w:rPr>
                <w:rFonts w:hint="eastAsia"/>
                <w:b w:val="0"/>
                <w:bCs w:val="0"/>
                <w:vertAlign w:val="baseline"/>
              </w:rPr>
            </w:pPr>
            <w:r>
              <w:rPr>
                <w:rFonts w:hint="eastAsia"/>
                <w:b w:val="0"/>
                <w:bCs w:val="0"/>
                <w:vertAlign w:val="baseline"/>
              </w:rPr>
              <w:t>Theme 1: “Hope in Soreness”</w:t>
            </w:r>
          </w:p>
        </w:tc>
        <w:tc>
          <w:tcPr>
            <w:tcW w:w="1619" w:type="dxa"/>
          </w:tcPr>
          <w:p w14:paraId="7F99BF2A">
            <w:pPr>
              <w:rPr>
                <w:rFonts w:hint="eastAsia"/>
                <w:b w:val="0"/>
                <w:bCs w:val="0"/>
                <w:vertAlign w:val="baseline"/>
              </w:rPr>
            </w:pPr>
          </w:p>
        </w:tc>
        <w:tc>
          <w:tcPr>
            <w:tcW w:w="4123" w:type="dxa"/>
          </w:tcPr>
          <w:p w14:paraId="039286B3">
            <w:pPr>
              <w:rPr>
                <w:rFonts w:hint="eastAsia"/>
                <w:b w:val="0"/>
                <w:bCs w:val="0"/>
                <w:vertAlign w:val="baseline"/>
              </w:rPr>
            </w:pPr>
            <w:r>
              <w:rPr>
                <w:rFonts w:hint="eastAsia"/>
                <w:b w:val="0"/>
                <w:bCs w:val="0"/>
                <w:vertAlign w:val="baseline"/>
              </w:rPr>
              <w:t>Participants actively re-interpret training-related muscle soreness as a positive signal of bodily capital accumulation rather than as pain or damage</w:t>
            </w:r>
          </w:p>
        </w:tc>
      </w:tr>
      <w:tr w14:paraId="72C1D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15" w:hRule="atLeast"/>
        </w:trPr>
        <w:tc>
          <w:tcPr>
            <w:tcW w:w="1377" w:type="dxa"/>
            <w:vMerge w:val="continue"/>
            <w:tcBorders/>
          </w:tcPr>
          <w:p w14:paraId="40A01643">
            <w:pPr>
              <w:rPr>
                <w:rFonts w:hint="eastAsia"/>
                <w:b w:val="0"/>
                <w:bCs w:val="0"/>
                <w:vertAlign w:val="baseline"/>
              </w:rPr>
            </w:pPr>
          </w:p>
        </w:tc>
        <w:tc>
          <w:tcPr>
            <w:tcW w:w="1619" w:type="dxa"/>
          </w:tcPr>
          <w:p w14:paraId="62047C78">
            <w:pPr>
              <w:rPr>
                <w:rFonts w:hint="eastAsia"/>
                <w:b w:val="0"/>
                <w:bCs w:val="0"/>
                <w:vertAlign w:val="baseline"/>
              </w:rPr>
            </w:pPr>
            <w:r>
              <w:rPr>
                <w:rFonts w:hint="eastAsia"/>
                <w:b w:val="0"/>
                <w:bCs w:val="0"/>
                <w:vertAlign w:val="baseline"/>
              </w:rPr>
              <w:t>1.1 Distinguishing training soreness from illness</w:t>
            </w:r>
          </w:p>
        </w:tc>
        <w:tc>
          <w:tcPr>
            <w:tcW w:w="4123" w:type="dxa"/>
          </w:tcPr>
          <w:p w14:paraId="5D796FC2">
            <w:pPr>
              <w:rPr>
                <w:rFonts w:hint="eastAsia"/>
                <w:b w:val="0"/>
                <w:bCs w:val="0"/>
                <w:vertAlign w:val="baseline"/>
              </w:rPr>
            </w:pPr>
            <w:r>
              <w:rPr>
                <w:rFonts w:hint="eastAsia"/>
                <w:b w:val="0"/>
                <w:bCs w:val="0"/>
                <w:vertAlign w:val="baseline"/>
              </w:rPr>
              <w:t>Participants draw a clear distinction between the discomfort of exercise (interpreted as the body “working with” the self) and the discomfort of illness (interpreted as the body “working against” the self)</w:t>
            </w:r>
          </w:p>
        </w:tc>
      </w:tr>
      <w:tr w14:paraId="6F5C1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15" w:hRule="atLeast"/>
        </w:trPr>
        <w:tc>
          <w:tcPr>
            <w:tcW w:w="1377" w:type="dxa"/>
            <w:vMerge w:val="continue"/>
            <w:tcBorders/>
          </w:tcPr>
          <w:p w14:paraId="4A68EFBE">
            <w:pPr>
              <w:rPr>
                <w:rFonts w:hint="eastAsia"/>
                <w:b w:val="0"/>
                <w:bCs w:val="0"/>
                <w:vertAlign w:val="baseline"/>
              </w:rPr>
            </w:pPr>
          </w:p>
        </w:tc>
        <w:tc>
          <w:tcPr>
            <w:tcW w:w="1619" w:type="dxa"/>
          </w:tcPr>
          <w:p w14:paraId="5E4E337B">
            <w:pPr>
              <w:rPr>
                <w:rFonts w:hint="eastAsia"/>
                <w:b w:val="0"/>
                <w:bCs w:val="0"/>
                <w:vertAlign w:val="baseline"/>
              </w:rPr>
            </w:pPr>
            <w:r>
              <w:rPr>
                <w:rFonts w:hint="eastAsia"/>
                <w:b w:val="0"/>
                <w:bCs w:val="0"/>
                <w:vertAlign w:val="baseline"/>
              </w:rPr>
              <w:t>1.2 Constructing moral agency through discomfort</w:t>
            </w:r>
          </w:p>
        </w:tc>
        <w:tc>
          <w:tcPr>
            <w:tcW w:w="4123" w:type="dxa"/>
          </w:tcPr>
          <w:p w14:paraId="1D814375">
            <w:pPr>
              <w:rPr>
                <w:rFonts w:hint="eastAsia"/>
                <w:b w:val="0"/>
                <w:bCs w:val="0"/>
                <w:vertAlign w:val="baseline"/>
              </w:rPr>
            </w:pPr>
            <w:r>
              <w:rPr>
                <w:rFonts w:hint="eastAsia"/>
                <w:b w:val="0"/>
                <w:bCs w:val="0"/>
                <w:vertAlign w:val="baseline"/>
              </w:rPr>
              <w:t>By redefining soreness as evidence of effort and investment, participants establish a sense of active agency against the narrative of passive decline</w:t>
            </w:r>
          </w:p>
        </w:tc>
      </w:tr>
      <w:tr w14:paraId="6A158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15" w:hRule="atLeast"/>
        </w:trPr>
        <w:tc>
          <w:tcPr>
            <w:tcW w:w="1377" w:type="dxa"/>
            <w:vMerge w:val="restart"/>
          </w:tcPr>
          <w:p w14:paraId="651F7675">
            <w:pPr>
              <w:rPr>
                <w:rFonts w:hint="eastAsia"/>
                <w:b w:val="0"/>
                <w:bCs w:val="0"/>
                <w:vertAlign w:val="baseline"/>
              </w:rPr>
            </w:pPr>
            <w:r>
              <w:rPr>
                <w:rFonts w:hint="eastAsia"/>
                <w:b w:val="0"/>
                <w:bCs w:val="0"/>
                <w:vertAlign w:val="baseline"/>
              </w:rPr>
              <w:t>Theme 2: “The Re-Inhabited Body”</w:t>
            </w:r>
          </w:p>
        </w:tc>
        <w:tc>
          <w:tcPr>
            <w:tcW w:w="1619" w:type="dxa"/>
          </w:tcPr>
          <w:p w14:paraId="00127D9A">
            <w:pPr>
              <w:rPr>
                <w:rFonts w:hint="eastAsia"/>
                <w:b w:val="0"/>
                <w:bCs w:val="0"/>
                <w:vertAlign w:val="baseline"/>
              </w:rPr>
            </w:pPr>
          </w:p>
        </w:tc>
        <w:tc>
          <w:tcPr>
            <w:tcW w:w="4123" w:type="dxa"/>
          </w:tcPr>
          <w:p w14:paraId="3EF7CA76">
            <w:pPr>
              <w:rPr>
                <w:rFonts w:hint="eastAsia"/>
                <w:b w:val="0"/>
                <w:bCs w:val="0"/>
                <w:vertAlign w:val="baseline"/>
              </w:rPr>
            </w:pPr>
            <w:r>
              <w:rPr>
                <w:rFonts w:hint="eastAsia"/>
                <w:b w:val="0"/>
                <w:bCs w:val="0"/>
                <w:vertAlign w:val="baseline"/>
              </w:rPr>
              <w:t>Strength gains allow the body to withdraw from a state of dys-appearance, restoring pre-reflective fluency of daily movement</w:t>
            </w:r>
          </w:p>
        </w:tc>
      </w:tr>
      <w:tr w14:paraId="65BDA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15" w:hRule="atLeast"/>
        </w:trPr>
        <w:tc>
          <w:tcPr>
            <w:tcW w:w="1377" w:type="dxa"/>
            <w:vMerge w:val="continue"/>
            <w:tcBorders/>
          </w:tcPr>
          <w:p w14:paraId="6E2F668E">
            <w:pPr>
              <w:rPr>
                <w:rFonts w:hint="eastAsia"/>
                <w:b w:val="0"/>
                <w:bCs w:val="0"/>
                <w:vertAlign w:val="baseline"/>
              </w:rPr>
            </w:pPr>
          </w:p>
        </w:tc>
        <w:tc>
          <w:tcPr>
            <w:tcW w:w="1619" w:type="dxa"/>
          </w:tcPr>
          <w:p w14:paraId="554C25F1">
            <w:pPr>
              <w:rPr>
                <w:rFonts w:hint="eastAsia"/>
                <w:b w:val="0"/>
                <w:bCs w:val="0"/>
                <w:vertAlign w:val="baseline"/>
              </w:rPr>
            </w:pPr>
            <w:r>
              <w:rPr>
                <w:rFonts w:hint="eastAsia"/>
                <w:b w:val="0"/>
                <w:bCs w:val="0"/>
                <w:vertAlign w:val="baseline"/>
              </w:rPr>
              <w:t>2.1 From deliberate action to automaticity</w:t>
            </w:r>
          </w:p>
        </w:tc>
        <w:tc>
          <w:tcPr>
            <w:tcW w:w="4123" w:type="dxa"/>
          </w:tcPr>
          <w:p w14:paraId="3EA9197C">
            <w:pPr>
              <w:rPr>
                <w:rFonts w:hint="eastAsia"/>
                <w:b w:val="0"/>
                <w:bCs w:val="0"/>
                <w:vertAlign w:val="baseline"/>
              </w:rPr>
            </w:pPr>
            <w:r>
              <w:rPr>
                <w:rFonts w:hint="eastAsia"/>
                <w:b w:val="0"/>
                <w:bCs w:val="0"/>
                <w:vertAlign w:val="baseline"/>
              </w:rPr>
              <w:t>Actions that previously required conscious planning (e.g., counting “one, two, three” to stand up) become natural and effortless</w:t>
            </w:r>
          </w:p>
        </w:tc>
      </w:tr>
      <w:tr w14:paraId="0775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15" w:hRule="atLeast"/>
        </w:trPr>
        <w:tc>
          <w:tcPr>
            <w:tcW w:w="1377" w:type="dxa"/>
            <w:vMerge w:val="continue"/>
            <w:tcBorders/>
          </w:tcPr>
          <w:p w14:paraId="17A1EF85">
            <w:pPr>
              <w:rPr>
                <w:rFonts w:hint="eastAsia"/>
                <w:b w:val="0"/>
                <w:bCs w:val="0"/>
                <w:vertAlign w:val="baseline"/>
              </w:rPr>
            </w:pPr>
          </w:p>
        </w:tc>
        <w:tc>
          <w:tcPr>
            <w:tcW w:w="1619" w:type="dxa"/>
          </w:tcPr>
          <w:p w14:paraId="0CC81746">
            <w:pPr>
              <w:rPr>
                <w:rFonts w:hint="eastAsia"/>
                <w:b w:val="0"/>
                <w:bCs w:val="0"/>
                <w:vertAlign w:val="baseline"/>
              </w:rPr>
            </w:pPr>
            <w:r>
              <w:rPr>
                <w:rFonts w:hint="eastAsia"/>
                <w:b w:val="0"/>
                <w:bCs w:val="0"/>
                <w:vertAlign w:val="baseline"/>
              </w:rPr>
              <w:t>2.2 Bodily confirmation from others</w:t>
            </w:r>
          </w:p>
        </w:tc>
        <w:tc>
          <w:tcPr>
            <w:tcW w:w="4123" w:type="dxa"/>
          </w:tcPr>
          <w:p w14:paraId="068D39CC">
            <w:pPr>
              <w:rPr>
                <w:rFonts w:hint="eastAsia"/>
                <w:b w:val="0"/>
                <w:bCs w:val="0"/>
                <w:vertAlign w:val="baseline"/>
              </w:rPr>
            </w:pPr>
            <w:r>
              <w:rPr>
                <w:rFonts w:hint="eastAsia"/>
                <w:b w:val="0"/>
                <w:bCs w:val="0"/>
                <w:vertAlign w:val="baseline"/>
              </w:rPr>
              <w:t>Care workers and family members independently notice and comment on improvements in mobility, gait, and posture</w:t>
            </w:r>
          </w:p>
        </w:tc>
      </w:tr>
      <w:tr w14:paraId="053B6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15" w:hRule="atLeast"/>
        </w:trPr>
        <w:tc>
          <w:tcPr>
            <w:tcW w:w="1377" w:type="dxa"/>
            <w:vMerge w:val="continue"/>
            <w:tcBorders/>
          </w:tcPr>
          <w:p w14:paraId="109A824C">
            <w:pPr>
              <w:rPr>
                <w:rFonts w:hint="eastAsia"/>
                <w:b w:val="0"/>
                <w:bCs w:val="0"/>
                <w:vertAlign w:val="baseline"/>
              </w:rPr>
            </w:pPr>
          </w:p>
        </w:tc>
        <w:tc>
          <w:tcPr>
            <w:tcW w:w="1619" w:type="dxa"/>
          </w:tcPr>
          <w:p w14:paraId="604DF198">
            <w:pPr>
              <w:rPr>
                <w:rFonts w:hint="eastAsia"/>
                <w:b w:val="0"/>
                <w:bCs w:val="0"/>
                <w:vertAlign w:val="baseline"/>
              </w:rPr>
            </w:pPr>
            <w:r>
              <w:rPr>
                <w:rFonts w:hint="eastAsia"/>
                <w:b w:val="0"/>
                <w:bCs w:val="0"/>
                <w:vertAlign w:val="baseline"/>
              </w:rPr>
              <w:t>2.3 Habitus restructuring</w:t>
            </w:r>
          </w:p>
        </w:tc>
        <w:tc>
          <w:tcPr>
            <w:tcW w:w="4123" w:type="dxa"/>
          </w:tcPr>
          <w:p w14:paraId="6FA8A087">
            <w:pPr>
              <w:rPr>
                <w:rFonts w:hint="eastAsia"/>
                <w:b w:val="0"/>
                <w:bCs w:val="0"/>
                <w:vertAlign w:val="baseline"/>
              </w:rPr>
            </w:pPr>
            <w:r>
              <w:rPr>
                <w:rFonts w:hint="eastAsia"/>
                <w:b w:val="0"/>
                <w:bCs w:val="0"/>
                <w:vertAlign w:val="baseline"/>
              </w:rPr>
              <w:t>Restoration of the body’s “self-effacing” character; the individual no longer presents as “the old person with mobility problems”</w:t>
            </w:r>
          </w:p>
        </w:tc>
      </w:tr>
      <w:tr w14:paraId="6F35D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15" w:hRule="atLeast"/>
        </w:trPr>
        <w:tc>
          <w:tcPr>
            <w:tcW w:w="1377" w:type="dxa"/>
            <w:vMerge w:val="restart"/>
          </w:tcPr>
          <w:p w14:paraId="005ECA4B">
            <w:pPr>
              <w:rPr>
                <w:rFonts w:hint="eastAsia"/>
                <w:b w:val="0"/>
                <w:bCs w:val="0"/>
                <w:vertAlign w:val="baseline"/>
              </w:rPr>
            </w:pPr>
            <w:r>
              <w:rPr>
                <w:rFonts w:hint="eastAsia"/>
                <w:b w:val="0"/>
                <w:bCs w:val="0"/>
                <w:vertAlign w:val="baseline"/>
              </w:rPr>
              <w:t>Theme 3: “The Moment I Held My Grandchild”</w:t>
            </w:r>
          </w:p>
        </w:tc>
        <w:tc>
          <w:tcPr>
            <w:tcW w:w="1619" w:type="dxa"/>
          </w:tcPr>
          <w:p w14:paraId="6FC1E05C">
            <w:pPr>
              <w:rPr>
                <w:rFonts w:hint="eastAsia"/>
                <w:b w:val="0"/>
                <w:bCs w:val="0"/>
                <w:vertAlign w:val="baseline"/>
              </w:rPr>
            </w:pPr>
          </w:p>
        </w:tc>
        <w:tc>
          <w:tcPr>
            <w:tcW w:w="4123" w:type="dxa"/>
          </w:tcPr>
          <w:p w14:paraId="2ECC95F8">
            <w:pPr>
              <w:rPr>
                <w:rFonts w:hint="eastAsia"/>
                <w:b w:val="0"/>
                <w:bCs w:val="0"/>
                <w:vertAlign w:val="baseline"/>
              </w:rPr>
            </w:pPr>
            <w:r>
              <w:rPr>
                <w:rFonts w:hint="eastAsia"/>
                <w:b w:val="0"/>
                <w:bCs w:val="0"/>
                <w:vertAlign w:val="baseline"/>
              </w:rPr>
              <w:t>Recovered strength is anchored in concrete, relationally significant events that repair damaged inter-generational relationships and moral identity</w:t>
            </w:r>
          </w:p>
        </w:tc>
      </w:tr>
      <w:tr w14:paraId="1AA60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15" w:hRule="atLeast"/>
        </w:trPr>
        <w:tc>
          <w:tcPr>
            <w:tcW w:w="1377" w:type="dxa"/>
            <w:vMerge w:val="continue"/>
            <w:tcBorders/>
          </w:tcPr>
          <w:p w14:paraId="4E2D1FE8">
            <w:pPr>
              <w:rPr>
                <w:rFonts w:hint="eastAsia"/>
                <w:b w:val="0"/>
                <w:bCs w:val="0"/>
                <w:vertAlign w:val="baseline"/>
              </w:rPr>
            </w:pPr>
          </w:p>
        </w:tc>
        <w:tc>
          <w:tcPr>
            <w:tcW w:w="1619" w:type="dxa"/>
          </w:tcPr>
          <w:p w14:paraId="55B29AB6">
            <w:pPr>
              <w:rPr>
                <w:rFonts w:hint="eastAsia"/>
                <w:b w:val="0"/>
                <w:bCs w:val="0"/>
                <w:vertAlign w:val="baseline"/>
              </w:rPr>
            </w:pPr>
            <w:r>
              <w:rPr>
                <w:rFonts w:hint="eastAsia"/>
                <w:b w:val="0"/>
                <w:bCs w:val="0"/>
                <w:vertAlign w:val="baseline"/>
              </w:rPr>
              <w:t>3.1 Capital conversion within the family field</w:t>
            </w:r>
          </w:p>
        </w:tc>
        <w:tc>
          <w:tcPr>
            <w:tcW w:w="4123" w:type="dxa"/>
          </w:tcPr>
          <w:p w14:paraId="1FA49E5E">
            <w:pPr>
              <w:rPr>
                <w:rFonts w:hint="eastAsia"/>
                <w:b w:val="0"/>
                <w:bCs w:val="0"/>
                <w:vertAlign w:val="baseline"/>
              </w:rPr>
            </w:pPr>
            <w:r>
              <w:rPr>
                <w:rFonts w:hint="eastAsia"/>
                <w:b w:val="0"/>
                <w:bCs w:val="0"/>
                <w:vertAlign w:val="baseline"/>
              </w:rPr>
              <w:t>Muscular strength is demonstrated through concrete acts (holding grandchildren, carrying groceries), witnessed and confirmed by significant others, leading to repair of the giving role in family reciprocity</w:t>
            </w:r>
          </w:p>
        </w:tc>
      </w:tr>
      <w:tr w14:paraId="78BF8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15" w:hRule="atLeast"/>
        </w:trPr>
        <w:tc>
          <w:tcPr>
            <w:tcW w:w="1377" w:type="dxa"/>
            <w:vMerge w:val="continue"/>
            <w:tcBorders/>
          </w:tcPr>
          <w:p w14:paraId="70F91F9A">
            <w:pPr>
              <w:rPr>
                <w:rFonts w:hint="eastAsia"/>
                <w:b w:val="0"/>
                <w:bCs w:val="0"/>
                <w:vertAlign w:val="baseline"/>
              </w:rPr>
            </w:pPr>
          </w:p>
        </w:tc>
        <w:tc>
          <w:tcPr>
            <w:tcW w:w="1619" w:type="dxa"/>
          </w:tcPr>
          <w:p w14:paraId="7FE2960F">
            <w:pPr>
              <w:rPr>
                <w:rFonts w:hint="eastAsia"/>
                <w:b w:val="0"/>
                <w:bCs w:val="0"/>
                <w:vertAlign w:val="baseline"/>
              </w:rPr>
            </w:pPr>
            <w:r>
              <w:rPr>
                <w:rFonts w:hint="eastAsia"/>
                <w:b w:val="0"/>
                <w:bCs w:val="0"/>
                <w:vertAlign w:val="baseline"/>
              </w:rPr>
              <w:t>3.2 Capital conversion within the institutional field</w:t>
            </w:r>
          </w:p>
        </w:tc>
        <w:tc>
          <w:tcPr>
            <w:tcW w:w="4123" w:type="dxa"/>
          </w:tcPr>
          <w:p w14:paraId="0BF3F34A">
            <w:pPr>
              <w:rPr>
                <w:rFonts w:hint="eastAsia"/>
                <w:b w:val="0"/>
                <w:bCs w:val="0"/>
                <w:vertAlign w:val="baseline"/>
              </w:rPr>
            </w:pPr>
            <w:r>
              <w:rPr>
                <w:rFonts w:hint="eastAsia"/>
                <w:b w:val="0"/>
                <w:bCs w:val="0"/>
                <w:vertAlign w:val="baseline"/>
              </w:rPr>
              <w:t>In nursing homes, strength recovery enables mutual-aid behaviours (helping roommates), confirmed through peer recognition (e.g., “Thank you, Sister He”)</w:t>
            </w:r>
          </w:p>
        </w:tc>
      </w:tr>
      <w:tr w14:paraId="61EBE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15" w:hRule="atLeast"/>
        </w:trPr>
        <w:tc>
          <w:tcPr>
            <w:tcW w:w="1377" w:type="dxa"/>
            <w:vMerge w:val="continue"/>
            <w:tcBorders/>
          </w:tcPr>
          <w:p w14:paraId="794A1A7C">
            <w:pPr>
              <w:rPr>
                <w:rFonts w:hint="eastAsia"/>
                <w:b w:val="0"/>
                <w:bCs w:val="0"/>
                <w:vertAlign w:val="baseline"/>
              </w:rPr>
            </w:pPr>
          </w:p>
        </w:tc>
        <w:tc>
          <w:tcPr>
            <w:tcW w:w="1619" w:type="dxa"/>
          </w:tcPr>
          <w:p w14:paraId="74044FA4">
            <w:pPr>
              <w:rPr>
                <w:rFonts w:hint="eastAsia"/>
                <w:b w:val="0"/>
                <w:bCs w:val="0"/>
                <w:vertAlign w:val="baseline"/>
              </w:rPr>
            </w:pPr>
            <w:r>
              <w:rPr>
                <w:rFonts w:hint="eastAsia"/>
                <w:b w:val="0"/>
                <w:bCs w:val="0"/>
                <w:vertAlign w:val="baseline"/>
              </w:rPr>
              <w:t>3.3 Micro-signals of bodily capital</w:t>
            </w:r>
          </w:p>
        </w:tc>
        <w:tc>
          <w:tcPr>
            <w:tcW w:w="4123" w:type="dxa"/>
          </w:tcPr>
          <w:p w14:paraId="5E135C55">
            <w:pPr>
              <w:rPr>
                <w:rFonts w:hint="eastAsia"/>
                <w:b w:val="0"/>
                <w:bCs w:val="0"/>
                <w:vertAlign w:val="baseline"/>
              </w:rPr>
            </w:pPr>
            <w:r>
              <w:rPr>
                <w:rFonts w:hint="eastAsia"/>
                <w:b w:val="0"/>
                <w:bCs w:val="0"/>
                <w:vertAlign w:val="baseline"/>
              </w:rPr>
              <w:t>Subtle interpersonal cues (from nervous gaze to relaxed hand, from tense to at-ease expression) signal a shift in how the older person is perceived—from risk to trusted companion</w:t>
            </w:r>
          </w:p>
        </w:tc>
      </w:tr>
    </w:tbl>
    <w:p w14:paraId="0C207C54">
      <w:pPr>
        <w:rPr>
          <w:rFonts w:hint="eastAsia"/>
          <w:b/>
          <w:bCs/>
        </w:rPr>
      </w:pPr>
    </w:p>
    <w:p w14:paraId="24EF0EF2">
      <w:pPr>
        <w:rPr>
          <w:rFonts w:hint="eastAsia"/>
          <w:b/>
          <w:bCs/>
        </w:rPr>
      </w:pPr>
    </w:p>
    <w:p w14:paraId="41E76C41">
      <w:pPr>
        <w:rPr>
          <w:rFonts w:hint="eastAsia"/>
          <w:b/>
          <w:bCs/>
        </w:rPr>
      </w:pPr>
    </w:p>
    <w:p w14:paraId="23C195B4">
      <w:pPr>
        <w:rPr>
          <w:rFonts w:hint="eastAsia"/>
          <w:b/>
          <w:bCs/>
        </w:rPr>
      </w:pPr>
    </w:p>
    <w:p w14:paraId="4EB8AEF4">
      <w:pPr>
        <w:rPr>
          <w:rFonts w:hint="eastAsia"/>
          <w:b/>
          <w:bCs/>
        </w:rPr>
      </w:pPr>
    </w:p>
    <w:p w14:paraId="3AE4922F">
      <w:pPr>
        <w:rPr>
          <w:rFonts w:hint="eastAsia"/>
          <w:b/>
          <w:bCs/>
        </w:rPr>
      </w:pPr>
    </w:p>
    <w:p w14:paraId="0F54FFAF">
      <w:pPr>
        <w:rPr>
          <w:rFonts w:hint="eastAsia"/>
          <w:b/>
          <w:bCs/>
        </w:rPr>
      </w:pPr>
    </w:p>
    <w:p w14:paraId="469A9999">
      <w:pPr>
        <w:rPr>
          <w:rFonts w:hint="eastAsia"/>
          <w:b/>
          <w:bCs/>
        </w:rPr>
      </w:pPr>
    </w:p>
    <w:p w14:paraId="2CC461A6">
      <w:pPr>
        <w:rPr>
          <w:rFonts w:hint="eastAsia"/>
          <w:b/>
          <w:bCs/>
        </w:rPr>
      </w:pPr>
    </w:p>
    <w:p w14:paraId="6A4BE184">
      <w:pPr>
        <w:rPr>
          <w:rFonts w:hint="eastAsia"/>
          <w:b/>
          <w:bCs/>
        </w:rPr>
      </w:pPr>
    </w:p>
    <w:p w14:paraId="68061D0B">
      <w:pPr>
        <w:rPr>
          <w:rFonts w:hint="eastAsia"/>
          <w:b/>
          <w:bCs/>
        </w:rPr>
      </w:pPr>
    </w:p>
    <w:p w14:paraId="0478C80C">
      <w:pPr>
        <w:rPr>
          <w:rFonts w:hint="eastAsia"/>
          <w:b/>
          <w:bCs/>
        </w:rPr>
      </w:pPr>
    </w:p>
    <w:p w14:paraId="06B3AEAB">
      <w:pPr>
        <w:rPr>
          <w:rFonts w:hint="eastAsia"/>
          <w:b/>
          <w:bCs/>
        </w:rPr>
      </w:pPr>
    </w:p>
    <w:p w14:paraId="2F39CBC1">
      <w:pPr>
        <w:rPr>
          <w:rFonts w:hint="eastAsia"/>
          <w:b/>
          <w:bCs/>
        </w:rPr>
      </w:pPr>
    </w:p>
    <w:p w14:paraId="1F272BBC">
      <w:pPr>
        <w:rPr>
          <w:rFonts w:hint="eastAsia"/>
          <w:b/>
          <w:bCs/>
        </w:rPr>
      </w:pPr>
    </w:p>
    <w:p w14:paraId="6F999D30">
      <w:pPr>
        <w:rPr>
          <w:rFonts w:hint="eastAsia"/>
          <w:b/>
          <w:bCs/>
        </w:rPr>
      </w:pPr>
    </w:p>
    <w:p w14:paraId="4A66085A">
      <w:pPr>
        <w:rPr>
          <w:rFonts w:hint="eastAsia"/>
          <w:b/>
          <w:bCs/>
        </w:rPr>
      </w:pPr>
    </w:p>
    <w:p w14:paraId="61FB7B20">
      <w:pPr>
        <w:rPr>
          <w:rFonts w:hint="eastAsia"/>
          <w:b/>
          <w:bCs/>
        </w:rPr>
      </w:pPr>
    </w:p>
    <w:p w14:paraId="6CDAB081">
      <w:pPr>
        <w:rPr>
          <w:rFonts w:hint="eastAsia"/>
          <w:b/>
          <w:bCs/>
        </w:rPr>
      </w:pPr>
      <w:r>
        <w:rPr>
          <w:rFonts w:hint="eastAsia"/>
          <w:b/>
          <w:bCs/>
        </w:rPr>
        <w:t>Code Examples for Each Sub-theme</w:t>
      </w:r>
    </w:p>
    <w:p w14:paraId="5EACDD89">
      <w:pPr>
        <w:rPr>
          <w:rFonts w:hint="eastAsia"/>
          <w:b w:val="0"/>
          <w:bCs w:val="0"/>
        </w:rPr>
      </w:pPr>
      <w:r>
        <w:rPr>
          <w:rFonts w:hint="eastAsia"/>
          <w:b w:val="0"/>
          <w:bCs w:val="0"/>
        </w:rPr>
        <w:t>Theme 1.1: Distinguishing training soreness from illness</w:t>
      </w:r>
    </w:p>
    <w:p w14:paraId="0ACB81C6">
      <w:pPr>
        <w:rPr>
          <w:rFonts w:hint="eastAsia"/>
          <w:b w:val="0"/>
          <w:bCs w:val="0"/>
        </w:rPr>
      </w:pPr>
    </w:p>
    <w:p w14:paraId="55F7F63E">
      <w:pPr>
        <w:rPr>
          <w:rFonts w:hint="eastAsia"/>
          <w:b w:val="0"/>
          <w:bCs w:val="0"/>
        </w:rPr>
      </w:pPr>
      <w:r>
        <w:rPr>
          <w:rFonts w:hint="eastAsia"/>
          <w:b w:val="0"/>
          <w:bCs w:val="0"/>
        </w:rPr>
        <w:t>“The discomfort of being sick makes you feel that your body is working against you, fighting you.” (Mrs. Liu, 90, nursing home)</w:t>
      </w:r>
    </w:p>
    <w:p w14:paraId="3432EC11">
      <w:pPr>
        <w:rPr>
          <w:rFonts w:hint="eastAsia"/>
          <w:b w:val="0"/>
          <w:bCs w:val="0"/>
        </w:rPr>
      </w:pPr>
    </w:p>
    <w:p w14:paraId="786F6FA1">
      <w:pPr>
        <w:rPr>
          <w:rFonts w:hint="eastAsia"/>
          <w:b w:val="0"/>
          <w:bCs w:val="0"/>
        </w:rPr>
      </w:pPr>
      <w:r>
        <w:rPr>
          <w:rFonts w:hint="eastAsia"/>
          <w:b w:val="0"/>
          <w:bCs w:val="0"/>
        </w:rPr>
        <w:t>“But the soreness after exercise—that makes you feel your body is working together with you.” (Mrs. Liu, 90, nursing home)</w:t>
      </w:r>
    </w:p>
    <w:p w14:paraId="218CE698">
      <w:pPr>
        <w:rPr>
          <w:rFonts w:hint="eastAsia"/>
          <w:b w:val="0"/>
          <w:bCs w:val="0"/>
        </w:rPr>
      </w:pPr>
    </w:p>
    <w:p w14:paraId="45CB9005">
      <w:pPr>
        <w:rPr>
          <w:rFonts w:hint="eastAsia"/>
          <w:b w:val="0"/>
          <w:bCs w:val="0"/>
        </w:rPr>
      </w:pPr>
      <w:r>
        <w:rPr>
          <w:rFonts w:hint="eastAsia"/>
          <w:b w:val="0"/>
          <w:bCs w:val="0"/>
        </w:rPr>
        <w:t>“Those lazy muscles had been woken up by me.” (Mr. Chen, 84, hospital)</w:t>
      </w:r>
    </w:p>
    <w:p w14:paraId="17ACA62D">
      <w:pPr>
        <w:rPr>
          <w:rFonts w:hint="eastAsia"/>
          <w:b w:val="0"/>
          <w:bCs w:val="0"/>
        </w:rPr>
      </w:pPr>
    </w:p>
    <w:p w14:paraId="0AA158CD">
      <w:pPr>
        <w:rPr>
          <w:rFonts w:hint="eastAsia"/>
          <w:b w:val="0"/>
          <w:bCs w:val="0"/>
        </w:rPr>
      </w:pPr>
      <w:r>
        <w:rPr>
          <w:rFonts w:hint="eastAsia"/>
          <w:b w:val="0"/>
          <w:bCs w:val="0"/>
        </w:rPr>
        <w:t>Theme 1.2: Constructing moral agency through discomfort</w:t>
      </w:r>
    </w:p>
    <w:p w14:paraId="38DB49CC">
      <w:pPr>
        <w:rPr>
          <w:rFonts w:hint="eastAsia"/>
          <w:b w:val="0"/>
          <w:bCs w:val="0"/>
        </w:rPr>
      </w:pPr>
    </w:p>
    <w:p w14:paraId="3472F8DD">
      <w:pPr>
        <w:rPr>
          <w:rFonts w:hint="eastAsia"/>
          <w:b w:val="0"/>
          <w:bCs w:val="0"/>
        </w:rPr>
      </w:pPr>
      <w:r>
        <w:rPr>
          <w:rFonts w:hint="eastAsia"/>
          <w:b w:val="0"/>
          <w:bCs w:val="0"/>
        </w:rPr>
        <w:t>“Deep down I wasn’t upset—on the contrary, I felt a bit happy.” (Mr. Chen, 84, hospital)</w:t>
      </w:r>
    </w:p>
    <w:p w14:paraId="2EC030AC">
      <w:pPr>
        <w:rPr>
          <w:rFonts w:hint="eastAsia"/>
          <w:b w:val="0"/>
          <w:bCs w:val="0"/>
        </w:rPr>
      </w:pPr>
    </w:p>
    <w:p w14:paraId="484CD7A7">
      <w:pPr>
        <w:rPr>
          <w:rFonts w:hint="eastAsia"/>
          <w:b w:val="0"/>
          <w:bCs w:val="0"/>
        </w:rPr>
      </w:pPr>
      <w:r>
        <w:rPr>
          <w:rFonts w:hint="eastAsia"/>
          <w:b w:val="0"/>
          <w:bCs w:val="0"/>
        </w:rPr>
        <w:t>“These are completely different things.” (Mrs. Liu, 90, nursing home)</w:t>
      </w:r>
    </w:p>
    <w:p w14:paraId="3807AC1B">
      <w:pPr>
        <w:rPr>
          <w:rFonts w:hint="eastAsia"/>
          <w:b w:val="0"/>
          <w:bCs w:val="0"/>
        </w:rPr>
      </w:pPr>
    </w:p>
    <w:p w14:paraId="52683D90">
      <w:pPr>
        <w:rPr>
          <w:rFonts w:hint="eastAsia"/>
          <w:b w:val="0"/>
          <w:bCs w:val="0"/>
        </w:rPr>
      </w:pPr>
      <w:r>
        <w:rPr>
          <w:rFonts w:hint="eastAsia"/>
          <w:b w:val="0"/>
          <w:bCs w:val="0"/>
        </w:rPr>
        <w:t>Theme 2.1: From deliberate action to automaticity</w:t>
      </w:r>
    </w:p>
    <w:p w14:paraId="2366B204">
      <w:pPr>
        <w:rPr>
          <w:rFonts w:hint="eastAsia"/>
          <w:b w:val="0"/>
          <w:bCs w:val="0"/>
        </w:rPr>
      </w:pPr>
    </w:p>
    <w:p w14:paraId="3BD7E9F1">
      <w:pPr>
        <w:rPr>
          <w:rFonts w:hint="eastAsia"/>
          <w:b w:val="0"/>
          <w:bCs w:val="0"/>
        </w:rPr>
      </w:pPr>
      <w:r>
        <w:rPr>
          <w:rFonts w:hint="eastAsia"/>
          <w:b w:val="0"/>
          <w:bCs w:val="0"/>
        </w:rPr>
        <w:t>“Before, when I wanted to stand up, I first had to silently count ‘one, two, three,’ and brace my hands on my knees. Now, after sitting for a long while, I just stand up without even thinking, and before I know it, I’m already in the kitchen.” (Mrs. Zhou, 89, hospital)</w:t>
      </w:r>
    </w:p>
    <w:p w14:paraId="737AC78F">
      <w:pPr>
        <w:rPr>
          <w:rFonts w:hint="eastAsia"/>
          <w:b w:val="0"/>
          <w:bCs w:val="0"/>
        </w:rPr>
      </w:pPr>
    </w:p>
    <w:p w14:paraId="1CD5CC22">
      <w:pPr>
        <w:rPr>
          <w:rFonts w:hint="eastAsia"/>
          <w:b w:val="0"/>
          <w:bCs w:val="0"/>
        </w:rPr>
      </w:pPr>
      <w:r>
        <w:rPr>
          <w:rFonts w:hint="eastAsia"/>
          <w:b w:val="0"/>
          <w:bCs w:val="0"/>
        </w:rPr>
        <w:t>“It feels as though my body belongs to me again.” (Mrs. Zhou, 89, hospital)</w:t>
      </w:r>
    </w:p>
    <w:p w14:paraId="1EB31D5D">
      <w:pPr>
        <w:rPr>
          <w:rFonts w:hint="eastAsia"/>
          <w:b w:val="0"/>
          <w:bCs w:val="0"/>
        </w:rPr>
      </w:pPr>
    </w:p>
    <w:p w14:paraId="49D0CEBA">
      <w:pPr>
        <w:rPr>
          <w:rFonts w:hint="eastAsia"/>
          <w:b w:val="0"/>
          <w:bCs w:val="0"/>
        </w:rPr>
      </w:pPr>
      <w:r>
        <w:rPr>
          <w:rFonts w:hint="eastAsia"/>
          <w:b w:val="0"/>
          <w:bCs w:val="0"/>
        </w:rPr>
        <w:t>Theme 2.2: Bodily confirmation from others</w:t>
      </w:r>
    </w:p>
    <w:p w14:paraId="1CEFC0DC">
      <w:pPr>
        <w:rPr>
          <w:rFonts w:hint="eastAsia"/>
          <w:b w:val="0"/>
          <w:bCs w:val="0"/>
        </w:rPr>
      </w:pPr>
    </w:p>
    <w:p w14:paraId="6A639D8D">
      <w:pPr>
        <w:rPr>
          <w:rFonts w:hint="eastAsia"/>
          <w:b w:val="0"/>
          <w:bCs w:val="0"/>
        </w:rPr>
      </w:pPr>
      <w:r>
        <w:rPr>
          <w:rFonts w:hint="eastAsia"/>
          <w:b w:val="0"/>
          <w:bCs w:val="0"/>
        </w:rPr>
        <w:t>“The carer told me I’m walking faster than before, and lifting my feet higher… I don’t have to keep my eyes glued to the ground anymore.” (Mr. Zhang, 86, nursing home)</w:t>
      </w:r>
    </w:p>
    <w:p w14:paraId="3F4386E6">
      <w:pPr>
        <w:rPr>
          <w:rFonts w:hint="eastAsia"/>
          <w:b w:val="0"/>
          <w:bCs w:val="0"/>
        </w:rPr>
      </w:pPr>
    </w:p>
    <w:p w14:paraId="5DB38A3D">
      <w:pPr>
        <w:rPr>
          <w:rFonts w:hint="eastAsia"/>
          <w:b w:val="0"/>
          <w:bCs w:val="0"/>
        </w:rPr>
      </w:pPr>
      <w:r>
        <w:rPr>
          <w:rFonts w:hint="eastAsia"/>
          <w:b w:val="0"/>
          <w:bCs w:val="0"/>
        </w:rPr>
        <w:t>Theme 3.1: Capital conversion within the family field</w:t>
      </w:r>
    </w:p>
    <w:p w14:paraId="00069848">
      <w:pPr>
        <w:rPr>
          <w:rFonts w:hint="eastAsia"/>
          <w:b w:val="0"/>
          <w:bCs w:val="0"/>
        </w:rPr>
      </w:pPr>
    </w:p>
    <w:p w14:paraId="44A329E4">
      <w:pPr>
        <w:rPr>
          <w:rFonts w:hint="eastAsia"/>
          <w:b w:val="0"/>
          <w:bCs w:val="0"/>
        </w:rPr>
      </w:pPr>
      <w:r>
        <w:rPr>
          <w:rFonts w:hint="eastAsia"/>
          <w:b w:val="0"/>
          <w:bCs w:val="0"/>
        </w:rPr>
        <w:t>“I walked over, bent down, and scooped her right up.” (Mr. Fang, 88, hospital)</w:t>
      </w:r>
    </w:p>
    <w:p w14:paraId="7A6EC3E3">
      <w:pPr>
        <w:rPr>
          <w:rFonts w:hint="eastAsia"/>
          <w:b w:val="0"/>
          <w:bCs w:val="0"/>
        </w:rPr>
      </w:pPr>
    </w:p>
    <w:p w14:paraId="65DD7160">
      <w:pPr>
        <w:rPr>
          <w:rFonts w:hint="eastAsia"/>
          <w:b w:val="0"/>
          <w:bCs w:val="0"/>
        </w:rPr>
      </w:pPr>
      <w:r>
        <w:rPr>
          <w:rFonts w:hint="eastAsia"/>
          <w:b w:val="0"/>
          <w:bCs w:val="0"/>
        </w:rPr>
        <w:t>“She paused for a moment, and then smiled.” (Mr. Fang, 88, hospital, describing daughter-in-law’s reaction)</w:t>
      </w:r>
    </w:p>
    <w:p w14:paraId="29A232D3">
      <w:pPr>
        <w:rPr>
          <w:rFonts w:hint="eastAsia"/>
          <w:b w:val="0"/>
          <w:bCs w:val="0"/>
        </w:rPr>
      </w:pPr>
    </w:p>
    <w:p w14:paraId="72C5C892">
      <w:pPr>
        <w:rPr>
          <w:rFonts w:hint="eastAsia"/>
          <w:b w:val="0"/>
          <w:bCs w:val="0"/>
        </w:rPr>
      </w:pPr>
      <w:r>
        <w:rPr>
          <w:rFonts w:hint="eastAsia"/>
          <w:b w:val="0"/>
          <w:bCs w:val="0"/>
        </w:rPr>
        <w:t>“I just felt that I had become her grandfather again.” (Mr. Fang, 88, hospital)</w:t>
      </w:r>
    </w:p>
    <w:p w14:paraId="228E19B1">
      <w:pPr>
        <w:rPr>
          <w:rFonts w:hint="eastAsia"/>
          <w:b w:val="0"/>
          <w:bCs w:val="0"/>
        </w:rPr>
      </w:pPr>
    </w:p>
    <w:p w14:paraId="5970F7FA">
      <w:pPr>
        <w:rPr>
          <w:rFonts w:hint="eastAsia"/>
          <w:b w:val="0"/>
          <w:bCs w:val="0"/>
        </w:rPr>
      </w:pPr>
      <w:r>
        <w:rPr>
          <w:rFonts w:hint="eastAsia"/>
          <w:b w:val="0"/>
          <w:bCs w:val="0"/>
        </w:rPr>
        <w:t>“She clung to me and ate a whole bowl of rice.” (Mr. Fang, 88, hospital)</w:t>
      </w:r>
    </w:p>
    <w:p w14:paraId="4ADEB102">
      <w:pPr>
        <w:rPr>
          <w:rFonts w:hint="eastAsia"/>
          <w:b w:val="0"/>
          <w:bCs w:val="0"/>
        </w:rPr>
      </w:pPr>
    </w:p>
    <w:p w14:paraId="548E385D">
      <w:pPr>
        <w:rPr>
          <w:rFonts w:hint="eastAsia"/>
          <w:b w:val="0"/>
          <w:bCs w:val="0"/>
        </w:rPr>
      </w:pPr>
      <w:r>
        <w:rPr>
          <w:rFonts w:hint="eastAsia"/>
          <w:b w:val="0"/>
          <w:bCs w:val="0"/>
        </w:rPr>
        <w:t>Photographs of: carrying grocery baskets, fetching cured meat from balcony, opening medicine bottles for spouse</w:t>
      </w:r>
    </w:p>
    <w:p w14:paraId="428B51F8">
      <w:pPr>
        <w:rPr>
          <w:rFonts w:hint="eastAsia"/>
          <w:b w:val="0"/>
          <w:bCs w:val="0"/>
        </w:rPr>
      </w:pPr>
    </w:p>
    <w:p w14:paraId="5A1EAF32">
      <w:pPr>
        <w:rPr>
          <w:rFonts w:hint="eastAsia"/>
          <w:b w:val="0"/>
          <w:bCs w:val="0"/>
        </w:rPr>
      </w:pPr>
      <w:r>
        <w:rPr>
          <w:rFonts w:hint="eastAsia"/>
          <w:b w:val="0"/>
          <w:bCs w:val="0"/>
        </w:rPr>
        <w:t>Theme 3.2: Capital conversion within the institutional field</w:t>
      </w:r>
    </w:p>
    <w:p w14:paraId="121AE60E">
      <w:pPr>
        <w:rPr>
          <w:rFonts w:hint="eastAsia"/>
          <w:b w:val="0"/>
          <w:bCs w:val="0"/>
        </w:rPr>
      </w:pPr>
    </w:p>
    <w:p w14:paraId="703C8396">
      <w:pPr>
        <w:rPr>
          <w:rFonts w:hint="eastAsia"/>
          <w:b w:val="0"/>
          <w:bCs w:val="0"/>
        </w:rPr>
      </w:pPr>
      <w:r>
        <w:rPr>
          <w:rFonts w:hint="eastAsia"/>
          <w:b w:val="0"/>
          <w:bCs w:val="0"/>
        </w:rPr>
        <w:t>“Now I can go to the canteen by myself to get my food.” (Mrs. He, 83, nursing home)</w:t>
      </w:r>
    </w:p>
    <w:p w14:paraId="6AD077C9">
      <w:pPr>
        <w:rPr>
          <w:rFonts w:hint="eastAsia"/>
          <w:b w:val="0"/>
          <w:bCs w:val="0"/>
        </w:rPr>
      </w:pPr>
    </w:p>
    <w:p w14:paraId="76F2B564">
      <w:pPr>
        <w:rPr>
          <w:rFonts w:hint="eastAsia"/>
          <w:b w:val="0"/>
          <w:bCs w:val="0"/>
        </w:rPr>
      </w:pPr>
      <w:r>
        <w:rPr>
          <w:rFonts w:hint="eastAsia"/>
          <w:b w:val="0"/>
          <w:bCs w:val="0"/>
        </w:rPr>
        <w:t>“She said, ‘Thank you, Sister He.’ That one ‘thank you’ made me happy for the whole day. At last, I’m no longer just someone waiting to be served by others.” (Mrs. He, 83, nursing home)</w:t>
      </w:r>
    </w:p>
    <w:p w14:paraId="69A3C29D">
      <w:pPr>
        <w:rPr>
          <w:rFonts w:hint="eastAsia"/>
          <w:b w:val="0"/>
          <w:bCs w:val="0"/>
        </w:rPr>
      </w:pPr>
    </w:p>
    <w:p w14:paraId="77178038">
      <w:pPr>
        <w:rPr>
          <w:rFonts w:hint="eastAsia"/>
          <w:b w:val="0"/>
          <w:bCs w:val="0"/>
        </w:rPr>
      </w:pPr>
      <w:r>
        <w:rPr>
          <w:rFonts w:hint="eastAsia"/>
          <w:b w:val="0"/>
          <w:bCs w:val="0"/>
        </w:rPr>
        <w:t>Theme 3.3: Micro-signals of bodily capital</w:t>
      </w:r>
    </w:p>
    <w:p w14:paraId="45717AC7">
      <w:pPr>
        <w:rPr>
          <w:rFonts w:hint="eastAsia"/>
          <w:b w:val="0"/>
          <w:bCs w:val="0"/>
        </w:rPr>
      </w:pPr>
    </w:p>
    <w:p w14:paraId="492737FD">
      <w:pPr>
        <w:rPr>
          <w:rFonts w:hint="eastAsia"/>
          <w:b w:val="0"/>
          <w:bCs w:val="0"/>
        </w:rPr>
      </w:pPr>
      <w:r>
        <w:rPr>
          <w:rFonts w:hint="eastAsia"/>
          <w:b w:val="0"/>
          <w:bCs w:val="0"/>
        </w:rPr>
        <w:t>“Before, when my son supported me, his eyes were nervous… Now, when he helps me, his hand is relaxed, and his expression is at ease.” (Mr. Yang, 85, hospital)</w:t>
      </w:r>
    </w:p>
    <w:p w14:paraId="0A1DECAE">
      <w:pPr>
        <w:rPr>
          <w:rFonts w:hint="eastAsia"/>
          <w:b w:val="0"/>
          <w:bCs w:val="0"/>
        </w:rPr>
      </w:pPr>
    </w:p>
    <w:p w14:paraId="5124822F">
      <w:pPr>
        <w:rPr>
          <w:rFonts w:hint="eastAsia"/>
          <w:b w:val="0"/>
          <w:bCs w:val="0"/>
        </w:rPr>
      </w:pPr>
      <w:r>
        <w:rPr>
          <w:rFonts w:hint="eastAsia"/>
          <w:b w:val="0"/>
          <w:bCs w:val="0"/>
        </w:rPr>
        <w:t>“That feeling is stronger than anything.” (Mr. Yang, 85, hospital)</w:t>
      </w:r>
    </w:p>
    <w:p w14:paraId="2F2D47F0">
      <w:pPr>
        <w:rPr>
          <w:rFonts w:hint="eastAsia"/>
          <w:b w:val="0"/>
          <w:bCs w:val="0"/>
        </w:rPr>
      </w:pPr>
    </w:p>
    <w:p w14:paraId="62C585E3">
      <w:pPr>
        <w:rPr>
          <w:rFonts w:hint="eastAsia"/>
          <w:b w:val="0"/>
          <w:bCs w:val="0"/>
        </w:rPr>
      </w:pPr>
      <w:r>
        <w:rPr>
          <w:rFonts w:hint="eastAsia"/>
          <w:b/>
          <w:bCs/>
        </w:rPr>
        <w:t>Coding Process Notes</w:t>
      </w:r>
    </w:p>
    <w:p w14:paraId="03373709">
      <w:pPr>
        <w:rPr>
          <w:rFonts w:hint="eastAsia"/>
          <w:b w:val="0"/>
          <w:bCs w:val="0"/>
        </w:rPr>
      </w:pPr>
      <w:r>
        <w:rPr>
          <w:rFonts w:hint="eastAsia"/>
          <w:b w:val="0"/>
          <w:bCs w:val="0"/>
        </w:rPr>
        <w:t>Codes were generated through iterative reading of all transcripts and logs by two researchers independently.</w:t>
      </w:r>
    </w:p>
    <w:p w14:paraId="6DE9AF0A">
      <w:pPr>
        <w:rPr>
          <w:rFonts w:hint="eastAsia"/>
          <w:b w:val="0"/>
          <w:bCs w:val="0"/>
        </w:rPr>
      </w:pPr>
      <w:r>
        <w:rPr>
          <w:rFonts w:hint="eastAsia"/>
          <w:b w:val="0"/>
          <w:bCs w:val="0"/>
        </w:rPr>
        <w:t>Initial codes were compared, discussed, and clustered into candidate themes during weekly team meetings.</w:t>
      </w:r>
    </w:p>
    <w:p w14:paraId="65DB275E">
      <w:pPr>
        <w:rPr>
          <w:rFonts w:hint="eastAsia"/>
          <w:b w:val="0"/>
          <w:bCs w:val="0"/>
        </w:rPr>
      </w:pPr>
      <w:r>
        <w:rPr>
          <w:rFonts w:hint="eastAsia"/>
          <w:b w:val="0"/>
          <w:bCs w:val="0"/>
        </w:rPr>
        <w:t>Themes were refined through constant comparison with raw data to ensure grounding.</w:t>
      </w:r>
    </w:p>
    <w:p w14:paraId="27E48FEA">
      <w:pPr>
        <w:rPr>
          <w:rFonts w:hint="eastAsia"/>
          <w:b w:val="0"/>
          <w:bCs w:val="0"/>
        </w:rPr>
      </w:pPr>
      <w:r>
        <w:rPr>
          <w:rFonts w:hint="eastAsia"/>
          <w:b w:val="0"/>
          <w:bCs w:val="0"/>
        </w:rPr>
        <w:t>The final thematic structure was shared with five participants for member checking; all confirmed that the themes resonated with their experiences.</w:t>
      </w:r>
    </w:p>
    <w:p w14:paraId="58A7F8C4">
      <w:pPr>
        <w:rPr>
          <w:rFonts w:hint="eastAsia"/>
          <w:b/>
          <w:bCs/>
        </w:rPr>
      </w:pPr>
    </w:p>
    <w:p w14:paraId="60F4F1F8">
      <w:pPr>
        <w:rPr>
          <w:rFonts w:hint="eastAsia"/>
          <w:b w:val="0"/>
          <w:bCs w:val="0"/>
        </w:rPr>
      </w:pPr>
      <w:r>
        <w:rPr>
          <w:rFonts w:hint="eastAsia"/>
          <w:b w:val="0"/>
          <w:bCs w:val="0"/>
        </w:rPr>
        <w:t>No substantive differences in theme structure were observed between hospital and nursing home participants, though the relational context of capital conversion differed (family vs. peer network).</w:t>
      </w:r>
    </w:p>
    <w:p w14:paraId="5790552D">
      <w:pPr>
        <w:rPr>
          <w:rFonts w:hint="eastAsia"/>
          <w:b/>
          <w:bCs/>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B5B45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14</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2026-07-12T16:27:08Z</dcterms:created>
  <dc:creator>Olivia Mou</dc:creator>
  <cp:lastModifiedBy>猪猪</cp:lastModifiedBy>
  <dcterms:modified xsi:type="dcterms:W3CDTF">2026-07-12T16:43:52Z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eyJoZGlkIjoiZjJhZDg2YzE0MTFkNjAzNzQzYWY2ZGNmNWI4N2Y1MDQiLCJ1c2VySWQiOiIyNjczNTU1NDkifQ==</vt:lpwstr>
  </property>
  <property fmtid="{D5CDD505-2E9C-101B-9397-08002B2CF9AE}" pid="4" name="ICV">
    <vt:lpwstr>9B68D5BEF5EA4081AB34746D2F9CEBE7_12</vt:lpwstr>
  </property>
</Properties>
</file>