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919D4D">
      <w:pPr>
        <w:pStyle w:val="31"/>
        <w:spacing w:after="0" w:line="480" w:lineRule="auto"/>
        <w:jc w:val="center"/>
      </w:pPr>
      <w:bookmarkStart w:id="0" w:name="_GoBack"/>
      <w:bookmarkEnd w:id="0"/>
      <w:r>
        <w:t>Supporting File S2</w:t>
      </w:r>
    </w:p>
    <w:p w14:paraId="238C0DC4">
      <w:pPr>
        <w:pStyle w:val="31"/>
        <w:spacing w:after="0" w:line="480" w:lineRule="auto"/>
        <w:jc w:val="center"/>
      </w:pPr>
      <w:r>
        <w:t>Complete Extractive Landscape Analysis (ELA) Codebook</w:t>
      </w:r>
    </w:p>
    <w:p w14:paraId="6ADC5778">
      <w:pPr>
        <w:spacing w:after="0" w:line="480" w:lineRule="auto"/>
        <w:jc w:val="center"/>
      </w:pPr>
      <w:r>
        <w:t>Anonymous methodological supplement for peer review</w:t>
      </w:r>
    </w:p>
    <w:p w14:paraId="141F4CBE">
      <w:pPr>
        <w:pStyle w:val="3"/>
        <w:spacing w:after="0" w:line="480" w:lineRule="auto"/>
      </w:pPr>
      <w:r>
        <w:t>1. Purpose and Scope</w:t>
      </w:r>
    </w:p>
    <w:p w14:paraId="49B21F99">
      <w:pPr>
        <w:spacing w:after="0" w:line="480" w:lineRule="auto"/>
      </w:pPr>
      <w:r>
        <w:t>The ELA codebook operationalises six discourse-analytic dimensions for the systematic analysis of environmental harm, extractive power, landscape injury, temporality, resistance, and testimonial authority in literary passages. The instrument is designed for corpus-assisted critical discourse analysis and is not a psychological scale. Scores describe the formal and discursive prominence of a feature within a passage.</w:t>
      </w:r>
    </w:p>
    <w:p w14:paraId="7C296533">
      <w:pPr>
        <w:pStyle w:val="3"/>
        <w:spacing w:after="0" w:line="480" w:lineRule="auto"/>
      </w:pPr>
      <w:r>
        <w:t>2. Unit of Analysis and Eligibility</w:t>
      </w:r>
    </w:p>
    <w:p w14:paraId="4B3F9BAF">
      <w:pPr>
        <w:pStyle w:val="16"/>
        <w:spacing w:after="0" w:line="480" w:lineRule="auto"/>
      </w:pPr>
      <w:r>
        <w:t>Unit: a 200–300-word passage representing one scene or coherent thematic cluster.</w:t>
      </w:r>
    </w:p>
    <w:p w14:paraId="55BC735F">
      <w:pPr>
        <w:pStyle w:val="16"/>
        <w:spacing w:after="0" w:line="480" w:lineRule="auto"/>
      </w:pPr>
      <w:r>
        <w:t>Boundary rule: a passage should not cross a chapter boundary.</w:t>
      </w:r>
    </w:p>
    <w:p w14:paraId="0260CF27">
      <w:pPr>
        <w:pStyle w:val="16"/>
        <w:spacing w:after="0" w:line="480" w:lineRule="auto"/>
      </w:pPr>
      <w:r>
        <w:t>Eligibility: the passage must contain narratively interpretable material; front matter, chapter titles, isolated epigraphs, and purely bibliographic matter are excluded.</w:t>
      </w:r>
    </w:p>
    <w:p w14:paraId="1718ACA9">
      <w:pPr>
        <w:pStyle w:val="16"/>
        <w:spacing w:after="0" w:line="480" w:lineRule="auto"/>
      </w:pPr>
      <w:r>
        <w:t>Context rule: coders may consult the immediately preceding and following page only to resolve pronouns, temporal reference, or speaker identity, but the score must be based on evidence within the sampled passage.</w:t>
      </w:r>
    </w:p>
    <w:p w14:paraId="0CCAD1AD">
      <w:pPr>
        <w:pStyle w:val="16"/>
        <w:spacing w:after="0" w:line="480" w:lineRule="auto"/>
      </w:pPr>
      <w:r>
        <w:t>Copyright rule: the replication dataset records passage IDs and locations, not full copyrighted text.</w:t>
      </w:r>
    </w:p>
    <w:p w14:paraId="49364AC6">
      <w:pPr>
        <w:pStyle w:val="3"/>
        <w:spacing w:after="0" w:line="480" w:lineRule="auto"/>
      </w:pPr>
      <w:r>
        <w:t>3. General Scoring Principles</w:t>
      </w:r>
    </w:p>
    <w:p w14:paraId="3DD51521">
      <w:pPr>
        <w:pStyle w:val="16"/>
        <w:spacing w:after="0" w:line="480" w:lineRule="auto"/>
      </w:pPr>
      <w:r>
        <w:t>Each dimension is scored independently from 1 to 5.</w:t>
      </w:r>
    </w:p>
    <w:p w14:paraId="40A9A0D4">
      <w:pPr>
        <w:pStyle w:val="16"/>
        <w:spacing w:after="0" w:line="480" w:lineRule="auto"/>
      </w:pPr>
      <w:r>
        <w:t>A score reflects textual centrality and explicitness, not the coder’s agreement with the passage’s politics.</w:t>
      </w:r>
    </w:p>
    <w:p w14:paraId="11972D27">
      <w:pPr>
        <w:pStyle w:val="16"/>
        <w:spacing w:after="0" w:line="480" w:lineRule="auto"/>
      </w:pPr>
      <w:r>
        <w:t>The presence of an extractive keyword alone is insufficient for a high score; agency, location, consequence, temporal structure, or testimonial function must be textually established as required by the dimension.</w:t>
      </w:r>
    </w:p>
    <w:p w14:paraId="0F274CC8">
      <w:pPr>
        <w:pStyle w:val="16"/>
        <w:spacing w:after="0" w:line="480" w:lineRule="auto"/>
      </w:pPr>
      <w:r>
        <w:t>When evidence falls between anchors, assign the lower score unless the higher-score criterion is clearly met.</w:t>
      </w:r>
    </w:p>
    <w:p w14:paraId="1C705B0A">
      <w:pPr>
        <w:pStyle w:val="16"/>
        <w:spacing w:after="0" w:line="480" w:lineRule="auto"/>
      </w:pPr>
      <w:r>
        <w:t>Do not infer a corporation, community, historical event, or environmental consequence solely from outside knowledge.</w:t>
      </w:r>
    </w:p>
    <w:p w14:paraId="57F366B2">
      <w:pPr>
        <w:pStyle w:val="16"/>
        <w:spacing w:after="0" w:line="480" w:lineRule="auto"/>
      </w:pPr>
      <w:r>
        <w:t>Record a brief decision note for scores of 1 or 5 and for any coder disagreement greater than one point.</w:t>
      </w:r>
    </w:p>
    <w:p w14:paraId="6B85FA7D">
      <w:pPr>
        <w:pStyle w:val="3"/>
        <w:spacing w:after="0" w:line="480" w:lineRule="auto"/>
      </w:pPr>
      <w:r>
        <w:t>4. Global Five-Point Anchor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0"/>
        <w:gridCol w:w="4680"/>
      </w:tblGrid>
      <w:tr w14:paraId="2694F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blHeader/>
          <w:jc w:val="center"/>
        </w:trPr>
        <w:tc>
          <w:tcPr>
            <w:tcW w:w="4680" w:type="dxa"/>
            <w:shd w:val="clear" w:color="auto" w:fill="D9EAF7"/>
            <w:vAlign w:val="center"/>
          </w:tcPr>
          <w:p w14:paraId="15CE3FE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Score</w:t>
            </w:r>
          </w:p>
        </w:tc>
        <w:tc>
          <w:tcPr>
            <w:tcW w:w="4680" w:type="dxa"/>
            <w:shd w:val="clear" w:color="auto" w:fill="D9EAF7"/>
            <w:vAlign w:val="center"/>
          </w:tcPr>
          <w:p w14:paraId="5DFB81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General interpretation</w:t>
            </w:r>
          </w:p>
        </w:tc>
      </w:tr>
      <w:tr w14:paraId="641D3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0" w:type="dxa"/>
            <w:vAlign w:val="center"/>
          </w:tcPr>
          <w:p w14:paraId="096A814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1</w:t>
            </w:r>
          </w:p>
        </w:tc>
        <w:tc>
          <w:tcPr>
            <w:tcW w:w="4680" w:type="dxa"/>
            <w:vAlign w:val="center"/>
          </w:tcPr>
          <w:p w14:paraId="41DDF80C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Absent or only incidental; the feature does not organise the passage.</w:t>
            </w:r>
          </w:p>
        </w:tc>
      </w:tr>
      <w:tr w14:paraId="2786C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0" w:type="dxa"/>
            <w:vAlign w:val="center"/>
          </w:tcPr>
          <w:p w14:paraId="12AB5AB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2</w:t>
            </w:r>
          </w:p>
        </w:tc>
        <w:tc>
          <w:tcPr>
            <w:tcW w:w="4680" w:type="dxa"/>
            <w:vAlign w:val="center"/>
          </w:tcPr>
          <w:p w14:paraId="2FC2D437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Present but weak, implicit, or peripheral; limited formal development.</w:t>
            </w:r>
          </w:p>
        </w:tc>
      </w:tr>
      <w:tr w14:paraId="055E6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0" w:type="dxa"/>
            <w:vAlign w:val="center"/>
          </w:tcPr>
          <w:p w14:paraId="1D5192B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3</w:t>
            </w:r>
          </w:p>
        </w:tc>
        <w:tc>
          <w:tcPr>
            <w:tcW w:w="4680" w:type="dxa"/>
            <w:vAlign w:val="center"/>
          </w:tcPr>
          <w:p w14:paraId="6DA51CE9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Clearly present and relevant, but not dominant or fully elaborated.</w:t>
            </w:r>
          </w:p>
        </w:tc>
      </w:tr>
      <w:tr w14:paraId="37CB1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0" w:type="dxa"/>
            <w:vAlign w:val="center"/>
          </w:tcPr>
          <w:p w14:paraId="4C6AE87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4</w:t>
            </w:r>
          </w:p>
        </w:tc>
        <w:tc>
          <w:tcPr>
            <w:tcW w:w="4680" w:type="dxa"/>
            <w:vAlign w:val="center"/>
          </w:tcPr>
          <w:p w14:paraId="1F64413D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Strong, explicit, and structurally important to the passage.</w:t>
            </w:r>
          </w:p>
        </w:tc>
      </w:tr>
      <w:tr w14:paraId="01F8F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0" w:type="dxa"/>
            <w:vAlign w:val="center"/>
          </w:tcPr>
          <w:p w14:paraId="3524F3C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5</w:t>
            </w:r>
          </w:p>
        </w:tc>
        <w:tc>
          <w:tcPr>
            <w:tcW w:w="4680" w:type="dxa"/>
            <w:vAlign w:val="center"/>
          </w:tcPr>
          <w:p w14:paraId="578CF890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Pervasive, formally central, and indispensable to the passage’s meaning.</w:t>
            </w:r>
          </w:p>
        </w:tc>
      </w:tr>
    </w:tbl>
    <w:p w14:paraId="008185E3">
      <w:pPr>
        <w:pStyle w:val="3"/>
        <w:spacing w:after="0" w:line="480" w:lineRule="auto"/>
      </w:pPr>
      <w:r>
        <w:t>D1. Extraction Mapping</w:t>
      </w:r>
    </w:p>
    <w:p w14:paraId="47184405">
      <w:pPr>
        <w:spacing w:after="0" w:line="480" w:lineRule="auto"/>
      </w:pPr>
      <w:r>
        <w:t>The degree to which the passage identifies extractive or industrial acts, agents, sites, temporal sequences, and consequences.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0"/>
        <w:gridCol w:w="4680"/>
      </w:tblGrid>
      <w:tr w14:paraId="1A3FD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4680" w:type="dxa"/>
            <w:shd w:val="clear" w:color="auto" w:fill="D9EAF7"/>
            <w:vAlign w:val="center"/>
          </w:tcPr>
          <w:p w14:paraId="1367C27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Score</w:t>
            </w:r>
          </w:p>
        </w:tc>
        <w:tc>
          <w:tcPr>
            <w:tcW w:w="4680" w:type="dxa"/>
            <w:shd w:val="clear" w:color="auto" w:fill="D9EAF7"/>
            <w:vAlign w:val="center"/>
          </w:tcPr>
          <w:p w14:paraId="311963F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Dimension-specific anchor</w:t>
            </w:r>
          </w:p>
        </w:tc>
      </w:tr>
      <w:tr w14:paraId="10425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0" w:type="dxa"/>
            <w:vAlign w:val="center"/>
          </w:tcPr>
          <w:p w14:paraId="45EB1DA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1</w:t>
            </w:r>
          </w:p>
        </w:tc>
        <w:tc>
          <w:tcPr>
            <w:tcW w:w="4680" w:type="dxa"/>
            <w:vAlign w:val="center"/>
          </w:tcPr>
          <w:p w14:paraId="3B776BF9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No extractive act is present, or a resource/industry is mentioned only as background.</w:t>
            </w:r>
          </w:p>
        </w:tc>
      </w:tr>
      <w:tr w14:paraId="40D88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0" w:type="dxa"/>
            <w:vAlign w:val="center"/>
          </w:tcPr>
          <w:p w14:paraId="1D60177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2</w:t>
            </w:r>
          </w:p>
        </w:tc>
        <w:tc>
          <w:tcPr>
            <w:tcW w:w="4680" w:type="dxa"/>
            <w:vAlign w:val="center"/>
          </w:tcPr>
          <w:p w14:paraId="07EF74C4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An extractive activity is implied or named, but agent, location, sequence, or consequence is largely unspecified.</w:t>
            </w:r>
          </w:p>
        </w:tc>
      </w:tr>
      <w:tr w14:paraId="269C1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0" w:type="dxa"/>
            <w:vAlign w:val="center"/>
          </w:tcPr>
          <w:p w14:paraId="5E2613D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3</w:t>
            </w:r>
          </w:p>
        </w:tc>
        <w:tc>
          <w:tcPr>
            <w:tcW w:w="4680" w:type="dxa"/>
            <w:vAlign w:val="center"/>
          </w:tcPr>
          <w:p w14:paraId="62AB3B80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At least one extractive act is located and attributed, with a discernible consequence or affected site.</w:t>
            </w:r>
          </w:p>
        </w:tc>
      </w:tr>
      <w:tr w14:paraId="35EE0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0" w:type="dxa"/>
            <w:vAlign w:val="center"/>
          </w:tcPr>
          <w:p w14:paraId="6F18B23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4</w:t>
            </w:r>
          </w:p>
        </w:tc>
        <w:tc>
          <w:tcPr>
            <w:tcW w:w="4680" w:type="dxa"/>
            <w:vAlign w:val="center"/>
          </w:tcPr>
          <w:p w14:paraId="2DB14AA9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Several linked extractive acts, agents, sites, or consequences are mapped with substantial specificity.</w:t>
            </w:r>
          </w:p>
        </w:tc>
      </w:tr>
      <w:tr w14:paraId="70CE1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0" w:type="dxa"/>
            <w:vAlign w:val="center"/>
          </w:tcPr>
          <w:p w14:paraId="6C46D94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5</w:t>
            </w:r>
          </w:p>
        </w:tc>
        <w:tc>
          <w:tcPr>
            <w:tcW w:w="4680" w:type="dxa"/>
            <w:vAlign w:val="center"/>
          </w:tcPr>
          <w:p w14:paraId="05F611B7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The passage systematically documents an extractive network: named actors, locations, temporal sequence, affected bodies/landscapes, and consequences are formally central.</w:t>
            </w:r>
          </w:p>
        </w:tc>
      </w:tr>
    </w:tbl>
    <w:p w14:paraId="737BDB13">
      <w:pPr>
        <w:pStyle w:val="4"/>
        <w:spacing w:after="0" w:line="480" w:lineRule="auto"/>
      </w:pPr>
      <w:r>
        <w:t>Decision rules</w:t>
      </w:r>
    </w:p>
    <w:p w14:paraId="4AD1AB0D">
      <w:pPr>
        <w:pStyle w:val="16"/>
        <w:spacing w:after="0" w:line="480" w:lineRule="auto"/>
      </w:pPr>
      <w:r>
        <w:t>Include petroleum extraction, industrial chemical production, enclosure, resource appropriation, dumping, corporate abandonment, and comparable processes when textually evidenced.</w:t>
      </w:r>
    </w:p>
    <w:p w14:paraId="77479079">
      <w:pPr>
        <w:pStyle w:val="16"/>
        <w:spacing w:after="0" w:line="480" w:lineRule="auto"/>
      </w:pPr>
      <w:r>
        <w:t>Do not award a high score for atmosphere alone (e.g., smoke, oil smell, factory noise) unless the passage maps who/what caused it and where or how consequences unfold.</w:t>
      </w:r>
    </w:p>
    <w:p w14:paraId="2E47A5E5">
      <w:pPr>
        <w:pStyle w:val="16"/>
        <w:spacing w:after="0" w:line="480" w:lineRule="auto"/>
      </w:pPr>
      <w:r>
        <w:t>A passage may score high without naming a corporation if the extractive act, location, and consequence are otherwise explicit.</w:t>
      </w:r>
    </w:p>
    <w:p w14:paraId="535B200D">
      <w:pPr>
        <w:pStyle w:val="3"/>
        <w:spacing w:after="0" w:line="480" w:lineRule="auto"/>
      </w:pPr>
      <w:r>
        <w:t>D2. Human–Nature Power</w:t>
      </w:r>
    </w:p>
    <w:p w14:paraId="014D22C4">
      <w:pPr>
        <w:spacing w:after="0" w:line="480" w:lineRule="auto"/>
      </w:pPr>
      <w:r>
        <w:t>The degree to which the passage constructs an unequal power relationship between human institutions/actors and the nonhuman environment.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0"/>
        <w:gridCol w:w="4680"/>
      </w:tblGrid>
      <w:tr w14:paraId="692F0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4680" w:type="dxa"/>
            <w:shd w:val="clear" w:color="auto" w:fill="D9EAF7"/>
            <w:vAlign w:val="center"/>
          </w:tcPr>
          <w:p w14:paraId="39E2107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Score</w:t>
            </w:r>
          </w:p>
        </w:tc>
        <w:tc>
          <w:tcPr>
            <w:tcW w:w="4680" w:type="dxa"/>
            <w:shd w:val="clear" w:color="auto" w:fill="D9EAF7"/>
            <w:vAlign w:val="center"/>
          </w:tcPr>
          <w:p w14:paraId="6C526E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Dimension-specific anchor</w:t>
            </w:r>
          </w:p>
        </w:tc>
      </w:tr>
      <w:tr w14:paraId="3BCF0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0" w:type="dxa"/>
            <w:vAlign w:val="center"/>
          </w:tcPr>
          <w:p w14:paraId="74B93CC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1</w:t>
            </w:r>
          </w:p>
        </w:tc>
        <w:tc>
          <w:tcPr>
            <w:tcW w:w="4680" w:type="dxa"/>
            <w:vAlign w:val="center"/>
          </w:tcPr>
          <w:p w14:paraId="2B3BED9F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Humans and nature are described separately; no power relation is foregrounded.</w:t>
            </w:r>
          </w:p>
        </w:tc>
      </w:tr>
      <w:tr w14:paraId="191AB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0" w:type="dxa"/>
            <w:vAlign w:val="center"/>
          </w:tcPr>
          <w:p w14:paraId="315A4B5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2</w:t>
            </w:r>
          </w:p>
        </w:tc>
        <w:tc>
          <w:tcPr>
            <w:tcW w:w="4680" w:type="dxa"/>
            <w:vAlign w:val="center"/>
          </w:tcPr>
          <w:p w14:paraId="00833FB5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Human control or environmental vulnerability is weakly implied but not developed.</w:t>
            </w:r>
          </w:p>
        </w:tc>
      </w:tr>
      <w:tr w14:paraId="2A197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0" w:type="dxa"/>
            <w:vAlign w:val="center"/>
          </w:tcPr>
          <w:p w14:paraId="5C1152B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3</w:t>
            </w:r>
          </w:p>
        </w:tc>
        <w:tc>
          <w:tcPr>
            <w:tcW w:w="4680" w:type="dxa"/>
            <w:vAlign w:val="center"/>
          </w:tcPr>
          <w:p w14:paraId="25BDD4FF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A clear asymmetry is present; landscape is partly treated as an object of human will or management.</w:t>
            </w:r>
          </w:p>
        </w:tc>
      </w:tr>
      <w:tr w14:paraId="38049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0" w:type="dxa"/>
            <w:vAlign w:val="center"/>
          </w:tcPr>
          <w:p w14:paraId="377CEC5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4</w:t>
            </w:r>
          </w:p>
        </w:tc>
        <w:tc>
          <w:tcPr>
            <w:tcW w:w="4680" w:type="dxa"/>
            <w:vAlign w:val="center"/>
          </w:tcPr>
          <w:p w14:paraId="49DABA35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An explicit hierarchy positions extractive actors or institutions as dominating land, water, animals, or ecological processes.</w:t>
            </w:r>
          </w:p>
        </w:tc>
      </w:tr>
      <w:tr w14:paraId="6F620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0" w:type="dxa"/>
            <w:vAlign w:val="center"/>
          </w:tcPr>
          <w:p w14:paraId="2619F34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5</w:t>
            </w:r>
          </w:p>
        </w:tc>
        <w:tc>
          <w:tcPr>
            <w:tcW w:w="4680" w:type="dxa"/>
            <w:vAlign w:val="center"/>
          </w:tcPr>
          <w:p w14:paraId="5EEF1C2B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The power hierarchy structures the passage; nature is figured as a subjected, injured, resisting, or politically meaningful participant in the violence.</w:t>
            </w:r>
          </w:p>
        </w:tc>
      </w:tr>
    </w:tbl>
    <w:p w14:paraId="294A4FC5">
      <w:pPr>
        <w:pStyle w:val="4"/>
        <w:spacing w:after="0" w:line="480" w:lineRule="auto"/>
      </w:pPr>
      <w:r>
        <w:t>Decision rules</w:t>
      </w:r>
    </w:p>
    <w:p w14:paraId="4A868F6C">
      <w:pPr>
        <w:pStyle w:val="16"/>
        <w:spacing w:after="0" w:line="480" w:lineRule="auto"/>
      </w:pPr>
      <w:r>
        <w:t>Distinguish environmental damage (D4) from the power relation that enables or interprets it (D2).</w:t>
      </w:r>
    </w:p>
    <w:p w14:paraId="7D27A156">
      <w:pPr>
        <w:pStyle w:val="16"/>
        <w:spacing w:after="0" w:line="480" w:lineRule="auto"/>
      </w:pPr>
      <w:r>
        <w:t>Personification alone does not guarantee a high score; the passage must connect human authority or institutional power to the environmental relation.</w:t>
      </w:r>
    </w:p>
    <w:p w14:paraId="52DCCD9C">
      <w:pPr>
        <w:pStyle w:val="16"/>
        <w:spacing w:after="0" w:line="480" w:lineRule="auto"/>
      </w:pPr>
      <w:r>
        <w:t>Caste, class, state, or corporate authority may contribute when it directly organises access to or control over environmental space.</w:t>
      </w:r>
    </w:p>
    <w:p w14:paraId="79A46390">
      <w:pPr>
        <w:pStyle w:val="3"/>
        <w:spacing w:after="0" w:line="480" w:lineRule="auto"/>
      </w:pPr>
      <w:r>
        <w:t>D3. Resistance and Collapse</w:t>
      </w:r>
    </w:p>
    <w:p w14:paraId="51861CCA">
      <w:pPr>
        <w:spacing w:after="0" w:line="480" w:lineRule="auto"/>
      </w:pPr>
      <w:r>
        <w:t>The degree to which the passage represents resistance, refusal, counter-discourse, institutional failure, social collapse, or their interaction.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0"/>
        <w:gridCol w:w="4680"/>
      </w:tblGrid>
      <w:tr w14:paraId="6D9DA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4680" w:type="dxa"/>
            <w:shd w:val="clear" w:color="auto" w:fill="D9EAF7"/>
            <w:vAlign w:val="center"/>
          </w:tcPr>
          <w:p w14:paraId="333DFCB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Score</w:t>
            </w:r>
          </w:p>
        </w:tc>
        <w:tc>
          <w:tcPr>
            <w:tcW w:w="4680" w:type="dxa"/>
            <w:shd w:val="clear" w:color="auto" w:fill="D9EAF7"/>
            <w:vAlign w:val="center"/>
          </w:tcPr>
          <w:p w14:paraId="16B93B5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Dimension-specific anchor</w:t>
            </w:r>
          </w:p>
        </w:tc>
      </w:tr>
      <w:tr w14:paraId="7F4AA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0" w:type="dxa"/>
            <w:vAlign w:val="center"/>
          </w:tcPr>
          <w:p w14:paraId="78451C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1</w:t>
            </w:r>
          </w:p>
        </w:tc>
        <w:tc>
          <w:tcPr>
            <w:tcW w:w="4680" w:type="dxa"/>
            <w:vAlign w:val="center"/>
          </w:tcPr>
          <w:p w14:paraId="6C62D4FC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Neither resistance nor collapse is evident.</w:t>
            </w:r>
          </w:p>
        </w:tc>
      </w:tr>
      <w:tr w14:paraId="4CDA8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0" w:type="dxa"/>
            <w:vAlign w:val="center"/>
          </w:tcPr>
          <w:p w14:paraId="2CEA620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2</w:t>
            </w:r>
          </w:p>
        </w:tc>
        <w:tc>
          <w:tcPr>
            <w:tcW w:w="4680" w:type="dxa"/>
            <w:vAlign w:val="center"/>
          </w:tcPr>
          <w:p w14:paraId="3A2187EE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A weak sign of dissent, refusal, breakdown, or exhaustion appears without narrative development.</w:t>
            </w:r>
          </w:p>
        </w:tc>
      </w:tr>
      <w:tr w14:paraId="4EFC4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0" w:type="dxa"/>
            <w:vAlign w:val="center"/>
          </w:tcPr>
          <w:p w14:paraId="6CC9441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3</w:t>
            </w:r>
          </w:p>
        </w:tc>
        <w:tc>
          <w:tcPr>
            <w:tcW w:w="4680" w:type="dxa"/>
            <w:vAlign w:val="center"/>
          </w:tcPr>
          <w:p w14:paraId="16130BA0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Either resistance or collapse is clearly present, but the other trajectory is absent or peripheral.</w:t>
            </w:r>
          </w:p>
        </w:tc>
      </w:tr>
      <w:tr w14:paraId="2ECE0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0" w:type="dxa"/>
            <w:vAlign w:val="center"/>
          </w:tcPr>
          <w:p w14:paraId="7FDF5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4</w:t>
            </w:r>
          </w:p>
        </w:tc>
        <w:tc>
          <w:tcPr>
            <w:tcW w:w="4680" w:type="dxa"/>
            <w:vAlign w:val="center"/>
          </w:tcPr>
          <w:p w14:paraId="66C95D2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Resistance and collapse are both present and interact meaningfully, or one is strongly elaborated as the passage’s organising trajectory.</w:t>
            </w:r>
          </w:p>
        </w:tc>
      </w:tr>
      <w:tr w14:paraId="45757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0" w:type="dxa"/>
            <w:vAlign w:val="center"/>
          </w:tcPr>
          <w:p w14:paraId="6516F51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5</w:t>
            </w:r>
          </w:p>
        </w:tc>
        <w:tc>
          <w:tcPr>
            <w:tcW w:w="4680" w:type="dxa"/>
            <w:vAlign w:val="center"/>
          </w:tcPr>
          <w:p w14:paraId="334A39C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The interaction between resistance and collapse is formally central; the passage stages how resistance emerges from, is constrained by, or transforms social/ecological breakdown.</w:t>
            </w:r>
          </w:p>
        </w:tc>
      </w:tr>
    </w:tbl>
    <w:p w14:paraId="2B5EDA07">
      <w:pPr>
        <w:pStyle w:val="4"/>
        <w:spacing w:after="0" w:line="480" w:lineRule="auto"/>
      </w:pPr>
      <w:r>
        <w:t>Decision rules</w:t>
      </w:r>
    </w:p>
    <w:p w14:paraId="302084A8">
      <w:pPr>
        <w:pStyle w:val="16"/>
        <w:spacing w:after="0" w:line="480" w:lineRule="auto"/>
      </w:pPr>
      <w:r>
        <w:t>Resistance may be individual, communal, embodied, legal, narrative, symbolic, or material.</w:t>
      </w:r>
    </w:p>
    <w:p w14:paraId="1B0FD4C5">
      <w:pPr>
        <w:pStyle w:val="16"/>
        <w:spacing w:after="0" w:line="480" w:lineRule="auto"/>
      </w:pPr>
      <w:r>
        <w:t>Collapse may involve ecological degradation, social fragmentation, institutional failure, bodily breakdown, or the failure of political mobilisation.</w:t>
      </w:r>
    </w:p>
    <w:p w14:paraId="4A0FFE4E">
      <w:pPr>
        <w:pStyle w:val="16"/>
        <w:spacing w:after="0" w:line="480" w:lineRule="auto"/>
      </w:pPr>
      <w:r>
        <w:t>Because resistance and collapse often overlap, coders must note which textual cues support each component. Emotional distress alone is not resistance.</w:t>
      </w:r>
    </w:p>
    <w:p w14:paraId="6567CD77">
      <w:pPr>
        <w:pStyle w:val="3"/>
        <w:spacing w:after="0" w:line="480" w:lineRule="auto"/>
      </w:pPr>
      <w:r>
        <w:t>D4. Landscape Wound</w:t>
      </w:r>
    </w:p>
    <w:p w14:paraId="5FBB1306">
      <w:pPr>
        <w:spacing w:after="0" w:line="480" w:lineRule="auto"/>
      </w:pPr>
      <w:r>
        <w:t>The degree to which damaged place functions as a material or mnemonic record of environmental violence.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0"/>
        <w:gridCol w:w="4680"/>
      </w:tblGrid>
      <w:tr w14:paraId="43ACF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4680" w:type="dxa"/>
            <w:shd w:val="clear" w:color="auto" w:fill="D9EAF7"/>
            <w:vAlign w:val="center"/>
          </w:tcPr>
          <w:p w14:paraId="1E9F7F5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Score</w:t>
            </w:r>
          </w:p>
        </w:tc>
        <w:tc>
          <w:tcPr>
            <w:tcW w:w="4680" w:type="dxa"/>
            <w:shd w:val="clear" w:color="auto" w:fill="D9EAF7"/>
            <w:vAlign w:val="center"/>
          </w:tcPr>
          <w:p w14:paraId="24E7CF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Dimension-specific anchor</w:t>
            </w:r>
          </w:p>
        </w:tc>
      </w:tr>
      <w:tr w14:paraId="46F57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0" w:type="dxa"/>
            <w:vAlign w:val="center"/>
          </w:tcPr>
          <w:p w14:paraId="390C291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1</w:t>
            </w:r>
          </w:p>
        </w:tc>
        <w:tc>
          <w:tcPr>
            <w:tcW w:w="4680" w:type="dxa"/>
            <w:vAlign w:val="center"/>
          </w:tcPr>
          <w:p w14:paraId="5732648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Landscape is neutral background or scenic setting.</w:t>
            </w:r>
          </w:p>
        </w:tc>
      </w:tr>
      <w:tr w14:paraId="6C8F7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0" w:type="dxa"/>
            <w:vAlign w:val="center"/>
          </w:tcPr>
          <w:p w14:paraId="63792D6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2</w:t>
            </w:r>
          </w:p>
        </w:tc>
        <w:tc>
          <w:tcPr>
            <w:tcW w:w="4680" w:type="dxa"/>
            <w:vAlign w:val="center"/>
          </w:tcPr>
          <w:p w14:paraId="5E2C0FE0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Minor or generic damage is present but not historically or mnemonically meaningful.</w:t>
            </w:r>
          </w:p>
        </w:tc>
      </w:tr>
      <w:tr w14:paraId="2C866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0" w:type="dxa"/>
            <w:vAlign w:val="center"/>
          </w:tcPr>
          <w:p w14:paraId="05A9479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3</w:t>
            </w:r>
          </w:p>
        </w:tc>
        <w:tc>
          <w:tcPr>
            <w:tcW w:w="4680" w:type="dxa"/>
            <w:vAlign w:val="center"/>
          </w:tcPr>
          <w:p w14:paraId="5283B4D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The landscape shows identifiable damage and contributes to the passage’s meaning, but does not clearly function as archive, witness, or agent.</w:t>
            </w:r>
          </w:p>
        </w:tc>
      </w:tr>
      <w:tr w14:paraId="06A25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0" w:type="dxa"/>
            <w:vAlign w:val="center"/>
          </w:tcPr>
          <w:p w14:paraId="33B2856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4</w:t>
            </w:r>
          </w:p>
        </w:tc>
        <w:tc>
          <w:tcPr>
            <w:tcW w:w="4680" w:type="dxa"/>
            <w:vAlign w:val="center"/>
          </w:tcPr>
          <w:p w14:paraId="6EC21E6B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Damaged place records prior acts or enduring consequences; sensory or spatial details make the landscape a mnemonic medium.</w:t>
            </w:r>
          </w:p>
        </w:tc>
      </w:tr>
      <w:tr w14:paraId="12A81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680" w:type="dxa"/>
            <w:vAlign w:val="center"/>
          </w:tcPr>
          <w:p w14:paraId="4902B2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5</w:t>
            </w:r>
          </w:p>
        </w:tc>
        <w:tc>
          <w:tcPr>
            <w:tcW w:w="4680" w:type="dxa"/>
            <w:vAlign w:val="center"/>
          </w:tcPr>
          <w:p w14:paraId="31D1C64C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Landscape is a pervasive wounded archive or witness; its material features organise memory, history, responsibility, and the passage’s epistemic structure.</w:t>
            </w:r>
          </w:p>
        </w:tc>
      </w:tr>
    </w:tbl>
    <w:p w14:paraId="18B09427">
      <w:pPr>
        <w:pStyle w:val="4"/>
        <w:spacing w:after="0" w:line="480" w:lineRule="auto"/>
      </w:pPr>
      <w:r>
        <w:t>Decision rules</w:t>
      </w:r>
    </w:p>
    <w:p w14:paraId="50647CDE">
      <w:pPr>
        <w:pStyle w:val="16"/>
        <w:spacing w:after="0" w:line="480" w:lineRule="auto"/>
      </w:pPr>
      <w:r>
        <w:t>A named corporation is not required if the landscape clearly bears a material record of prior harm.</w:t>
      </w:r>
    </w:p>
    <w:p w14:paraId="4650ACA9">
      <w:pPr>
        <w:pStyle w:val="16"/>
        <w:spacing w:after="0" w:line="480" w:lineRule="auto"/>
      </w:pPr>
      <w:r>
        <w:t>Urban streets, industrial ruins, buildings, and contaminated domestic spaces may count as landscape when they function as environmental-spatial archives.</w:t>
      </w:r>
    </w:p>
    <w:p w14:paraId="5603681B">
      <w:pPr>
        <w:pStyle w:val="16"/>
        <w:spacing w:after="0" w:line="480" w:lineRule="auto"/>
      </w:pPr>
      <w:r>
        <w:t>Do not score high merely because a passage is sad or aesthetically dark; the wound must be materially or historically encoded in place.</w:t>
      </w:r>
    </w:p>
    <w:p w14:paraId="3031FE0B">
      <w:pPr>
        <w:pStyle w:val="3"/>
        <w:spacing w:after="0" w:line="480" w:lineRule="auto"/>
      </w:pPr>
      <w:r>
        <w:t>D5. Slow Ruin Temporality</w:t>
      </w:r>
    </w:p>
    <w:p w14:paraId="04A871A7">
      <w:pPr>
        <w:spacing w:after="0" w:line="480" w:lineRule="auto"/>
      </w:pPr>
      <w:r>
        <w:t>The degree to which harm is narrated as gradual, repetitive, deferred, inherited, normalised, or multigenerational rather than as a discrete event.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0"/>
        <w:gridCol w:w="4680"/>
      </w:tblGrid>
      <w:tr w14:paraId="21E03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4680" w:type="dxa"/>
            <w:shd w:val="clear" w:color="auto" w:fill="D9EAF7"/>
            <w:vAlign w:val="center"/>
          </w:tcPr>
          <w:p w14:paraId="00AC08E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Score</w:t>
            </w:r>
          </w:p>
        </w:tc>
        <w:tc>
          <w:tcPr>
            <w:tcW w:w="4680" w:type="dxa"/>
            <w:shd w:val="clear" w:color="auto" w:fill="D9EAF7"/>
            <w:vAlign w:val="center"/>
          </w:tcPr>
          <w:p w14:paraId="1C251B8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Dimension-specific anchor</w:t>
            </w:r>
          </w:p>
        </w:tc>
      </w:tr>
      <w:tr w14:paraId="41076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0" w:type="dxa"/>
            <w:vAlign w:val="center"/>
          </w:tcPr>
          <w:p w14:paraId="55653FF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1</w:t>
            </w:r>
          </w:p>
        </w:tc>
        <w:tc>
          <w:tcPr>
            <w:tcW w:w="4680" w:type="dxa"/>
            <w:vAlign w:val="center"/>
          </w:tcPr>
          <w:p w14:paraId="46887A9E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Harm is absent or represented only as a sudden, self-contained event with no accumulation.</w:t>
            </w:r>
          </w:p>
        </w:tc>
      </w:tr>
      <w:tr w14:paraId="61AEE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0" w:type="dxa"/>
            <w:vAlign w:val="center"/>
          </w:tcPr>
          <w:p w14:paraId="757DC0C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2</w:t>
            </w:r>
          </w:p>
        </w:tc>
        <w:tc>
          <w:tcPr>
            <w:tcW w:w="4680" w:type="dxa"/>
            <w:vAlign w:val="center"/>
          </w:tcPr>
          <w:p w14:paraId="09895FEF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Some duration or aftermath is implied, but temporal accumulation is weak.</w:t>
            </w:r>
          </w:p>
        </w:tc>
      </w:tr>
      <w:tr w14:paraId="55A78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0" w:type="dxa"/>
            <w:vAlign w:val="center"/>
          </w:tcPr>
          <w:p w14:paraId="56DB84D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3</w:t>
            </w:r>
          </w:p>
        </w:tc>
        <w:tc>
          <w:tcPr>
            <w:tcW w:w="4680" w:type="dxa"/>
            <w:vAlign w:val="center"/>
          </w:tcPr>
          <w:p w14:paraId="0759E7C0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The passage clearly represents continuing or repeated harm across a limited time frame.</w:t>
            </w:r>
          </w:p>
        </w:tc>
      </w:tr>
      <w:tr w14:paraId="70D07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0" w:type="dxa"/>
            <w:vAlign w:val="center"/>
          </w:tcPr>
          <w:p w14:paraId="094E1A8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4</w:t>
            </w:r>
          </w:p>
        </w:tc>
        <w:tc>
          <w:tcPr>
            <w:tcW w:w="4680" w:type="dxa"/>
            <w:vAlign w:val="center"/>
          </w:tcPr>
          <w:p w14:paraId="3E90CA9F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Harm is gradual, iterative, deferred, or inherited; temporal accumulation structures the passage.</w:t>
            </w:r>
          </w:p>
        </w:tc>
      </w:tr>
      <w:tr w14:paraId="2C054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0" w:type="dxa"/>
            <w:vAlign w:val="center"/>
          </w:tcPr>
          <w:p w14:paraId="3C012A1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5</w:t>
            </w:r>
          </w:p>
        </w:tc>
        <w:tc>
          <w:tcPr>
            <w:tcW w:w="4680" w:type="dxa"/>
            <w:vAlign w:val="center"/>
          </w:tcPr>
          <w:p w14:paraId="172D0DFA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Slow ruin is formally pervasive: non-eventful rhythm, multigenerational duration, repetition, delayed causality, and normalisation displace any single causal event.</w:t>
            </w:r>
          </w:p>
        </w:tc>
      </w:tr>
    </w:tbl>
    <w:p w14:paraId="28A70AEA">
      <w:pPr>
        <w:pStyle w:val="4"/>
        <w:spacing w:after="0" w:line="480" w:lineRule="auto"/>
      </w:pPr>
      <w:r>
        <w:t>Decision rules</w:t>
      </w:r>
    </w:p>
    <w:p w14:paraId="69D50E82">
      <w:pPr>
        <w:pStyle w:val="16"/>
        <w:spacing w:after="0" w:line="480" w:lineRule="auto"/>
      </w:pPr>
      <w:r>
        <w:t>A passage may mention a disaster and still score high if its emphasis is on aftermath, repetition, deferred injury, or inherited consequences.</w:t>
      </w:r>
    </w:p>
    <w:p w14:paraId="21683891">
      <w:pPr>
        <w:pStyle w:val="16"/>
        <w:spacing w:after="0" w:line="480" w:lineRule="auto"/>
      </w:pPr>
      <w:r>
        <w:t>Flashback alone is not slow ruin; it must organise accumulated harm.</w:t>
      </w:r>
    </w:p>
    <w:p w14:paraId="2251C8B9">
      <w:pPr>
        <w:pStyle w:val="16"/>
        <w:spacing w:after="0" w:line="480" w:lineRule="auto"/>
      </w:pPr>
      <w:r>
        <w:t>Use supplementary temporal-frame categories after assigning D5.</w:t>
      </w:r>
    </w:p>
    <w:p w14:paraId="3A2B0C66">
      <w:pPr>
        <w:pStyle w:val="3"/>
        <w:spacing w:after="0" w:line="480" w:lineRule="auto"/>
      </w:pPr>
      <w:r>
        <w:t>D6. Testimonial Witness</w:t>
      </w:r>
    </w:p>
    <w:p w14:paraId="31AFCA2B">
      <w:pPr>
        <w:spacing w:after="0" w:line="480" w:lineRule="auto"/>
      </w:pPr>
      <w:r>
        <w:t>The degree to which body, memory, communal narration, oral tradition, or documentary observation functions as a mode of knowing environmental injury.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0"/>
        <w:gridCol w:w="4680"/>
      </w:tblGrid>
      <w:tr w14:paraId="5915B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blHeader/>
          <w:jc w:val="center"/>
        </w:trPr>
        <w:tc>
          <w:tcPr>
            <w:tcW w:w="4680" w:type="dxa"/>
            <w:shd w:val="clear" w:color="auto" w:fill="D9EAF7"/>
            <w:vAlign w:val="center"/>
          </w:tcPr>
          <w:p w14:paraId="4087488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Score</w:t>
            </w:r>
          </w:p>
        </w:tc>
        <w:tc>
          <w:tcPr>
            <w:tcW w:w="4680" w:type="dxa"/>
            <w:shd w:val="clear" w:color="auto" w:fill="D9EAF7"/>
            <w:vAlign w:val="center"/>
          </w:tcPr>
          <w:p w14:paraId="7F59BFA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Dimension-specific anchor</w:t>
            </w:r>
          </w:p>
        </w:tc>
      </w:tr>
      <w:tr w14:paraId="00C25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0" w:type="dxa"/>
            <w:vAlign w:val="center"/>
          </w:tcPr>
          <w:p w14:paraId="3CA1E7A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1</w:t>
            </w:r>
          </w:p>
        </w:tc>
        <w:tc>
          <w:tcPr>
            <w:tcW w:w="4680" w:type="dxa"/>
            <w:vAlign w:val="center"/>
          </w:tcPr>
          <w:p w14:paraId="4EBE2071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No witness function; the narrator reports without bodily, memorial, communal, or documentary investment.</w:t>
            </w:r>
          </w:p>
        </w:tc>
      </w:tr>
      <w:tr w14:paraId="219A5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0" w:type="dxa"/>
            <w:vAlign w:val="center"/>
          </w:tcPr>
          <w:p w14:paraId="72D17B3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2</w:t>
            </w:r>
          </w:p>
        </w:tc>
        <w:tc>
          <w:tcPr>
            <w:tcW w:w="4680" w:type="dxa"/>
            <w:vAlign w:val="center"/>
          </w:tcPr>
          <w:p w14:paraId="1CF5E0CA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Observation is present, but the speaker’s epistemic relation to harm is weak or external.</w:t>
            </w:r>
          </w:p>
        </w:tc>
      </w:tr>
      <w:tr w14:paraId="289DC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0" w:type="dxa"/>
            <w:vAlign w:val="center"/>
          </w:tcPr>
          <w:p w14:paraId="37EE63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3</w:t>
            </w:r>
          </w:p>
        </w:tc>
        <w:tc>
          <w:tcPr>
            <w:tcW w:w="4680" w:type="dxa"/>
            <w:vAlign w:val="center"/>
          </w:tcPr>
          <w:p w14:paraId="5BFF22F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A partial witness position is established; the narrator observes, remembers, or records harm but is not fully enmeshed in it.</w:t>
            </w:r>
          </w:p>
        </w:tc>
      </w:tr>
      <w:tr w14:paraId="769DA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0" w:type="dxa"/>
            <w:vAlign w:val="center"/>
          </w:tcPr>
          <w:p w14:paraId="55725E2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4</w:t>
            </w:r>
          </w:p>
        </w:tc>
        <w:tc>
          <w:tcPr>
            <w:tcW w:w="4680" w:type="dxa"/>
            <w:vAlign w:val="center"/>
          </w:tcPr>
          <w:p w14:paraId="6909B767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Body, memory, community voice, oral transmission, or documentary practice provides authoritative knowledge of harm.</w:t>
            </w:r>
          </w:p>
        </w:tc>
      </w:tr>
      <w:tr w14:paraId="28D23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0" w:type="dxa"/>
            <w:vAlign w:val="center"/>
          </w:tcPr>
          <w:p w14:paraId="22FFBF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5</w:t>
            </w:r>
          </w:p>
        </w:tc>
        <w:tc>
          <w:tcPr>
            <w:tcW w:w="4680" w:type="dxa"/>
            <w:vAlign w:val="center"/>
          </w:tcPr>
          <w:p w14:paraId="5B017A3B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Testimony is the passage’s central mode of knowing; embodied, communal, memorial, oral, or documentary witness structures both content and narrative form.</w:t>
            </w:r>
          </w:p>
        </w:tc>
      </w:tr>
    </w:tbl>
    <w:p w14:paraId="6B9A42B7">
      <w:pPr>
        <w:pStyle w:val="4"/>
        <w:spacing w:after="0" w:line="480" w:lineRule="auto"/>
      </w:pPr>
      <w:r>
        <w:t>Decision rules</w:t>
      </w:r>
    </w:p>
    <w:p w14:paraId="715AB243">
      <w:pPr>
        <w:pStyle w:val="16"/>
        <w:spacing w:after="0" w:line="480" w:lineRule="auto"/>
      </w:pPr>
      <w:r>
        <w:t>Emotional intensity alone is insufficient. The passage must position testimony as evidence or knowledge.</w:t>
      </w:r>
    </w:p>
    <w:p w14:paraId="10DFA55F">
      <w:pPr>
        <w:pStyle w:val="16"/>
        <w:spacing w:after="0" w:line="480" w:lineRule="auto"/>
      </w:pPr>
      <w:r>
        <w:t>First-person narration alone is insufficient; determine whether the voice bears, remembers, records, or transmits environmental injury.</w:t>
      </w:r>
    </w:p>
    <w:p w14:paraId="3228F755">
      <w:pPr>
        <w:pStyle w:val="16"/>
        <w:spacing w:after="0" w:line="480" w:lineRule="auto"/>
      </w:pPr>
      <w:r>
        <w:t>After a D6 score of 4 or 5, assign one primary witness-type category and, where necessary, record a secondary category in notes.</w:t>
      </w:r>
    </w:p>
    <w:p w14:paraId="38A765DA">
      <w:pPr>
        <w:pStyle w:val="3"/>
        <w:spacing w:after="0" w:line="480" w:lineRule="auto"/>
      </w:pPr>
      <w:r>
        <w:t>5. Supplementary Temporal-Frame Annotation</w:t>
      </w:r>
    </w:p>
    <w:p w14:paraId="111AB7C6">
      <w:pPr>
        <w:spacing w:after="0" w:line="480" w:lineRule="auto"/>
      </w:pPr>
      <w:r>
        <w:t>Assign one mutually exclusive primary category to every sampled passage after D5 coding.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20"/>
        <w:gridCol w:w="3120"/>
        <w:gridCol w:w="3120"/>
      </w:tblGrid>
      <w:tr w14:paraId="064B0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3120" w:type="dxa"/>
            <w:shd w:val="clear" w:color="auto" w:fill="FCE4D6"/>
            <w:vAlign w:val="center"/>
          </w:tcPr>
          <w:p w14:paraId="50112D6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Code</w:t>
            </w:r>
          </w:p>
        </w:tc>
        <w:tc>
          <w:tcPr>
            <w:tcW w:w="3120" w:type="dxa"/>
            <w:shd w:val="clear" w:color="auto" w:fill="FCE4D6"/>
            <w:vAlign w:val="center"/>
          </w:tcPr>
          <w:p w14:paraId="54C1486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Category</w:t>
            </w:r>
          </w:p>
        </w:tc>
        <w:tc>
          <w:tcPr>
            <w:tcW w:w="3120" w:type="dxa"/>
            <w:shd w:val="clear" w:color="auto" w:fill="FCE4D6"/>
            <w:vAlign w:val="center"/>
          </w:tcPr>
          <w:p w14:paraId="01FFD81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Operational rule</w:t>
            </w:r>
          </w:p>
        </w:tc>
      </w:tr>
      <w:tr w14:paraId="6DB49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20" w:type="dxa"/>
            <w:vAlign w:val="center"/>
          </w:tcPr>
          <w:p w14:paraId="0E471A58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CE</w:t>
            </w:r>
          </w:p>
        </w:tc>
        <w:tc>
          <w:tcPr>
            <w:tcW w:w="3120" w:type="dxa"/>
            <w:vAlign w:val="center"/>
          </w:tcPr>
          <w:p w14:paraId="616D8FFE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Cumulative erosion</w:t>
            </w:r>
          </w:p>
        </w:tc>
        <w:tc>
          <w:tcPr>
            <w:tcW w:w="3120" w:type="dxa"/>
            <w:vAlign w:val="center"/>
          </w:tcPr>
          <w:p w14:paraId="19C1511F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Iterative, ordinary, or non-eventful deterioration is the dominant temporal structure.</w:t>
            </w:r>
          </w:p>
        </w:tc>
      </w:tr>
      <w:tr w14:paraId="3F3D4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20" w:type="dxa"/>
            <w:vAlign w:val="center"/>
          </w:tcPr>
          <w:p w14:paraId="178C6012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RA</w:t>
            </w:r>
          </w:p>
        </w:tc>
        <w:tc>
          <w:tcPr>
            <w:tcW w:w="3120" w:type="dxa"/>
            <w:vAlign w:val="center"/>
          </w:tcPr>
          <w:p w14:paraId="70F348FC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Retrospective accumulation</w:t>
            </w:r>
          </w:p>
        </w:tc>
        <w:tc>
          <w:tcPr>
            <w:tcW w:w="3120" w:type="dxa"/>
            <w:vAlign w:val="center"/>
          </w:tcPr>
          <w:p w14:paraId="57B7C5C2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Flashback, memory, or historical reconstruction organises accumulated harm.</w:t>
            </w:r>
          </w:p>
        </w:tc>
      </w:tr>
      <w:tr w14:paraId="01302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20" w:type="dxa"/>
            <w:vAlign w:val="center"/>
          </w:tcPr>
          <w:p w14:paraId="3994096F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AD</w:t>
            </w:r>
          </w:p>
        </w:tc>
        <w:tc>
          <w:tcPr>
            <w:tcW w:w="3120" w:type="dxa"/>
            <w:vAlign w:val="center"/>
          </w:tcPr>
          <w:p w14:paraId="406D06AC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Anticipatory deterioration</w:t>
            </w:r>
          </w:p>
        </w:tc>
        <w:tc>
          <w:tcPr>
            <w:tcW w:w="3120" w:type="dxa"/>
            <w:vAlign w:val="center"/>
          </w:tcPr>
          <w:p w14:paraId="3AB843E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Projected future decline, threat, or expected worsening is dominant.</w:t>
            </w:r>
          </w:p>
        </w:tc>
      </w:tr>
      <w:tr w14:paraId="6EFB9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20" w:type="dxa"/>
            <w:vAlign w:val="center"/>
          </w:tcPr>
          <w:p w14:paraId="336B168A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DD</w:t>
            </w:r>
          </w:p>
        </w:tc>
        <w:tc>
          <w:tcPr>
            <w:tcW w:w="3120" w:type="dxa"/>
            <w:vAlign w:val="center"/>
          </w:tcPr>
          <w:p w14:paraId="4A58FA8D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Discrete disaster/shock</w:t>
            </w:r>
          </w:p>
        </w:tc>
        <w:tc>
          <w:tcPr>
            <w:tcW w:w="3120" w:type="dxa"/>
            <w:vAlign w:val="center"/>
          </w:tcPr>
          <w:p w14:paraId="417D2741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A single event precipitates immediate visible harm and dominates the passage.</w:t>
            </w:r>
          </w:p>
        </w:tc>
      </w:tr>
      <w:tr w14:paraId="4EE2A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20" w:type="dxa"/>
            <w:vAlign w:val="center"/>
          </w:tcPr>
          <w:p w14:paraId="5AF6048A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NT</w:t>
            </w:r>
          </w:p>
        </w:tc>
        <w:tc>
          <w:tcPr>
            <w:tcW w:w="3120" w:type="dxa"/>
            <w:vAlign w:val="center"/>
          </w:tcPr>
          <w:p w14:paraId="557C133C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Neutral/non-temporal</w:t>
            </w:r>
          </w:p>
        </w:tc>
        <w:tc>
          <w:tcPr>
            <w:tcW w:w="3120" w:type="dxa"/>
            <w:vAlign w:val="center"/>
          </w:tcPr>
          <w:p w14:paraId="4E0216C9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No environmental temporal frame is discernible or temporal organisation is not relevant.</w:t>
            </w:r>
          </w:p>
        </w:tc>
      </w:tr>
    </w:tbl>
    <w:p w14:paraId="18622519">
      <w:pPr>
        <w:pStyle w:val="3"/>
        <w:spacing w:after="0" w:line="480" w:lineRule="auto"/>
      </w:pPr>
      <w:r>
        <w:t>6. Supplementary Witness-Type Annotation</w:t>
      </w:r>
    </w:p>
    <w:p w14:paraId="6231D269">
      <w:pPr>
        <w:spacing w:after="0" w:line="480" w:lineRule="auto"/>
      </w:pPr>
      <w:r>
        <w:t>Apply to passages with D6 = 4 or 5. Assign one primary category; record a secondary category only when evidence is genuinely co-dominant.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20"/>
        <w:gridCol w:w="3120"/>
        <w:gridCol w:w="3120"/>
      </w:tblGrid>
      <w:tr w14:paraId="5F6FC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3120" w:type="dxa"/>
            <w:shd w:val="clear" w:color="auto" w:fill="E2F0D9"/>
            <w:vAlign w:val="center"/>
          </w:tcPr>
          <w:p w14:paraId="530EF4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Code</w:t>
            </w:r>
          </w:p>
        </w:tc>
        <w:tc>
          <w:tcPr>
            <w:tcW w:w="3120" w:type="dxa"/>
            <w:shd w:val="clear" w:color="auto" w:fill="E2F0D9"/>
            <w:vAlign w:val="center"/>
          </w:tcPr>
          <w:p w14:paraId="46D447A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Category</w:t>
            </w:r>
          </w:p>
        </w:tc>
        <w:tc>
          <w:tcPr>
            <w:tcW w:w="3120" w:type="dxa"/>
            <w:shd w:val="clear" w:color="auto" w:fill="E2F0D9"/>
            <w:vAlign w:val="center"/>
          </w:tcPr>
          <w:p w14:paraId="48A4254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Operational rule</w:t>
            </w:r>
          </w:p>
        </w:tc>
      </w:tr>
      <w:tr w14:paraId="67B55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20" w:type="dxa"/>
            <w:vAlign w:val="center"/>
          </w:tcPr>
          <w:p w14:paraId="4E13909D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COL</w:t>
            </w:r>
          </w:p>
        </w:tc>
        <w:tc>
          <w:tcPr>
            <w:tcW w:w="3120" w:type="dxa"/>
            <w:vAlign w:val="center"/>
          </w:tcPr>
          <w:p w14:paraId="11AE5A3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Collective first-person plural/community voice</w:t>
            </w:r>
          </w:p>
        </w:tc>
        <w:tc>
          <w:tcPr>
            <w:tcW w:w="3120" w:type="dxa"/>
            <w:vAlign w:val="center"/>
          </w:tcPr>
          <w:p w14:paraId="4E44EE5F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Shared “we,” communal memory, collective narration, or group testimony is the main source of authority.</w:t>
            </w:r>
          </w:p>
        </w:tc>
      </w:tr>
      <w:tr w14:paraId="0B8E8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20" w:type="dxa"/>
            <w:vAlign w:val="center"/>
          </w:tcPr>
          <w:p w14:paraId="3EB0F349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EMB</w:t>
            </w:r>
          </w:p>
        </w:tc>
        <w:tc>
          <w:tcPr>
            <w:tcW w:w="3120" w:type="dxa"/>
            <w:vAlign w:val="center"/>
          </w:tcPr>
          <w:p w14:paraId="6ED81C11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Individual embodied testimony</w:t>
            </w:r>
          </w:p>
        </w:tc>
        <w:tc>
          <w:tcPr>
            <w:tcW w:w="3120" w:type="dxa"/>
            <w:vAlign w:val="center"/>
          </w:tcPr>
          <w:p w14:paraId="6606AE02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Somatic sensation, injury, illness, bodily memory, or first-person sensory exposure is the main source of authority.</w:t>
            </w:r>
          </w:p>
        </w:tc>
      </w:tr>
      <w:tr w14:paraId="779D9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20" w:type="dxa"/>
            <w:vAlign w:val="center"/>
          </w:tcPr>
          <w:p w14:paraId="32208C7C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DOC</w:t>
            </w:r>
          </w:p>
        </w:tc>
        <w:tc>
          <w:tcPr>
            <w:tcW w:w="3120" w:type="dxa"/>
            <w:vAlign w:val="center"/>
          </w:tcPr>
          <w:p w14:paraId="2E0A3B4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Documentary/journalistic witness</w:t>
            </w:r>
          </w:p>
        </w:tc>
        <w:tc>
          <w:tcPr>
            <w:tcW w:w="3120" w:type="dxa"/>
            <w:vAlign w:val="center"/>
          </w:tcPr>
          <w:p w14:paraId="4B3B9AD5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Observation, reporting, records, investigation, or third-person documentary practice is the main source of authority.</w:t>
            </w:r>
          </w:p>
        </w:tc>
      </w:tr>
      <w:tr w14:paraId="5FEDB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20" w:type="dxa"/>
            <w:vAlign w:val="center"/>
          </w:tcPr>
          <w:p w14:paraId="2019ADD4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ORA</w:t>
            </w:r>
          </w:p>
        </w:tc>
        <w:tc>
          <w:tcPr>
            <w:tcW w:w="3120" w:type="dxa"/>
            <w:vAlign w:val="center"/>
          </w:tcPr>
          <w:p w14:paraId="224CF2E2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Ancestral/oral-tradition witness</w:t>
            </w:r>
          </w:p>
        </w:tc>
        <w:tc>
          <w:tcPr>
            <w:tcW w:w="3120" w:type="dxa"/>
            <w:vAlign w:val="center"/>
          </w:tcPr>
          <w:p w14:paraId="35EB4462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Oral transmission, ancestral memory, ritual narration, or intergenerational storytelling is the main source of authority.</w:t>
            </w:r>
          </w:p>
        </w:tc>
      </w:tr>
    </w:tbl>
    <w:p w14:paraId="3129E21A">
      <w:pPr>
        <w:pStyle w:val="3"/>
        <w:spacing w:after="0" w:line="480" w:lineRule="auto"/>
      </w:pPr>
      <w:r>
        <w:t>7. Coder Training and Adjudication</w:t>
      </w:r>
    </w:p>
    <w:p w14:paraId="3E0647D5">
      <w:pPr>
        <w:pStyle w:val="14"/>
        <w:spacing w:after="0" w:line="480" w:lineRule="auto"/>
      </w:pPr>
      <w:r>
        <w:t>Phase 1: coders read the codebook, discrimination rules, and non-corpus anchor examples.</w:t>
      </w:r>
    </w:p>
    <w:p w14:paraId="094E3EB4">
      <w:pPr>
        <w:pStyle w:val="14"/>
        <w:spacing w:after="0" w:line="480" w:lineRule="auto"/>
      </w:pPr>
      <w:r>
        <w:t>Phase 2: coders independently code a 60-passage pilot (15 passages per novel) drawn outside the main sample.</w:t>
      </w:r>
    </w:p>
    <w:p w14:paraId="6F8756D9">
      <w:pPr>
        <w:pStyle w:val="14"/>
        <w:spacing w:after="0" w:line="480" w:lineRule="auto"/>
      </w:pPr>
      <w:r>
        <w:t>Pilot review: dimensions or rules producing weak agreement are discussed and clarified before main coding.</w:t>
      </w:r>
    </w:p>
    <w:p w14:paraId="70D54D0C">
      <w:pPr>
        <w:pStyle w:val="14"/>
        <w:spacing w:after="0" w:line="480" w:lineRule="auto"/>
      </w:pPr>
      <w:r>
        <w:t>Phase 3: coders independently score the 800 sampled passages.</w:t>
      </w:r>
    </w:p>
    <w:p w14:paraId="732CB839">
      <w:pPr>
        <w:pStyle w:val="14"/>
        <w:spacing w:after="0" w:line="480" w:lineRule="auto"/>
      </w:pPr>
      <w:r>
        <w:t>Disagreements greater than one scale point are flagged. The dissenting coder first explains the decision with reference to the codebook; the group then reaches a documented consensus score.</w:t>
      </w:r>
    </w:p>
    <w:p w14:paraId="7BC75535">
      <w:pPr>
        <w:pStyle w:val="14"/>
        <w:spacing w:after="0" w:line="480" w:lineRule="auto"/>
      </w:pPr>
      <w:r>
        <w:t>Reliability is calculated from independent pre-consensus scores. Consensus scores are used for descriptive profiles unless the analysis plan specifies averaged coder-level scores.</w:t>
      </w:r>
    </w:p>
    <w:p w14:paraId="6833AB37">
      <w:pPr>
        <w:pStyle w:val="14"/>
        <w:spacing w:after="0" w:line="480" w:lineRule="auto"/>
      </w:pPr>
      <w:r>
        <w:t>Any retained coefficient below .80 must be reported and interpreted as a limitation rather than hidden or treated as fully reliable.</w:t>
      </w:r>
    </w:p>
    <w:p w14:paraId="5F0618F1">
      <w:pPr>
        <w:pStyle w:val="3"/>
        <w:spacing w:after="0" w:line="480" w:lineRule="auto"/>
      </w:pPr>
      <w:r>
        <w:t>8. Minimum Data Fields for S1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0"/>
        <w:gridCol w:w="4680"/>
      </w:tblGrid>
      <w:tr w14:paraId="5618B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4680" w:type="dxa"/>
            <w:shd w:val="clear" w:color="auto" w:fill="D9EAF7"/>
            <w:vAlign w:val="center"/>
          </w:tcPr>
          <w:p w14:paraId="20E635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Field</w:t>
            </w:r>
          </w:p>
        </w:tc>
        <w:tc>
          <w:tcPr>
            <w:tcW w:w="4680" w:type="dxa"/>
            <w:shd w:val="clear" w:color="auto" w:fill="D9EAF7"/>
            <w:vAlign w:val="center"/>
          </w:tcPr>
          <w:p w14:paraId="34B5A8B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Definition</w:t>
            </w:r>
          </w:p>
        </w:tc>
      </w:tr>
      <w:tr w14:paraId="0ED61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0" w:type="dxa"/>
            <w:vAlign w:val="center"/>
          </w:tcPr>
          <w:p w14:paraId="1DB84708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novel</w:t>
            </w:r>
          </w:p>
        </w:tc>
        <w:tc>
          <w:tcPr>
            <w:tcW w:w="4680" w:type="dxa"/>
            <w:vAlign w:val="center"/>
          </w:tcPr>
          <w:p w14:paraId="0D19363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Text identifier: Oil on Water, How Beautiful We Were, The God of Small Things, or Animal’s People.</w:t>
            </w:r>
          </w:p>
        </w:tc>
      </w:tr>
      <w:tr w14:paraId="43192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0" w:type="dxa"/>
            <w:vAlign w:val="center"/>
          </w:tcPr>
          <w:p w14:paraId="0B841DC4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region</w:t>
            </w:r>
          </w:p>
        </w:tc>
        <w:tc>
          <w:tcPr>
            <w:tcW w:w="4680" w:type="dxa"/>
            <w:vAlign w:val="center"/>
          </w:tcPr>
          <w:p w14:paraId="38C44EE7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Africa or South Asia; used only for descriptive sub-corpus summaries.</w:t>
            </w:r>
          </w:p>
        </w:tc>
      </w:tr>
      <w:tr w14:paraId="6DFAE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0" w:type="dxa"/>
            <w:vAlign w:val="center"/>
          </w:tcPr>
          <w:p w14:paraId="65DB80DB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narrative_block</w:t>
            </w:r>
          </w:p>
        </w:tc>
        <w:tc>
          <w:tcPr>
            <w:tcW w:w="4680" w:type="dxa"/>
            <w:vAlign w:val="center"/>
          </w:tcPr>
          <w:p w14:paraId="712E5B85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Approximately 30-page block identifier.</w:t>
            </w:r>
          </w:p>
        </w:tc>
      </w:tr>
      <w:tr w14:paraId="5942E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0" w:type="dxa"/>
            <w:vAlign w:val="center"/>
          </w:tcPr>
          <w:p w14:paraId="4A1CA749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passage_id</w:t>
            </w:r>
          </w:p>
        </w:tc>
        <w:tc>
          <w:tcPr>
            <w:tcW w:w="4680" w:type="dxa"/>
            <w:vAlign w:val="center"/>
          </w:tcPr>
          <w:p w14:paraId="081EE768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Stable anonymized identifier unique within the corpus.</w:t>
            </w:r>
          </w:p>
        </w:tc>
      </w:tr>
      <w:tr w14:paraId="2E7DD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0" w:type="dxa"/>
            <w:vAlign w:val="center"/>
          </w:tcPr>
          <w:p w14:paraId="6BBE71D8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page_or_section</w:t>
            </w:r>
          </w:p>
        </w:tc>
        <w:tc>
          <w:tcPr>
            <w:tcW w:w="4680" w:type="dxa"/>
            <w:vAlign w:val="center"/>
          </w:tcPr>
          <w:p w14:paraId="5ECC9B69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Page range or section/chapter location in the edition used.</w:t>
            </w:r>
          </w:p>
        </w:tc>
      </w:tr>
      <w:tr w14:paraId="76E1C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0" w:type="dxa"/>
            <w:vAlign w:val="center"/>
          </w:tcPr>
          <w:p w14:paraId="4D7AD25D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coder1_D1 … coder3_D6</w:t>
            </w:r>
          </w:p>
        </w:tc>
        <w:tc>
          <w:tcPr>
            <w:tcW w:w="4680" w:type="dxa"/>
            <w:vAlign w:val="center"/>
          </w:tcPr>
          <w:p w14:paraId="6BBC7E17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Independent 1–5 ordinal ratings.</w:t>
            </w:r>
          </w:p>
        </w:tc>
      </w:tr>
      <w:tr w14:paraId="5AAE5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0" w:type="dxa"/>
            <w:vAlign w:val="center"/>
          </w:tcPr>
          <w:p w14:paraId="69A28937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consensus_D1 … consensus_D6</w:t>
            </w:r>
          </w:p>
        </w:tc>
        <w:tc>
          <w:tcPr>
            <w:tcW w:w="4680" w:type="dxa"/>
            <w:vAlign w:val="center"/>
          </w:tcPr>
          <w:p w14:paraId="19A65AB7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Adjudicated scores, where used.</w:t>
            </w:r>
          </w:p>
        </w:tc>
      </w:tr>
      <w:tr w14:paraId="09B86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0" w:type="dxa"/>
            <w:vAlign w:val="center"/>
          </w:tcPr>
          <w:p w14:paraId="57BAF1F0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mean_D1 … mean_D6</w:t>
            </w:r>
          </w:p>
        </w:tc>
        <w:tc>
          <w:tcPr>
            <w:tcW w:w="4680" w:type="dxa"/>
            <w:vAlign w:val="center"/>
          </w:tcPr>
          <w:p w14:paraId="3ED9A027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Arithmetic mean across the three independent raters, where used in passage-level analyses.</w:t>
            </w:r>
          </w:p>
        </w:tc>
      </w:tr>
      <w:tr w14:paraId="1FE7A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0" w:type="dxa"/>
            <w:vAlign w:val="center"/>
          </w:tcPr>
          <w:p w14:paraId="09521290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temporal_frame</w:t>
            </w:r>
          </w:p>
        </w:tc>
        <w:tc>
          <w:tcPr>
            <w:tcW w:w="4680" w:type="dxa"/>
            <w:vAlign w:val="center"/>
          </w:tcPr>
          <w:p w14:paraId="5629F3DD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CE, RA, AD, DD, or NT.</w:t>
            </w:r>
          </w:p>
        </w:tc>
      </w:tr>
      <w:tr w14:paraId="302E5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0" w:type="dxa"/>
            <w:vAlign w:val="center"/>
          </w:tcPr>
          <w:p w14:paraId="3E11909D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witness_type</w:t>
            </w:r>
          </w:p>
        </w:tc>
        <w:tc>
          <w:tcPr>
            <w:tcW w:w="4680" w:type="dxa"/>
            <w:vAlign w:val="center"/>
          </w:tcPr>
          <w:p w14:paraId="124C9A5D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COL, EMB, DOC, ORA, or blank when D6 &lt; 4.</w:t>
            </w:r>
          </w:p>
        </w:tc>
      </w:tr>
      <w:tr w14:paraId="182D7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0" w:type="dxa"/>
            <w:vAlign w:val="center"/>
          </w:tcPr>
          <w:p w14:paraId="2DD42FA1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exclusion_flag</w:t>
            </w:r>
          </w:p>
        </w:tc>
        <w:tc>
          <w:tcPr>
            <w:tcW w:w="4680" w:type="dxa"/>
            <w:vAlign w:val="center"/>
          </w:tcPr>
          <w:p w14:paraId="3F67FB21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0/1 indicator and reason if a sampled unit was excluded.</w:t>
            </w:r>
          </w:p>
        </w:tc>
      </w:tr>
      <w:tr w14:paraId="204AA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0" w:type="dxa"/>
            <w:vAlign w:val="center"/>
          </w:tcPr>
          <w:p w14:paraId="64A04A18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recoding_flag</w:t>
            </w:r>
          </w:p>
        </w:tc>
        <w:tc>
          <w:tcPr>
            <w:tcW w:w="4680" w:type="dxa"/>
            <w:vAlign w:val="center"/>
          </w:tcPr>
          <w:p w14:paraId="39B2DCDA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0/1 indicator showing whether targeted review led to recoding.</w:t>
            </w:r>
          </w:p>
        </w:tc>
      </w:tr>
      <w:tr w14:paraId="1044B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0" w:type="dxa"/>
            <w:vAlign w:val="center"/>
          </w:tcPr>
          <w:p w14:paraId="4659223B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decision_note</w:t>
            </w:r>
          </w:p>
        </w:tc>
        <w:tc>
          <w:tcPr>
            <w:tcW w:w="4680" w:type="dxa"/>
            <w:vAlign w:val="center"/>
          </w:tcPr>
          <w:p w14:paraId="072607A0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Brief rationale for borderline, extreme, or adjudicated cases.</w:t>
            </w:r>
          </w:p>
        </w:tc>
      </w:tr>
    </w:tbl>
    <w:p w14:paraId="7F97BCC3">
      <w:pPr>
        <w:pStyle w:val="3"/>
        <w:spacing w:after="0" w:line="480" w:lineRule="auto"/>
      </w:pPr>
      <w:r>
        <w:t>9. Quality-Control Checklist</w:t>
      </w:r>
    </w:p>
    <w:p w14:paraId="0CA7F848">
      <w:pPr>
        <w:pStyle w:val="16"/>
        <w:spacing w:after="0" w:line="480" w:lineRule="auto"/>
      </w:pPr>
      <w:r>
        <w:t>Every passage has a stable ID and location.</w:t>
      </w:r>
    </w:p>
    <w:p w14:paraId="51A1E4B8">
      <w:pPr>
        <w:pStyle w:val="16"/>
        <w:spacing w:after="0" w:line="480" w:lineRule="auto"/>
      </w:pPr>
      <w:r>
        <w:t>Every eligible passage has 18 independent ELA ratings (3 coders × 6 dimensions) unless a documented missing code applies.</w:t>
      </w:r>
    </w:p>
    <w:p w14:paraId="10A9794F">
      <w:pPr>
        <w:pStyle w:val="16"/>
        <w:spacing w:after="0" w:line="480" w:lineRule="auto"/>
      </w:pPr>
      <w:r>
        <w:t>Temporal-frame categories sum to 100% within each novel.</w:t>
      </w:r>
    </w:p>
    <w:p w14:paraId="23A26A89">
      <w:pPr>
        <w:pStyle w:val="16"/>
        <w:spacing w:after="0" w:line="480" w:lineRule="auto"/>
      </w:pPr>
      <w:r>
        <w:t>Witness-type categories sum to 100% within high-D6 passages for each novel.</w:t>
      </w:r>
    </w:p>
    <w:p w14:paraId="25261B39">
      <w:pPr>
        <w:pStyle w:val="16"/>
        <w:spacing w:after="0" w:line="480" w:lineRule="auto"/>
      </w:pPr>
      <w:r>
        <w:t>Reliability is calculated on pre-consensus ratings and reported by dimension and novel.</w:t>
      </w:r>
    </w:p>
    <w:p w14:paraId="3A96AA16">
      <w:pPr>
        <w:pStyle w:val="16"/>
        <w:spacing w:after="0" w:line="480" w:lineRule="auto"/>
      </w:pPr>
      <w:r>
        <w:t>Displayed means and percentages match the manuscript tables after rounding.</w:t>
      </w:r>
    </w:p>
    <w:p w14:paraId="5FDD59C7">
      <w:pPr>
        <w:pStyle w:val="16"/>
        <w:spacing w:after="0" w:line="480" w:lineRule="auto"/>
      </w:pPr>
      <w:r>
        <w:t>No full copyrighted passage is reproduced in the shared dataset.</w:t>
      </w: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585E0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uiPriority="99" w:semiHidden="0" w:name="List Bullet"/>
    <w:lsdException w:qFormat="1" w:uiPriority="99" w:semiHidden="0" w:name="List Number"/>
    <w:lsdException w:qFormat="1" w:uiPriority="99" w:semiHidden="0" w:name="List 2"/>
    <w:lsdException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qFormat="1" w:unhideWhenUsed="0" w:uiPriority="61" w:semiHidden="0" w:name="Light List"/>
    <w:lsdException w:unhideWhenUsed="0" w:uiPriority="62" w:semiHidden="0" w:name="Light Grid"/>
    <w:lsdException w:qFormat="1" w:unhideWhenUsed="0" w:uiPriority="63" w:semiHidden="0" w:name="Medium Shading 1"/>
    <w:lsdException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qFormat="1" w:unhideWhenUsed="0" w:uiPriority="68" w:semiHidden="0" w:name="Medium Grid 2 Accent 3"/>
    <w:lsdException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qFormat="1" w:unhideWhenUsed="0" w:uiPriority="68" w:semiHidden="0" w:name="Medium Grid 2 Accent 5"/>
    <w:lsdException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unhideWhenUsed="0" w:uiPriority="61" w:semiHidden="0" w:name="Light List Accent 6"/>
    <w:lsdException w:qFormat="1" w:unhideWhenUsed="0" w:uiPriority="62" w:semiHidden="0" w:name="Light Grid Accent 6"/>
    <w:lsdException w:unhideWhenUsed="0" w:uiPriority="63" w:semiHidden="0" w:name="Medium Shading 1 Accent 6"/>
    <w:lsdException w:qFormat="1" w:unhideWhenUsed="0" w:uiPriority="64" w:semiHidden="0" w:name="Medium Shading 2 Accent 6"/>
    <w:lsdException w:unhideWhenUsed="0" w:uiPriority="65" w:semiHidden="0" w:name="Medium List 1 Accent 6"/>
    <w:lsdException w:qFormat="1" w:unhideWhenUsed="0" w:uiPriority="66" w:semiHidden="0" w:name="Medium List 2 Accent 6"/>
    <w:lsdException w:unhideWhenUsed="0" w:uiPriority="67" w:semiHidden="0" w:name="Medium Grid 1 Accent 6"/>
    <w:lsdException w:qFormat="1" w:unhideWhenUsed="0" w:uiPriority="68" w:semiHidden="0" w:name="Medium Grid 2 Accent 6"/>
    <w:lsdException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Theme="minorEastAsia" w:cstheme="minorBidi"/>
      <w:sz w:val="24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4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36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1578</Words>
  <Characters>9841</Characters>
  <Lines>0</Lines>
  <Paragraphs>0</Paragraphs>
  <TotalTime>0</TotalTime>
  <ScaleCrop>false</ScaleCrop>
  <LinksUpToDate>false</LinksUpToDate>
  <CharactersWithSpaces>11237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Prisoner</dc:creator>
  <cp:lastModifiedBy>Prisoner</cp:lastModifiedBy>
  <dcterms:modified xsi:type="dcterms:W3CDTF">2026-07-11T06:46:23Z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B0A742E420754F5886554B6515CE8E9B_13</vt:lpwstr>
  </property>
</Properties>
</file>