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37726D">
      <w:pPr>
        <w:rPr>
          <w:rFonts w:hint="default" w:ascii="Times New Roman" w:hAnsi="Times New Roman" w:cs="Times New Roman"/>
          <w:color w:val="auto"/>
          <w:sz w:val="21"/>
          <w:szCs w:val="21"/>
        </w:rPr>
      </w:pPr>
      <w:bookmarkStart w:id="0" w:name="_GoBack"/>
      <w:r>
        <w:rPr>
          <w:rFonts w:hint="default" w:ascii="Times New Roman" w:hAnsi="Times New Roman" w:eastAsia="Arial" w:cs="Times New Roman"/>
          <w:b/>
          <w:color w:val="auto"/>
          <w:sz w:val="21"/>
          <w:szCs w:val="21"/>
        </w:rPr>
        <w:t>Supplementary Table S1. Missing data profile and imputation plan for candidate predictors.</w:t>
      </w:r>
    </w:p>
    <w:p w14:paraId="174B50B4">
      <w:pPr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eastAsia="Arial" w:cs="Times New Roman"/>
          <w:b w:val="0"/>
          <w:color w:val="auto"/>
          <w:sz w:val="21"/>
          <w:szCs w:val="21"/>
        </w:rPr>
        <w:t>Colorectal adenocarcinoma cohort, n=2,806. The prespecified exclusion threshold for primary modelling was &gt;30% missingness. MICE denotes multiple imputation by chained equations.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1"/>
        <w:gridCol w:w="969"/>
        <w:gridCol w:w="1453"/>
        <w:gridCol w:w="1092"/>
        <w:gridCol w:w="1779"/>
        <w:gridCol w:w="2685"/>
      </w:tblGrid>
      <w:tr w14:paraId="610ECA7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533298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Candidate variable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A42DB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Missing, n (%)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F01B38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Entered primary model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BFD124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Exclusion threshold / handling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EBA2EA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Included in MICE model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F5C67B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/>
                <w:color w:val="auto"/>
                <w:sz w:val="21"/>
                <w:szCs w:val="21"/>
              </w:rPr>
              <w:t>Missing mechanism / rationale</w:t>
            </w:r>
          </w:p>
        </w:tc>
      </w:tr>
      <w:tr w14:paraId="700BE9D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163B60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Age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F4CF8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F9024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82CBB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518C78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D0D898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Routinely recorded baseline demographic variable.</w:t>
            </w:r>
          </w:p>
        </w:tc>
      </w:tr>
      <w:tr w14:paraId="1E3F5B5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A58C12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Sex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AE35A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35E7D5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73CAEA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EAB8D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C2397B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Routinely recorded baseline demographic variable.</w:t>
            </w:r>
          </w:p>
        </w:tc>
      </w:tr>
      <w:tr w14:paraId="181243E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F5F1D6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BMI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D3806A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E26CF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D2B7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CA7C6D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783427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Routinely measured; used as auxiliary predictor to preserve clinical structure.</w:t>
            </w:r>
          </w:p>
        </w:tc>
      </w:tr>
      <w:tr w14:paraId="574695D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C7C5F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ECOG performance status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2110E7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19 (0.7%)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A4B8E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integrated model candidate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51C868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443262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D5B086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Baseline functional status; low missingness supports imputation.</w:t>
            </w:r>
          </w:p>
        </w:tc>
      </w:tr>
      <w:tr w14:paraId="69A8635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8611A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ASA class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EA259D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5FFC2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integrated model candidate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134473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97827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C659A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Perioperative risk marker; low missingness.</w:t>
            </w:r>
          </w:p>
        </w:tc>
      </w:tr>
      <w:tr w14:paraId="41058C1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68549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Charlson comorbidity index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6DAE6D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465F5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7BA180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7BF9BA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E3039B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Comorbidity burden may correlate with outcomes and missingness.</w:t>
            </w:r>
          </w:p>
        </w:tc>
      </w:tr>
      <w:tr w14:paraId="1D50F52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388679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Smoking status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8EE5A7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34 (1.2%)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5E18C8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9CD1F8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647E67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CCACBA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Unknown category treated as missing; low missingness.</w:t>
            </w:r>
          </w:p>
        </w:tc>
      </w:tr>
      <w:tr w14:paraId="4844D51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8461E5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Alcohol drinking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27F0F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100 (3.6%)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49AA18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9D7A9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6512A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06D7A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Unknown category treated as missing; low missingness.</w:t>
            </w:r>
          </w:p>
        </w:tc>
      </w:tr>
      <w:tr w14:paraId="06F4FDC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A21084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Hypertension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A4039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3 (0.1%)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6C406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C7A51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B05A7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9996FA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Low missingness; included to preserve comorbidity structure.</w:t>
            </w:r>
          </w:p>
        </w:tc>
      </w:tr>
      <w:tr w14:paraId="062BB96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0A6085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Diabetes mellitus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26E2E5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8 (0.3%)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D14F4E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174861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1DD3D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51D5E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Low missingness; included to preserve comorbidity structure.</w:t>
            </w:r>
          </w:p>
        </w:tc>
      </w:tr>
      <w:tr w14:paraId="1F95AAB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8F34A5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Coronary heart disease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620E82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E7EFF7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EB6947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3312CB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16E0FC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Low missingness; included to preserve comorbidity structure.</w:t>
            </w:r>
          </w:p>
        </w:tc>
      </w:tr>
      <w:tr w14:paraId="15DCAA5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A41D96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COPD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08C00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14 (0.5%)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F5AF6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B8DFE0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58438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F3D4DD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Low missingness; included to preserve comorbidity structure.</w:t>
            </w:r>
          </w:p>
        </w:tc>
      </w:tr>
      <w:tr w14:paraId="7844898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95C11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Initial bowel obstruction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14F52E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3 (0.1%)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F3AC8D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29D541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A29BBB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252C68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Low missingness; clinically related to disease burden.</w:t>
            </w:r>
          </w:p>
        </w:tc>
      </w:tr>
      <w:tr w14:paraId="77E2971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A4C90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Primary tumour location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A9601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1C6E3D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1D0E0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7EB0D8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3BFD94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Tumour location may relate to biology and outcomes.</w:t>
            </w:r>
          </w:p>
        </w:tc>
      </w:tr>
      <w:tr w14:paraId="12175DF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CD81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Histological subtype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90EBD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D7F053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integrated model candidate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AB410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B271BB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BFEFA4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Restricted to adenocarcinoma subtypes after cohort correction.</w:t>
            </w:r>
          </w:p>
        </w:tc>
      </w:tr>
      <w:tr w14:paraId="77D9BF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921523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Differentiation grade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FCC1CD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362 (12.9%)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B177D3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integrated model candidate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91551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11DB67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77A492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missingness; pathologically relevant and below exclusion threshold.</w:t>
            </w:r>
          </w:p>
        </w:tc>
      </w:tr>
      <w:tr w14:paraId="6F995C3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547AAC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Pathological T stage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540747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D3A659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21CAE4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612E35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C391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Core tumour-burden variable; complete in corrected cohort.</w:t>
            </w:r>
          </w:p>
        </w:tc>
      </w:tr>
      <w:tr w14:paraId="225B7B8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E5C26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Pathological N stage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D0E088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836F0F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3E55B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B405EC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6DF4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Core tumour-burden variable; complete in corrected cohort.</w:t>
            </w:r>
          </w:p>
        </w:tc>
      </w:tr>
      <w:tr w14:paraId="382DD7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2288D1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Overall pathological stage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28F2CE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3CA084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B2F9DA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AC2EF0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A6F087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Core tumour-burden variable; complete in corrected cohort.</w:t>
            </w:r>
          </w:p>
        </w:tc>
      </w:tr>
      <w:tr w14:paraId="1A7C878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1127C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Vascular invasion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719729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2186 (77.9%)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CFE3B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FD6A41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Excluded from primary model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3B665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excluded from primary imputation target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3F6488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High missingness suggests incomplete pathology reporting rather than random absence.</w:t>
            </w:r>
          </w:p>
        </w:tc>
      </w:tr>
      <w:tr w14:paraId="7F0DA87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E5DD0A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Perineural invasion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87D8BD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2226 (79.3%)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D6A4CB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8ECF4B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Excluded from primary model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DE9FC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excluded from primary imputation target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58E1A8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High missingness suggests incomplete pathology reporting rather than random absence.</w:t>
            </w:r>
          </w:p>
        </w:tc>
      </w:tr>
      <w:tr w14:paraId="33EB38B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A14B0A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Positive resection margin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95C57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2 (0.1%)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9B3ADD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F9B313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A5E4F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5C5290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Composite derived from distal/proximal and circumferential margin fields.</w:t>
            </w:r>
          </w:p>
        </w:tc>
      </w:tr>
      <w:tr w14:paraId="3CCADFC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28A0AB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Metastatic lymph nodes, 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26585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C3D737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B62508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7D202F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7C877A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Related to pN stage and recurrence risk.</w:t>
            </w:r>
          </w:p>
        </w:tc>
      </w:tr>
      <w:tr w14:paraId="10DFDD8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743A25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Examined lymph nodes, 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A897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093C1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4F187A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5204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C73626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Quality-of-surgery/pathology indicator.</w:t>
            </w:r>
          </w:p>
        </w:tc>
      </w:tr>
      <w:tr w14:paraId="27E0FF1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F3FC6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Tumour deposits, 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B1E55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49D740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7BAAC5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896E29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3F11D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Disease-burden feature; no material missingness.</w:t>
            </w:r>
          </w:p>
        </w:tc>
      </w:tr>
      <w:tr w14:paraId="7FFEA99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9E602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Surgical approach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E0E375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68A830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candidate descriptive covariate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804E57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CB54B9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2C21E5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Surgery-related variable; no material missingness.</w:t>
            </w:r>
          </w:p>
        </w:tc>
      </w:tr>
      <w:tr w14:paraId="042862B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1C387D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Preoperative CEA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EA3F1F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14 (0.5%)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A8DBB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 after log1p transformation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E7A544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0A5460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CF7AD0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tumour marker; low missingness.</w:t>
            </w:r>
          </w:p>
        </w:tc>
      </w:tr>
      <w:tr w14:paraId="56D2BD3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E30262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Preoperative CA19-9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0AE80C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31 (1.1%)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E52EB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clinical-only and integrated models after log1p transformation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3A2566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FFEBB2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2EE722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tumour marker; low missingness.</w:t>
            </w:r>
          </w:p>
        </w:tc>
      </w:tr>
      <w:tr w14:paraId="03B9885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29FECF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White blood cell count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137412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7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D2D016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auxiliary laboratory variable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EAB39D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8DCB1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DBE822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complete blood count; supports imputation of derived inflammatory indices.</w:t>
            </w:r>
          </w:p>
        </w:tc>
      </w:tr>
      <w:tr w14:paraId="60087BA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2078B4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Lymphocyte count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0DF21E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17F61C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contributes to NLR, PLR, LMR and PNI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679A1A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CF8D6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4F821E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blood count; used to construct LINS inflammatory/nutritional indices.</w:t>
            </w:r>
          </w:p>
        </w:tc>
      </w:tr>
      <w:tr w14:paraId="0EB8583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3D1A1B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Monocyte count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E1861B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6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5EE847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contributes to LMR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E3419A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3AB986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C49E13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blood count; used to construct LMR.</w:t>
            </w:r>
          </w:p>
        </w:tc>
      </w:tr>
      <w:tr w14:paraId="053714B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5EC5FE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Neutrophil count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9A77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FEF0E1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contributes to NLR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95773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60B09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0D8CC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blood count; used to construct NLR.</w:t>
            </w:r>
          </w:p>
        </w:tc>
      </w:tr>
      <w:tr w14:paraId="1C552E0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92932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Platelet count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20AD2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6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832C4F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contributes to PLR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A52AA8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8024AC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C4CD62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blood count; used to construct PLR.</w:t>
            </w:r>
          </w:p>
        </w:tc>
      </w:tr>
      <w:tr w14:paraId="6FF4EE4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540E78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Hemoglobin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531065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6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39D8F9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No, auxiliary laboratory variable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00CB70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568CC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D0913F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blood count; may reflect systemic reserve.</w:t>
            </w:r>
          </w:p>
        </w:tc>
      </w:tr>
      <w:tr w14:paraId="1098E5A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6EC12C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Albumin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59F593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4 (0.1%)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CD9642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contributes to PNI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AD0F3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BC6E63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92B60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Routine nutritional marker; used to construct PNI.</w:t>
            </w:r>
          </w:p>
        </w:tc>
      </w:tr>
      <w:tr w14:paraId="71D1461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C8AFDC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CD3+ T cells, %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E487A6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520 (18.5%)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49B9C4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341DF6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8530B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CBFCC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 (~18.5%); likely due to selective lymphocyte-subset testing availability.</w:t>
            </w:r>
          </w:p>
        </w:tc>
      </w:tr>
      <w:tr w14:paraId="732FDFB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3BC3E4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CD4+ T cells, %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76727B8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520 (18.5%)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8EDC14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8ABCF4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3CB864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600B5C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 (~18.5%); imputed with linked immune, CBC, tumour-burden and outcome information.</w:t>
            </w:r>
          </w:p>
        </w:tc>
      </w:tr>
      <w:tr w14:paraId="6494095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57D77E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CD8+ T cells, %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9AB2C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520 (18.5%)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DB58A6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15B880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10DEAF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525FA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 (~18.5%); imputed because below prespecified 30% threshold.</w:t>
            </w:r>
          </w:p>
        </w:tc>
      </w:tr>
      <w:tr w14:paraId="0621909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EDDA7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CD4/CD8 ratio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D22F8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520 (18.5%)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39372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BF729A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E46757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3F82D4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Derived/recorded T-cell balance variable; same missingness pattern as lymphocyte subsets.</w:t>
            </w:r>
          </w:p>
        </w:tc>
      </w:tr>
      <w:tr w14:paraId="060AFDF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BE1B92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NK cells, %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45EC6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520 (18.5%)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512AE5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AF0C13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E1DE64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26AF91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 (~18.5%); reflects lymphocyte-subset panel availability.</w:t>
            </w:r>
          </w:p>
        </w:tc>
      </w:tr>
      <w:tr w14:paraId="04BC9BD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6BD672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CIK cells, %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B3BDB1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521 (18.6%)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5BECBD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013E4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before modelling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73AD02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predictor/auxiliary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23801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Moderate missingness (~18.6%); below exclusion threshold and biologically prespecified.</w:t>
            </w:r>
          </w:p>
        </w:tc>
      </w:tr>
      <w:tr w14:paraId="1A8F22A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108873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NLR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E269B9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1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5D957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7A954F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79D99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after component imputation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EA1D2C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inflammatory index; missing only if component counts are missing.</w:t>
            </w:r>
          </w:p>
        </w:tc>
      </w:tr>
      <w:tr w14:paraId="37DBB94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0A85274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PLR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13E41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6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C5F278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D0D44B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247B73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after component imputation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B04EFE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inflammatory index; missing only if component counts are missing.</w:t>
            </w:r>
          </w:p>
        </w:tc>
      </w:tr>
      <w:tr w14:paraId="4A48080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1BAEC0E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LMR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CDA2F6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6 (0.2%)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633B1F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6D223B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C6AE40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after component imputation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17B6C6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inflammatory index; missing only if component counts are missing.</w:t>
            </w:r>
          </w:p>
        </w:tc>
      </w:tr>
      <w:tr w14:paraId="01140AF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1B1C55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PNI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7A1FF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4 (0.1%)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F3747E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LINS-only and integrated models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C3C1830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4BABC6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after component imputation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FC9A59A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Derived nutritional/immune index; missing only if component variables are missing.</w:t>
            </w:r>
          </w:p>
        </w:tc>
      </w:tr>
      <w:tr w14:paraId="5C1DCD3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166797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DFS time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E88BD86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D2F223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Outcome; not a predictor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AD37C4F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2A3B97B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DFS time/event auxiliary; not imputed as predictor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7FDE2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Included to preserve predictor-outcome associations during imputation.</w:t>
            </w:r>
          </w:p>
        </w:tc>
      </w:tr>
      <w:tr w14:paraId="1E4BEFD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35724A2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DFS event</w:t>
            </w:r>
          </w:p>
        </w:tc>
        <w:tc>
          <w:tcPr>
            <w:tcW w:w="120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DB77FBC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0 (0.0%)</w:t>
            </w:r>
          </w:p>
        </w:tc>
        <w:tc>
          <w:tcPr>
            <w:tcW w:w="157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8D33EC1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Outcome; not a predictor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9375BB9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&gt;30% missing excluded from primary model; Eligible; imputed if required</w:t>
            </w:r>
          </w:p>
        </w:tc>
        <w:tc>
          <w:tcPr>
            <w:tcW w:w="1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8F196A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Yes, DFS time/event auxiliary; not imputed as predictor</w:t>
            </w:r>
          </w:p>
        </w:tc>
        <w:tc>
          <w:tcPr>
            <w:tcW w:w="192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D17858D">
            <w:pPr>
              <w:spacing w:after="0" w:line="240" w:lineRule="auto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b w:val="0"/>
                <w:color w:val="auto"/>
                <w:sz w:val="21"/>
                <w:szCs w:val="21"/>
              </w:rPr>
              <w:t>Included to preserve predictor-outcome associations during imputation.</w:t>
            </w:r>
          </w:p>
        </w:tc>
      </w:tr>
    </w:tbl>
    <w:p w14:paraId="4E885878">
      <w:pPr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eastAsia="Arial" w:cs="Times New Roman"/>
          <w:b w:val="0"/>
          <w:color w:val="auto"/>
          <w:sz w:val="21"/>
          <w:szCs w:val="21"/>
        </w:rPr>
        <w:t>Abbreviations: CIK, cytokine-induced killer cells; DFS, disease-free survival; LINS, lymphocyte-based immune-inflammatory/nutritional score; MICE, multiple imputation by chained equations; NK, natural killer cells.</w:t>
      </w:r>
    </w:p>
    <w:p w14:paraId="360205DB">
      <w:pPr>
        <w:rPr>
          <w:rFonts w:hint="default" w:ascii="Times New Roman" w:hAnsi="Times New Roman" w:cs="Times New Roman"/>
          <w:color w:val="auto"/>
          <w:sz w:val="21"/>
          <w:szCs w:val="21"/>
        </w:rPr>
      </w:pPr>
    </w:p>
    <w:bookmarkEnd w:id="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AF01B6"/>
    <w:rsid w:val="46AF01B6"/>
    <w:rsid w:val="4A323AD0"/>
    <w:rsid w:val="4B51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999</Words>
  <Characters>6689</Characters>
  <Lines>0</Lines>
  <Paragraphs>0</Paragraphs>
  <TotalTime>1</TotalTime>
  <ScaleCrop>false</ScaleCrop>
  <LinksUpToDate>false</LinksUpToDate>
  <CharactersWithSpaces>7476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2026-06-01T13:49:00Z</dcterms:created>
  <dc:creator>admin</dc:creator>
  <cp:lastModifiedBy>admin</cp:lastModifiedBy>
  <dcterms:modified xsi:type="dcterms:W3CDTF">2026-06-12T05:37:11Z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5BFF3A62DC114948A140E37F10E5EB33_11</vt:lpwstr>
  </property>
  <property fmtid="{D5CDD505-2E9C-101B-9397-08002B2CF9AE}" pid="4" name="KSOTemplateDocerSaveRecord">
    <vt:lpwstr>eyJoZGlkIjoiOWRkZGVmODg0YTBjNWVlMmIxMjgzMzQ1NmUyMzY5Y2QifQ==</vt:lpwstr>
  </property>
</Properties>
</file>