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8237F6">
      <w:pPr>
        <w:spacing w:line="360" w:lineRule="auto"/>
        <w:jc w:val="center"/>
        <w:outlineLvl w:val="0"/>
        <w:rPr>
          <w:rFonts w:ascii="Times New Roman" w:hAnsi="Times New Roman" w:cs="Times New Roman"/>
          <w:b/>
          <w:bCs/>
          <w:sz w:val="32"/>
          <w:szCs w:val="32"/>
        </w:rPr>
      </w:pPr>
      <w:r>
        <w:rPr>
          <w:rFonts w:ascii="Times New Roman" w:hAnsi="Times New Roman" w:cs="Times New Roman"/>
          <w:b/>
          <w:bCs/>
          <w:sz w:val="32"/>
          <w:szCs w:val="32"/>
        </w:rPr>
        <w:t>Supplementary Material</w:t>
      </w:r>
    </w:p>
    <w:p w14:paraId="46A9A28C">
      <w:pPr>
        <w:spacing w:line="360" w:lineRule="auto"/>
        <w:outlineLvl w:val="1"/>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1 2D SWE image acquisition</w:t>
      </w:r>
    </w:p>
    <w:p w14:paraId="74CDA7F4">
      <w:pPr>
        <w:spacing w:line="360" w:lineRule="auto"/>
        <w:ind w:firstLine="420"/>
        <w:rPr>
          <w:rFonts w:ascii="Times New Roman" w:hAnsi="Times New Roman" w:cs="Times New Roman"/>
          <w:szCs w:val="21"/>
        </w:rPr>
      </w:pPr>
      <w:r>
        <w:rPr>
          <w:rFonts w:ascii="Times New Roman" w:hAnsi="Times New Roman" w:cs="Times New Roman"/>
          <w:szCs w:val="21"/>
        </w:rPr>
        <w:t>Blinded to clinical data, two radiologists with over 5 years of abdominal ultrasound experience performed two-dimensional (2D) shear wave elastography (SWE) using a Supersonic Aixplorer ultrasound system (SuperSonic Imagine, Aix-en-Provence, France) equipped with an SC6-1 convex probe. All patients fasted for ≥4 hours prior to the examination and were placed in a supine position with slight right lateral decubitus to optimize liver visualization. The operators strictly adhered to the guidelines of the Society of Radiologists in Ultrasound.</w:t>
      </w:r>
    </w:p>
    <w:p w14:paraId="10B12657">
      <w:pPr>
        <w:spacing w:line="360" w:lineRule="auto"/>
        <w:ind w:firstLine="420"/>
        <w:rPr>
          <w:rFonts w:ascii="Times New Roman" w:hAnsi="Times New Roman" w:cs="Times New Roman"/>
          <w:szCs w:val="21"/>
        </w:rPr>
      </w:pPr>
      <w:r>
        <w:rPr>
          <w:rFonts w:ascii="Times New Roman" w:hAnsi="Times New Roman" w:cs="Times New Roman"/>
          <w:szCs w:val="21"/>
        </w:rPr>
        <w:t xml:space="preserve">Measurements were acquired in the right hepatic lobe through intercostal spaces, with patients instructed to hold their breath gently during data acquisition to minimize motion artifacts. The elastography color scale was set to a maximum of 40 kPa, and all imaging parameters (e.g., probe frequency, depth, gain) were standardized and maintained consistent across all patients. </w:t>
      </w:r>
      <w:r>
        <w:rPr>
          <w:rFonts w:hint="eastAsia" w:ascii="Times New Roman" w:hAnsi="Times New Roman" w:cs="Times New Roman"/>
          <w:szCs w:val="21"/>
        </w:rPr>
        <w:t>A 4</w:t>
      </w:r>
      <w:r>
        <w:rPr>
          <w:rFonts w:ascii="Times New Roman" w:hAnsi="Times New Roman" w:cs="Times New Roman"/>
          <w:szCs w:val="21"/>
        </w:rPr>
        <w:t>×</w:t>
      </w:r>
      <w:r>
        <w:rPr>
          <w:rFonts w:hint="eastAsia" w:ascii="Times New Roman" w:hAnsi="Times New Roman" w:cs="Times New Roman"/>
          <w:szCs w:val="21"/>
        </w:rPr>
        <w:t>3-cm rectangular elastography-derived region of interest (SWE ROI) was placed 1-2 cm below the liver capsule, with careful avoidance of large blood vessels, bile ducts, calcifications, and acoustic shadowing, and a corresponding gray-scale ultrasound ROI (gray-scale ROI) for anatomical and structural assessment, both ROIs are dynamically synchronized and spatially aligned to enable simultaneous analysis.</w:t>
      </w:r>
      <w:bookmarkStart w:id="8" w:name="_GoBack"/>
      <w:bookmarkEnd w:id="8"/>
    </w:p>
    <w:p w14:paraId="7718A441">
      <w:pPr>
        <w:spacing w:line="360" w:lineRule="auto"/>
        <w:ind w:firstLine="420"/>
        <w:rPr>
          <w:rFonts w:ascii="Times New Roman" w:hAnsi="Times New Roman" w:cs="Times New Roman"/>
          <w:szCs w:val="21"/>
        </w:rPr>
      </w:pPr>
      <w:r>
        <w:rPr>
          <w:rFonts w:ascii="Times New Roman" w:hAnsi="Times New Roman" w:cs="Times New Roman"/>
          <w:szCs w:val="21"/>
        </w:rPr>
        <w:t xml:space="preserve">Each patient underwent five consecutive 2D SWE measurements in distinct regions of the right hepatic lobe. </w:t>
      </w:r>
      <w:r>
        <w:rPr>
          <w:rFonts w:hint="eastAsia" w:ascii="Times New Roman" w:hAnsi="Times New Roman" w:cs="Times New Roman"/>
          <w:szCs w:val="21"/>
        </w:rPr>
        <w:t>A</w:t>
      </w:r>
      <w:r>
        <w:rPr>
          <w:rFonts w:ascii="Times New Roman" w:hAnsi="Times New Roman" w:cs="Times New Roman"/>
          <w:szCs w:val="21"/>
        </w:rPr>
        <w:t xml:space="preserve"> circular Q-Box ROI (10-20 mm in diameter) was placed within the rectangular SWE ROI to automatically generate elasticity values (kPa). Only images meeting strict quality control criteria were retained for subsequent analysis: (1) ≥80% signal filling within the SWE ROI; (2) no motion artifacts or signal dropout; (3) compliance with the interquartile range/median ratio (IQR/M) ≤0.30. The final SWE value for each patient was defined as the average of the five valid mean elasticity measurements.</w:t>
      </w:r>
    </w:p>
    <w:p w14:paraId="07624ADA">
      <w:pPr>
        <w:spacing w:line="360" w:lineRule="auto"/>
        <w:rPr>
          <w:rFonts w:ascii="Times New Roman" w:hAnsi="Times New Roman" w:cs="Times New Roman"/>
          <w:szCs w:val="21"/>
        </w:rPr>
      </w:pPr>
    </w:p>
    <w:p w14:paraId="60DE3CC6">
      <w:pPr>
        <w:spacing w:line="360" w:lineRule="auto"/>
        <w:outlineLvl w:val="1"/>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2 Intrahepatic heterogeneity score calculation</w:t>
      </w:r>
    </w:p>
    <w:p w14:paraId="48CE5EE2">
      <w:pPr>
        <w:wordWrap w:val="0"/>
        <w:spacing w:line="360" w:lineRule="auto"/>
        <w:ind w:firstLine="420"/>
        <w:rPr>
          <w:rFonts w:ascii="Times New Roman" w:hAnsi="Times New Roman" w:cs="Times New Roman"/>
          <w:szCs w:val="21"/>
        </w:rPr>
      </w:pPr>
      <w:r>
        <w:rPr>
          <w:rFonts w:hint="eastAsia" w:ascii="Times New Roman" w:hAnsi="Times New Roman" w:cs="Times New Roman"/>
          <w:szCs w:val="21"/>
        </w:rPr>
        <w:t>The rectangular SWE and gray-scale ROIs in 2D SWE images were selected as the target region for extracting intrahepatic local radiomic features. A 5</w:t>
      </w:r>
      <w:r>
        <w:rPr>
          <w:rFonts w:ascii="Times New Roman" w:hAnsi="Times New Roman" w:cs="Times New Roman"/>
          <w:szCs w:val="21"/>
        </w:rPr>
        <w:t>×</w:t>
      </w:r>
      <w:r>
        <w:rPr>
          <w:rFonts w:hint="eastAsia" w:ascii="Times New Roman" w:hAnsi="Times New Roman" w:cs="Times New Roman"/>
          <w:szCs w:val="21"/>
        </w:rPr>
        <w:t xml:space="preserve">5-mm square sliding window was implemented centered at each pixel within the ROI, and 104 radiomic features were extracted per window using PyRadiomics (version 3.1). These features included 19 first-order statistics features, 10 shape-based features, and 75 texture features. The definitions and calculation formulas for each feature are provided in the official documentation (https://pyradiomics.readthedocs.io/en/latest/features.html). All features were normalized to eliminate scale biases. </w:t>
      </w:r>
    </w:p>
    <w:p w14:paraId="301ACD9C">
      <w:pPr>
        <w:spacing w:line="360" w:lineRule="auto"/>
        <w:ind w:firstLine="420"/>
        <w:rPr>
          <w:rFonts w:ascii="Times New Roman" w:hAnsi="Times New Roman" w:cs="Times New Roman"/>
          <w:szCs w:val="21"/>
        </w:rPr>
      </w:pPr>
      <w:r>
        <w:rPr>
          <w:rFonts w:hint="eastAsia" w:ascii="Times New Roman" w:hAnsi="Times New Roman" w:cs="Times New Roman"/>
          <w:szCs w:val="21"/>
        </w:rPr>
        <w:t>A K-means clustering algorithm was applied to the radiomic features of all pixels to identify subregions with homogeneous feature distributions within the liver. The number of clusters (</w:t>
      </w:r>
      <w:r>
        <w:rPr>
          <w:rFonts w:hint="eastAsia" w:ascii="Times New Roman" w:hAnsi="Times New Roman" w:cs="Times New Roman"/>
          <w:i/>
          <w:iCs/>
          <w:szCs w:val="21"/>
        </w:rPr>
        <w:t>k</w:t>
      </w:r>
      <w:r>
        <w:rPr>
          <w:rFonts w:hint="eastAsia" w:ascii="Times New Roman" w:hAnsi="Times New Roman" w:cs="Times New Roman"/>
          <w:szCs w:val="21"/>
        </w:rPr>
        <w:t>) determines the clustering resolution, and the optimal</w:t>
      </w:r>
      <w:bookmarkStart w:id="0" w:name="OLE_LINK2"/>
      <w:r>
        <w:rPr>
          <w:rFonts w:hint="eastAsia" w:ascii="Times New Roman" w:hAnsi="Times New Roman" w:cs="Times New Roman"/>
          <w:szCs w:val="21"/>
        </w:rPr>
        <w:t xml:space="preserve"> </w:t>
      </w:r>
      <w:r>
        <w:rPr>
          <w:rFonts w:hint="eastAsia" w:ascii="Times New Roman" w:hAnsi="Times New Roman" w:cs="Times New Roman"/>
          <w:i/>
          <w:iCs/>
          <w:szCs w:val="21"/>
        </w:rPr>
        <w:t>k</w:t>
      </w:r>
      <w:bookmarkEnd w:id="0"/>
      <w:r>
        <w:rPr>
          <w:rFonts w:hint="eastAsia" w:ascii="Times New Roman" w:hAnsi="Times New Roman" w:cs="Times New Roman"/>
          <w:szCs w:val="21"/>
        </w:rPr>
        <w:t xml:space="preserve"> was determined using the elbow method. This method entails the following sequential steps: first, defining a range of candidate </w:t>
      </w:r>
      <w:r>
        <w:rPr>
          <w:rFonts w:hint="eastAsia" w:ascii="Times New Roman" w:hAnsi="Times New Roman" w:cs="Times New Roman"/>
          <w:i/>
          <w:iCs/>
          <w:szCs w:val="21"/>
        </w:rPr>
        <w:t>k</w:t>
      </w:r>
      <w:r>
        <w:rPr>
          <w:rFonts w:hint="eastAsia" w:ascii="Times New Roman" w:hAnsi="Times New Roman" w:cs="Times New Roman"/>
          <w:szCs w:val="21"/>
        </w:rPr>
        <w:t xml:space="preserve"> values (range 3 to 9 in this study); second, running the K-means algorithm for each candidate </w:t>
      </w:r>
      <w:r>
        <w:rPr>
          <w:rFonts w:hint="eastAsia" w:ascii="Times New Roman" w:hAnsi="Times New Roman" w:cs="Times New Roman"/>
          <w:i/>
          <w:iCs/>
          <w:szCs w:val="21"/>
        </w:rPr>
        <w:t>k</w:t>
      </w:r>
      <w:r>
        <w:rPr>
          <w:rFonts w:hint="eastAsia" w:ascii="Times New Roman" w:hAnsi="Times New Roman" w:cs="Times New Roman"/>
          <w:szCs w:val="21"/>
        </w:rPr>
        <w:t xml:space="preserve"> and calculating the corresponding sum of squared errors (SSE), which is defined as the sum of squared Euclidean distances between each pixel and the center of its assigned cluster; third, plotting the SSE values against the candidate </w:t>
      </w:r>
      <w:r>
        <w:rPr>
          <w:rFonts w:hint="eastAsia" w:ascii="Times New Roman" w:hAnsi="Times New Roman" w:cs="Times New Roman"/>
          <w:i/>
          <w:iCs/>
          <w:szCs w:val="21"/>
        </w:rPr>
        <w:t>k</w:t>
      </w:r>
      <w:r>
        <w:rPr>
          <w:rFonts w:hint="eastAsia" w:ascii="Times New Roman" w:hAnsi="Times New Roman" w:cs="Times New Roman"/>
          <w:szCs w:val="21"/>
        </w:rPr>
        <w:t xml:space="preserve"> values to generate an SSE-</w:t>
      </w:r>
      <w:r>
        <w:rPr>
          <w:rFonts w:hint="eastAsia" w:ascii="Times New Roman" w:hAnsi="Times New Roman" w:cs="Times New Roman"/>
          <w:i/>
          <w:iCs/>
          <w:szCs w:val="21"/>
        </w:rPr>
        <w:t>k</w:t>
      </w:r>
      <w:r>
        <w:rPr>
          <w:rFonts w:hint="eastAsia" w:ascii="Times New Roman" w:hAnsi="Times New Roman" w:cs="Times New Roman"/>
          <w:szCs w:val="21"/>
        </w:rPr>
        <w:t xml:space="preserve"> curve. The optimal </w:t>
      </w:r>
      <w:r>
        <w:rPr>
          <w:rFonts w:ascii="Times New Roman" w:hAnsi="Times New Roman" w:cs="Times New Roman"/>
          <w:i/>
          <w:iCs/>
          <w:szCs w:val="21"/>
        </w:rPr>
        <w:t>k</w:t>
      </w:r>
      <w:r>
        <w:rPr>
          <w:rFonts w:hint="eastAsia" w:ascii="Times New Roman" w:hAnsi="Times New Roman" w:cs="Times New Roman"/>
          <w:szCs w:val="21"/>
        </w:rPr>
        <w:t xml:space="preserve"> is then identified as the elbow point on this curve, where the rate of SSE reduction slows sharply with increasing </w:t>
      </w:r>
      <w:r>
        <w:rPr>
          <w:rFonts w:ascii="Times New Roman" w:hAnsi="Times New Roman" w:cs="Times New Roman"/>
          <w:i/>
          <w:iCs/>
          <w:szCs w:val="21"/>
        </w:rPr>
        <w:t>k</w:t>
      </w:r>
      <w:r>
        <w:rPr>
          <w:rFonts w:hint="eastAsia" w:ascii="Times New Roman" w:hAnsi="Times New Roman" w:cs="Times New Roman"/>
          <w:szCs w:val="21"/>
        </w:rPr>
        <w:t>, indicating that further increases in cluster number yield negligible improvements in clustering accuracy.</w:t>
      </w:r>
    </w:p>
    <w:p w14:paraId="0F4E946B">
      <w:pPr>
        <w:spacing w:line="360" w:lineRule="auto"/>
        <w:ind w:firstLine="420"/>
        <w:rPr>
          <w:rFonts w:ascii="Times New Roman" w:hAnsi="Times New Roman" w:cs="Times New Roman"/>
          <w:szCs w:val="21"/>
        </w:rPr>
      </w:pPr>
      <w:r>
        <w:rPr>
          <w:rFonts w:hint="eastAsia" w:ascii="Times New Roman" w:hAnsi="Times New Roman" w:cs="Times New Roman"/>
          <w:szCs w:val="21"/>
        </w:rPr>
        <w:t xml:space="preserve">The calculation of the intrahepatic heterogeneity (IHH) score relies on the number of connected regions and their maximum area per cluster, with a higher score indicating greater heterogeneity of the clustering patterns and more pronounced spatial heterogeneity of the liver. Ultimately, each ROI was assigned a corresponding IHH score and the optimal number of clusters. </w:t>
      </w:r>
      <w:bookmarkStart w:id="1" w:name="OLE_LINK16"/>
      <w:r>
        <w:rPr>
          <w:rFonts w:hint="eastAsia" w:ascii="Times New Roman" w:hAnsi="Times New Roman" w:cs="Times New Roman"/>
          <w:szCs w:val="21"/>
        </w:rPr>
        <w:t>After clustering, pixels in the same cluster were labeled with the same color to generate a</w:t>
      </w:r>
      <w:bookmarkStart w:id="2" w:name="_Hlk220360754"/>
      <w:r>
        <w:rPr>
          <w:rFonts w:hint="eastAsia" w:ascii="Times New Roman" w:hAnsi="Times New Roman" w:cs="Times New Roman"/>
          <w:szCs w:val="21"/>
        </w:rPr>
        <w:t xml:space="preserve"> cluster label map</w:t>
      </w:r>
      <w:bookmarkEnd w:id="2"/>
      <w:r>
        <w:rPr>
          <w:rFonts w:hint="eastAsia" w:ascii="Times New Roman" w:hAnsi="Times New Roman" w:cs="Times New Roman"/>
          <w:szCs w:val="21"/>
        </w:rPr>
        <w:t>.</w:t>
      </w:r>
      <w:bookmarkEnd w:id="1"/>
      <w:r>
        <w:rPr>
          <w:rFonts w:hint="eastAsia" w:ascii="Times New Roman" w:hAnsi="Times New Roman" w:cs="Times New Roman"/>
          <w:szCs w:val="21"/>
        </w:rPr>
        <w:t xml:space="preserve"> This map provides an intuitive visualization of intrahepatic subregion distribution and heterogeneity.</w:t>
      </w:r>
    </w:p>
    <w:p w14:paraId="54A08FEE">
      <w:pPr>
        <w:spacing w:line="360" w:lineRule="auto"/>
        <w:rPr>
          <w:rFonts w:ascii="Times New Roman" w:hAnsi="Times New Roman" w:cs="Times New Roman"/>
          <w:szCs w:val="21"/>
        </w:rPr>
      </w:pPr>
    </w:p>
    <w:p w14:paraId="2EBE8D1B">
      <w:pPr>
        <w:spacing w:line="360" w:lineRule="auto"/>
        <w:outlineLvl w:val="1"/>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 xml:space="preserve">3 </w:t>
      </w:r>
      <w:bookmarkStart w:id="3" w:name="OLE_LINK25"/>
      <w:r>
        <w:rPr>
          <w:rFonts w:hint="eastAsia" w:ascii="Times New Roman" w:hAnsi="Times New Roman" w:cs="Times New Roman"/>
          <w:b/>
          <w:bCs/>
          <w:sz w:val="24"/>
          <w:szCs w:val="24"/>
        </w:rPr>
        <w:t>Conventional radiomic score</w:t>
      </w:r>
      <w:bookmarkEnd w:id="3"/>
      <w:r>
        <w:rPr>
          <w:rFonts w:hint="eastAsia" w:ascii="Times New Roman" w:hAnsi="Times New Roman" w:cs="Times New Roman"/>
          <w:b/>
          <w:bCs/>
          <w:sz w:val="24"/>
          <w:szCs w:val="24"/>
        </w:rPr>
        <w:t xml:space="preserve"> development</w:t>
      </w:r>
    </w:p>
    <w:p w14:paraId="5F381102">
      <w:pPr>
        <w:spacing w:line="360" w:lineRule="auto"/>
        <w:ind w:firstLine="420"/>
        <w:rPr>
          <w:rFonts w:ascii="Times New Roman" w:hAnsi="Times New Roman" w:cs="Times New Roman"/>
          <w:szCs w:val="21"/>
        </w:rPr>
      </w:pPr>
      <w:r>
        <w:rPr>
          <w:rFonts w:hint="eastAsia" w:ascii="Times New Roman" w:hAnsi="Times New Roman" w:cs="Times New Roman"/>
          <w:szCs w:val="21"/>
        </w:rPr>
        <w:t xml:space="preserve">Radiomic features were extracted from the original images of each SWE ROI and gray-scale ROI using Pyradiomics software (version 3.0.1), yielding 91 features per ROI. These features were categorized into two classes: first-order statistical features (n=18) and textural features (n=73), including those derived from the gray level co-occurrence matrix (GLCM), gray-level run-length matrix (GLRLM), gray-level size zone matrix (GLSZM), gray-level dependence matrix (GLDM), and neighborhood gray-tone difference matrix (NGTDM). </w:t>
      </w:r>
    </w:p>
    <w:p w14:paraId="04F16F85">
      <w:pPr>
        <w:spacing w:line="360" w:lineRule="auto"/>
        <w:ind w:firstLine="420"/>
        <w:rPr>
          <w:rFonts w:hint="eastAsia" w:ascii="Times New Roman" w:hAnsi="Times New Roman" w:cs="Times New Roman"/>
          <w:szCs w:val="21"/>
        </w:rPr>
      </w:pPr>
      <w:r>
        <w:rPr>
          <w:rFonts w:hint="eastAsia" w:ascii="Times New Roman" w:hAnsi="Times New Roman" w:cs="Times New Roman"/>
          <w:szCs w:val="21"/>
        </w:rPr>
        <w:t>Subsequently, radiomic feature selection was performed on the training cohort via three sequential steps: initially, features with a Spearman</w:t>
      </w:r>
      <w:r>
        <w:rPr>
          <w:rFonts w:ascii="Times New Roman" w:hAnsi="Times New Roman" w:cs="Times New Roman"/>
          <w:szCs w:val="21"/>
        </w:rPr>
        <w:t>’</w:t>
      </w:r>
      <w:r>
        <w:rPr>
          <w:rFonts w:hint="eastAsia" w:ascii="Times New Roman" w:hAnsi="Times New Roman" w:cs="Times New Roman"/>
          <w:szCs w:val="21"/>
        </w:rPr>
        <w:t>s rank correlation coefficient (</w:t>
      </w:r>
      <w:r>
        <w:rPr>
          <w:rFonts w:hint="eastAsia" w:ascii="Times New Roman" w:hAnsi="Times New Roman" w:cs="Times New Roman"/>
          <w:i/>
          <w:iCs/>
          <w:szCs w:val="21"/>
        </w:rPr>
        <w:t>r</w:t>
      </w:r>
      <w:r>
        <w:rPr>
          <w:rFonts w:hint="eastAsia" w:ascii="Times New Roman" w:hAnsi="Times New Roman" w:cs="Times New Roman"/>
          <w:szCs w:val="21"/>
        </w:rPr>
        <w:t xml:space="preserve">) &gt; 0.8 were identified, and for each highly correlated feature cluster, the feature with the highest average inter-feature correlation was eliminated to avoid multicollinearity; this was followed by univariate Cox regression analysis, with only features meeting a </w:t>
      </w:r>
      <w:r>
        <w:rPr>
          <w:rFonts w:hint="eastAsia" w:ascii="Times New Roman" w:hAnsi="Times New Roman" w:cs="Times New Roman"/>
          <w:i/>
          <w:iCs/>
          <w:szCs w:val="21"/>
        </w:rPr>
        <w:t>p</w:t>
      </w:r>
      <w:r>
        <w:rPr>
          <w:rFonts w:hint="eastAsia" w:ascii="Times New Roman" w:hAnsi="Times New Roman" w:cs="Times New Roman"/>
          <w:szCs w:val="21"/>
        </w:rPr>
        <w:t xml:space="preserve"> &lt; 0.05 retained; and ultimately, a 10-fold cross-validated Cox proportional hazards model integrated with least absolute shrinkage and selection operator (LASSO) regression (Cox-LASSO) was applied for final feature selection, where the optimal</w:t>
      </w:r>
      <w:bookmarkStart w:id="4" w:name="OLE_LINK34"/>
      <w:r>
        <w:rPr>
          <w:rFonts w:hint="eastAsia" w:ascii="Times New Roman" w:hAnsi="Times New Roman" w:cs="Times New Roman"/>
          <w:szCs w:val="21"/>
        </w:rPr>
        <w:t xml:space="preserve"> </w:t>
      </w:r>
      <w:r>
        <w:rPr>
          <w:rFonts w:ascii="Times New Roman" w:hAnsi="Times New Roman" w:cs="Times New Roman"/>
          <w:szCs w:val="21"/>
        </w:rPr>
        <w:t>λ</w:t>
      </w:r>
      <w:r>
        <w:rPr>
          <w:rFonts w:hint="eastAsia" w:ascii="Times New Roman" w:hAnsi="Times New Roman" w:cs="Times New Roman"/>
          <w:szCs w:val="21"/>
        </w:rPr>
        <w:t xml:space="preserve"> </w:t>
      </w:r>
      <w:bookmarkEnd w:id="4"/>
      <w:r>
        <w:rPr>
          <w:rFonts w:hint="eastAsia" w:ascii="Times New Roman" w:hAnsi="Times New Roman" w:cs="Times New Roman"/>
          <w:szCs w:val="21"/>
        </w:rPr>
        <w:t>parameter was determined by minimizing the mean squared error .</w:t>
      </w:r>
    </w:p>
    <w:p w14:paraId="20AC9E99">
      <w:pPr>
        <w:spacing w:line="360" w:lineRule="auto"/>
        <w:ind w:firstLine="420"/>
        <w:rPr>
          <w:rFonts w:hint="eastAsia" w:ascii="Times New Roman" w:hAnsi="Times New Roman" w:cs="Times New Roman"/>
          <w:szCs w:val="21"/>
        </w:rPr>
      </w:pPr>
      <w:r>
        <w:rPr>
          <w:rFonts w:hint="eastAsia" w:ascii="Times New Roman" w:hAnsi="Times New Roman" w:cs="Times New Roman"/>
          <w:szCs w:val="21"/>
        </w:rPr>
        <w:drawing>
          <wp:inline distT="0" distB="0" distL="114300" distR="114300">
            <wp:extent cx="5039995" cy="3643630"/>
            <wp:effectExtent l="0" t="0" r="8255" b="13970"/>
            <wp:docPr id="6" name="图片 6" descr="Figur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S7"/>
                    <pic:cNvPicPr>
                      <a:picLocks noChangeAspect="1"/>
                    </pic:cNvPicPr>
                  </pic:nvPicPr>
                  <pic:blipFill>
                    <a:blip r:embed="rId5"/>
                    <a:stretch>
                      <a:fillRect/>
                    </a:stretch>
                  </pic:blipFill>
                  <pic:spPr>
                    <a:xfrm>
                      <a:off x="0" y="0"/>
                      <a:ext cx="5039995" cy="3643630"/>
                    </a:xfrm>
                    <a:prstGeom prst="rect">
                      <a:avLst/>
                    </a:prstGeom>
                  </pic:spPr>
                </pic:pic>
              </a:graphicData>
            </a:graphic>
          </wp:inline>
        </w:drawing>
      </w:r>
    </w:p>
    <w:p w14:paraId="3D4FE31C">
      <w:pPr>
        <w:wordWrap w:val="0"/>
        <w:spacing w:line="360" w:lineRule="auto"/>
        <w:ind w:firstLine="420"/>
        <w:rPr>
          <w:rFonts w:hint="eastAsia"/>
          <w:szCs w:val="21"/>
        </w:rPr>
      </w:pPr>
      <w:r>
        <w:rPr>
          <w:rFonts w:hint="eastAsia" w:ascii="Times New Roman" w:hAnsi="Times New Roman" w:cs="Times New Roman"/>
          <w:szCs w:val="21"/>
        </w:rPr>
        <w:t>For radiomic features from the SWE ROI, 23 were retained via Spearman</w:t>
      </w:r>
      <w:r>
        <w:rPr>
          <w:rFonts w:ascii="Times New Roman" w:hAnsi="Times New Roman" w:cs="Times New Roman"/>
          <w:szCs w:val="21"/>
        </w:rPr>
        <w:t>’</w:t>
      </w:r>
      <w:r>
        <w:rPr>
          <w:rFonts w:hint="eastAsia" w:ascii="Times New Roman" w:hAnsi="Times New Roman" w:cs="Times New Roman"/>
          <w:szCs w:val="21"/>
        </w:rPr>
        <w:t>s rank correlation analysis, filtered to 12 through univariate Cox regression, and narrowed to 5 with Cox-LASSO regression (</w:t>
      </w:r>
      <w:r>
        <w:rPr>
          <w:rFonts w:ascii="Times New Roman" w:hAnsi="Times New Roman" w:cs="Times New Roman"/>
          <w:szCs w:val="21"/>
        </w:rPr>
        <w:t>λ</w:t>
      </w:r>
      <w:r>
        <w:rPr>
          <w:rFonts w:hint="eastAsia" w:ascii="Times New Roman" w:hAnsi="Times New Roman" w:cs="Times New Roman"/>
          <w:szCs w:val="21"/>
        </w:rPr>
        <w:t xml:space="preserve"> = 0.049). These five features, </w:t>
      </w:r>
      <w:r>
        <w:rPr>
          <w:rFonts w:ascii="Times New Roman" w:hAnsi="Times New Roman" w:cs="Times New Roman"/>
          <w:szCs w:val="21"/>
        </w:rPr>
        <w:t xml:space="preserve">were used to construct </w:t>
      </w:r>
      <w:r>
        <w:rPr>
          <w:rFonts w:hint="eastAsia" w:ascii="Times New Roman" w:hAnsi="Times New Roman" w:cs="Times New Roman"/>
          <w:szCs w:val="21"/>
        </w:rPr>
        <w:t>Rswe</w:t>
      </w:r>
      <w:r>
        <w:rPr>
          <w:rFonts w:ascii="Times New Roman" w:hAnsi="Times New Roman" w:cs="Times New Roman"/>
          <w:szCs w:val="21"/>
        </w:rPr>
        <w:t xml:space="preserve"> </w:t>
      </w:r>
      <w:r>
        <w:rPr>
          <w:rFonts w:hint="eastAsia" w:ascii="Times New Roman" w:hAnsi="Times New Roman" w:cs="Times New Roman"/>
          <w:szCs w:val="21"/>
        </w:rPr>
        <w:t>based on</w:t>
      </w:r>
      <w:r>
        <w:rPr>
          <w:rFonts w:ascii="Times New Roman" w:hAnsi="Times New Roman" w:cs="Times New Roman"/>
          <w:szCs w:val="21"/>
        </w:rPr>
        <w:t xml:space="preserve"> multivariate Cox regression</w:t>
      </w:r>
      <w:r>
        <w:rPr>
          <w:rFonts w:hint="eastAsia" w:ascii="Times New Roman" w:hAnsi="Times New Roman" w:cs="Times New Roman"/>
          <w:szCs w:val="21"/>
        </w:rPr>
        <w:t>, including firstorder_Range, glcm_Contrast, glcm_I</w:t>
      </w:r>
      <w:r>
        <w:rPr>
          <w:rFonts w:ascii="Times New Roman" w:hAnsi="Times New Roman" w:cs="Times New Roman"/>
          <w:szCs w:val="21"/>
        </w:rPr>
        <w:t>mc2, ngtdm_Busyness,</w:t>
      </w:r>
      <w:r>
        <w:rPr>
          <w:rFonts w:hint="eastAsia" w:ascii="Times New Roman" w:hAnsi="Times New Roman" w:cs="Times New Roman"/>
          <w:szCs w:val="21"/>
        </w:rPr>
        <w:t xml:space="preserve"> and</w:t>
      </w:r>
      <w:r>
        <w:rPr>
          <w:rFonts w:ascii="Times New Roman" w:hAnsi="Times New Roman" w:cs="Times New Roman"/>
          <w:szCs w:val="21"/>
        </w:rPr>
        <w:t xml:space="preserve"> ngtdm_Coarseness.</w:t>
      </w:r>
      <w:r>
        <w:rPr>
          <w:rFonts w:hint="eastAsia"/>
          <w:szCs w:val="21"/>
        </w:rPr>
        <w:t xml:space="preserve"> </w:t>
      </w:r>
    </w:p>
    <w:p w14:paraId="3CC87FF0">
      <w:pPr>
        <w:wordWrap w:val="0"/>
        <w:spacing w:line="360" w:lineRule="auto"/>
        <w:ind w:firstLine="420"/>
        <w:rPr>
          <w:rFonts w:ascii="Times New Roman" w:hAnsi="Times New Roman" w:cs="Times New Roman"/>
          <w:szCs w:val="21"/>
        </w:rPr>
      </w:pPr>
      <w:r>
        <w:rPr>
          <w:rFonts w:hint="eastAsia" w:ascii="Times New Roman" w:hAnsi="Times New Roman" w:cs="Times New Roman"/>
          <w:szCs w:val="21"/>
        </w:rPr>
        <w:t>Similarly, for features from the gray-scale ROI, 16 were retained by correlation analysis, cut to 7 through univariate analysis, and finalized to 5 with Cox-LASSO (</w:t>
      </w:r>
      <w:r>
        <w:rPr>
          <w:rFonts w:ascii="Times New Roman" w:hAnsi="Times New Roman" w:cs="Times New Roman"/>
          <w:szCs w:val="21"/>
        </w:rPr>
        <w:t>λ</w:t>
      </w:r>
      <w:r>
        <w:rPr>
          <w:rFonts w:hint="eastAsia" w:ascii="Times New Roman" w:hAnsi="Times New Roman" w:cs="Times New Roman"/>
          <w:szCs w:val="21"/>
        </w:rPr>
        <w:t xml:space="preserve"> = 0.045). The five features, firstorder_RobustMeanAbsoluteDeviation, firstorder_Skewness, glcm_Contrast, gldm_GrayLevelNonUniformity, ngtdm_Busyness, were used to build Rgray using multivariate Cox regression.</w:t>
      </w:r>
    </w:p>
    <w:p w14:paraId="72E10110">
      <w:pPr>
        <w:wordWrap w:val="0"/>
        <w:spacing w:line="360" w:lineRule="auto"/>
        <w:rPr>
          <w:rFonts w:ascii="Times New Roman" w:hAnsi="Times New Roman" w:cs="Times New Roman"/>
          <w:szCs w:val="21"/>
        </w:rPr>
      </w:pPr>
    </w:p>
    <w:p w14:paraId="3CF2ABB6">
      <w:pPr>
        <w:spacing w:line="360" w:lineRule="auto"/>
        <w:outlineLvl w:val="1"/>
        <w:rPr>
          <w:rFonts w:ascii="Times New Roman" w:hAnsi="Times New Roman" w:cs="Times New Roman"/>
          <w:b/>
          <w:bCs/>
          <w:sz w:val="24"/>
          <w:szCs w:val="24"/>
        </w:rPr>
      </w:pPr>
      <w:r>
        <w:rPr>
          <w:rFonts w:ascii="Times New Roman" w:hAnsi="Times New Roman" w:cs="Times New Roman"/>
          <w:b/>
          <w:bCs/>
          <w:sz w:val="24"/>
          <w:szCs w:val="24"/>
        </w:rPr>
        <w:t>S</w:t>
      </w:r>
      <w:r>
        <w:rPr>
          <w:rFonts w:hint="eastAsia" w:ascii="Times New Roman" w:hAnsi="Times New Roman" w:cs="Times New Roman"/>
          <w:b/>
          <w:bCs/>
          <w:sz w:val="24"/>
          <w:szCs w:val="24"/>
        </w:rPr>
        <w:t>4 Clinical data-based models development</w:t>
      </w:r>
    </w:p>
    <w:p w14:paraId="44B24A58">
      <w:pPr>
        <w:spacing w:line="360" w:lineRule="auto"/>
        <w:rPr>
          <w:rFonts w:ascii="Times New Roman" w:hAnsi="Times New Roman" w:cs="Times New Roman"/>
          <w:b/>
          <w:bCs/>
          <w:szCs w:val="21"/>
        </w:rPr>
      </w:pPr>
      <w:r>
        <w:rPr>
          <w:rFonts w:hint="eastAsia" w:ascii="Times New Roman" w:hAnsi="Times New Roman" w:cs="Times New Roman"/>
          <w:b/>
          <w:bCs/>
          <w:szCs w:val="21"/>
        </w:rPr>
        <w:t>S4.1 Clinical model</w:t>
      </w:r>
    </w:p>
    <w:p w14:paraId="06DAFB06">
      <w:pPr>
        <w:spacing w:line="360" w:lineRule="auto"/>
        <w:ind w:firstLine="420"/>
        <w:rPr>
          <w:rFonts w:ascii="Times New Roman" w:hAnsi="Times New Roman" w:cs="Times New Roman"/>
          <w:szCs w:val="21"/>
        </w:rPr>
      </w:pPr>
      <w:r>
        <w:rPr>
          <w:rFonts w:hint="eastAsia" w:ascii="Times New Roman" w:hAnsi="Times New Roman" w:cs="Times New Roman"/>
          <w:szCs w:val="21"/>
        </w:rPr>
        <w:t xml:space="preserve">Cox regression analyses were used to identify independent clinical predictors of 5-year mortality in the training cohort, with the hazard ratios (HR) and 95% confidence intervals (CI) computed. Parameters with </w:t>
      </w:r>
      <w:bookmarkStart w:id="5" w:name="OLE_LINK30"/>
      <w:r>
        <w:rPr>
          <w:rFonts w:hint="eastAsia" w:ascii="Times New Roman" w:hAnsi="Times New Roman" w:cs="Times New Roman"/>
          <w:i/>
          <w:iCs/>
          <w:szCs w:val="21"/>
        </w:rPr>
        <w:t>p</w:t>
      </w:r>
      <w:r>
        <w:rPr>
          <w:rFonts w:hint="eastAsia" w:ascii="Times New Roman" w:hAnsi="Times New Roman" w:cs="Times New Roman"/>
          <w:szCs w:val="21"/>
        </w:rPr>
        <w:t xml:space="preserve"> </w:t>
      </w:r>
      <w:bookmarkEnd w:id="5"/>
      <w:r>
        <w:rPr>
          <w:rFonts w:hint="eastAsia" w:ascii="Times New Roman" w:hAnsi="Times New Roman" w:cs="Times New Roman"/>
          <w:szCs w:val="21"/>
        </w:rPr>
        <w:t>&lt; 0.05 in univariate analysis were advanced to a stepwise multivariate model to adjust for potential confounders, and statistically significant parameters (</w:t>
      </w:r>
      <w:r>
        <w:rPr>
          <w:rFonts w:hint="eastAsia" w:ascii="Times New Roman" w:hAnsi="Times New Roman" w:cs="Times New Roman"/>
          <w:i/>
          <w:iCs/>
          <w:szCs w:val="21"/>
        </w:rPr>
        <w:t>p</w:t>
      </w:r>
      <w:r>
        <w:rPr>
          <w:rFonts w:hint="eastAsia" w:ascii="Times New Roman" w:hAnsi="Times New Roman" w:cs="Times New Roman"/>
          <w:szCs w:val="21"/>
        </w:rPr>
        <w:t xml:space="preserve"> &lt; 0.05) in the latter were included in the clinical model.</w:t>
      </w:r>
    </w:p>
    <w:p w14:paraId="19DCBB9F">
      <w:pPr>
        <w:spacing w:line="360" w:lineRule="auto"/>
        <w:rPr>
          <w:rFonts w:ascii="Times New Roman" w:hAnsi="Times New Roman" w:cs="Times New Roman"/>
          <w:b/>
          <w:bCs/>
          <w:szCs w:val="21"/>
        </w:rPr>
      </w:pPr>
      <w:r>
        <w:rPr>
          <w:rFonts w:hint="eastAsia" w:ascii="Times New Roman" w:hAnsi="Times New Roman" w:cs="Times New Roman"/>
          <w:b/>
          <w:bCs/>
          <w:szCs w:val="21"/>
        </w:rPr>
        <w:t xml:space="preserve">S4.2 </w:t>
      </w:r>
      <w:r>
        <w:rPr>
          <w:rFonts w:ascii="Times New Roman" w:hAnsi="Times New Roman" w:cs="Times New Roman"/>
          <w:b/>
          <w:bCs/>
          <w:szCs w:val="21"/>
        </w:rPr>
        <w:t xml:space="preserve">Model for </w:t>
      </w:r>
      <w:r>
        <w:rPr>
          <w:rFonts w:hint="eastAsia" w:ascii="Times New Roman" w:hAnsi="Times New Roman" w:cs="Times New Roman"/>
          <w:b/>
          <w:bCs/>
          <w:szCs w:val="21"/>
        </w:rPr>
        <w:t>e</w:t>
      </w:r>
      <w:r>
        <w:rPr>
          <w:rFonts w:ascii="Times New Roman" w:hAnsi="Times New Roman" w:cs="Times New Roman"/>
          <w:b/>
          <w:bCs/>
          <w:szCs w:val="21"/>
        </w:rPr>
        <w:t>nd-</w:t>
      </w:r>
      <w:r>
        <w:rPr>
          <w:rFonts w:hint="eastAsia" w:ascii="Times New Roman" w:hAnsi="Times New Roman" w:cs="Times New Roman"/>
          <w:b/>
          <w:bCs/>
          <w:szCs w:val="21"/>
        </w:rPr>
        <w:t>s</w:t>
      </w:r>
      <w:r>
        <w:rPr>
          <w:rFonts w:ascii="Times New Roman" w:hAnsi="Times New Roman" w:cs="Times New Roman"/>
          <w:b/>
          <w:bCs/>
          <w:szCs w:val="21"/>
        </w:rPr>
        <w:t xml:space="preserve">tage </w:t>
      </w:r>
      <w:r>
        <w:rPr>
          <w:rFonts w:hint="eastAsia" w:ascii="Times New Roman" w:hAnsi="Times New Roman" w:cs="Times New Roman"/>
          <w:b/>
          <w:bCs/>
          <w:szCs w:val="21"/>
        </w:rPr>
        <w:t>l</w:t>
      </w:r>
      <w:r>
        <w:rPr>
          <w:rFonts w:ascii="Times New Roman" w:hAnsi="Times New Roman" w:cs="Times New Roman"/>
          <w:b/>
          <w:bCs/>
          <w:szCs w:val="21"/>
        </w:rPr>
        <w:t xml:space="preserve">iver </w:t>
      </w:r>
      <w:r>
        <w:rPr>
          <w:rFonts w:hint="eastAsia" w:ascii="Times New Roman" w:hAnsi="Times New Roman" w:cs="Times New Roman"/>
          <w:b/>
          <w:bCs/>
          <w:szCs w:val="21"/>
        </w:rPr>
        <w:t>d</w:t>
      </w:r>
      <w:r>
        <w:rPr>
          <w:rFonts w:ascii="Times New Roman" w:hAnsi="Times New Roman" w:cs="Times New Roman"/>
          <w:b/>
          <w:bCs/>
          <w:szCs w:val="21"/>
        </w:rPr>
        <w:t>isease (MELD)</w:t>
      </w:r>
      <w:r>
        <w:rPr>
          <w:rFonts w:hint="eastAsia" w:ascii="Times New Roman" w:hAnsi="Times New Roman" w:cs="Times New Roman"/>
          <w:b/>
          <w:bCs/>
          <w:szCs w:val="21"/>
        </w:rPr>
        <w:t xml:space="preserve"> score</w:t>
      </w:r>
    </w:p>
    <w:p w14:paraId="44167D35">
      <w:pPr>
        <w:spacing w:line="360" w:lineRule="auto"/>
        <w:ind w:firstLine="420"/>
        <w:rPr>
          <w:rFonts w:ascii="Times New Roman" w:hAnsi="Times New Roman" w:cs="Times New Roman"/>
          <w:szCs w:val="21"/>
        </w:rPr>
      </w:pPr>
      <m:oMathPara>
        <m:oMath>
          <m:r>
            <m:rPr/>
            <w:rPr>
              <w:rFonts w:ascii="Cambria Math" w:hAnsi="Cambria Math" w:cs="Times New Roman"/>
              <w:szCs w:val="21"/>
            </w:rPr>
            <m:t>MELD score = 9.57×Ln(Creatinine{mg/dl})+3.78×Ln(Bilirubin{mg/dl})+11.20×Ln(INR)+6.43</m:t>
          </m:r>
        </m:oMath>
      </m:oMathPara>
    </w:p>
    <w:p w14:paraId="2DCE27CE">
      <w:pPr>
        <w:spacing w:line="360" w:lineRule="auto"/>
        <w:rPr>
          <w:rFonts w:ascii="Times New Roman" w:hAnsi="Times New Roman" w:cs="Times New Roman"/>
          <w:i/>
          <w:iCs/>
          <w:szCs w:val="21"/>
        </w:rPr>
      </w:pPr>
      <w:r>
        <w:rPr>
          <w:rFonts w:ascii="Times New Roman" w:hAnsi="Times New Roman" w:cs="Times New Roman"/>
          <w:i/>
          <w:iCs/>
          <w:szCs w:val="21"/>
        </w:rPr>
        <w:t>Note: If any score is &lt;1, the MELD assumes the score is equal to 1; and, if hemodialysis, value for Creatinine is automatically set to 4.0.</w:t>
      </w:r>
    </w:p>
    <w:p w14:paraId="74C57D83">
      <w:pPr>
        <w:spacing w:line="360" w:lineRule="auto"/>
        <w:rPr>
          <w:rFonts w:ascii="Times New Roman" w:hAnsi="Times New Roman" w:cs="Times New Roman"/>
          <w:szCs w:val="21"/>
        </w:rPr>
      </w:pPr>
    </w:p>
    <w:p w14:paraId="39FD55A6">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3599815" cy="2440940"/>
            <wp:effectExtent l="0" t="0" r="635" b="0"/>
            <wp:docPr id="1" name="图片 1" descr="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S1"/>
                    <pic:cNvPicPr>
                      <a:picLocks noChangeAspect="1"/>
                    </pic:cNvPicPr>
                  </pic:nvPicPr>
                  <pic:blipFill>
                    <a:blip r:embed="rId6"/>
                    <a:stretch>
                      <a:fillRect/>
                    </a:stretch>
                  </pic:blipFill>
                  <pic:spPr>
                    <a:xfrm>
                      <a:off x="0" y="0"/>
                      <a:ext cx="3600000" cy="2441135"/>
                    </a:xfrm>
                    <a:prstGeom prst="rect">
                      <a:avLst/>
                    </a:prstGeom>
                  </pic:spPr>
                </pic:pic>
              </a:graphicData>
            </a:graphic>
          </wp:inline>
        </w:drawing>
      </w:r>
    </w:p>
    <w:p w14:paraId="46CB9ED1">
      <w:pPr>
        <w:spacing w:line="360" w:lineRule="auto"/>
        <w:outlineLvl w:val="1"/>
        <w:rPr>
          <w:rFonts w:ascii="Times New Roman" w:hAnsi="Times New Roman" w:cs="Times New Roman"/>
          <w:b/>
          <w:bCs/>
          <w:sz w:val="24"/>
          <w:szCs w:val="24"/>
        </w:rPr>
      </w:pPr>
      <w:r>
        <w:rPr>
          <w:rFonts w:hint="eastAsia" w:ascii="Times New Roman" w:hAnsi="Times New Roman" w:cs="Times New Roman"/>
          <w:b/>
          <w:bCs/>
          <w:sz w:val="24"/>
          <w:szCs w:val="24"/>
        </w:rPr>
        <w:t xml:space="preserve">Supplementary Figure S1: </w:t>
      </w:r>
      <w:r>
        <w:rPr>
          <w:rFonts w:ascii="Times New Roman" w:hAnsi="Times New Roman" w:cs="Times New Roman"/>
          <w:b/>
          <w:bCs/>
          <w:sz w:val="24"/>
          <w:szCs w:val="24"/>
        </w:rPr>
        <w:t xml:space="preserve">Flowchart of the patient enrollment. </w:t>
      </w:r>
    </w:p>
    <w:p w14:paraId="0C9885C8">
      <w:pPr>
        <w:widowControl/>
        <w:spacing w:line="360" w:lineRule="auto"/>
        <w:jc w:val="left"/>
        <w:rPr>
          <w:rFonts w:ascii="Times New Roman" w:hAnsi="Times New Roman" w:cs="Times New Roman"/>
          <w:szCs w:val="21"/>
        </w:rPr>
      </w:pPr>
      <w:r>
        <w:rPr>
          <w:rFonts w:ascii="Times New Roman" w:hAnsi="Times New Roman" w:eastAsia="TimesNewRomanPS-BoldMT" w:cs="Times New Roman"/>
          <w:color w:val="000000"/>
          <w:kern w:val="0"/>
          <w:szCs w:val="21"/>
          <w:lang w:bidi="ar"/>
        </w:rPr>
        <w:t>Abbreviations:</w:t>
      </w:r>
      <w:r>
        <w:rPr>
          <w:rFonts w:hint="eastAsia" w:ascii="Times New Roman" w:hAnsi="Times New Roman" w:cs="Times New Roman"/>
          <w:color w:val="000000"/>
          <w:kern w:val="0"/>
          <w:szCs w:val="21"/>
          <w:lang w:bidi="ar"/>
        </w:rPr>
        <w:t xml:space="preserve"> </w:t>
      </w:r>
      <w:r>
        <w:rPr>
          <w:rFonts w:hint="eastAsia" w:ascii="Times New Roman" w:hAnsi="Times New Roman" w:eastAsia="TimesNewRomanPS-BoldMT" w:cs="Times New Roman"/>
          <w:color w:val="000000"/>
          <w:kern w:val="0"/>
          <w:szCs w:val="21"/>
          <w:lang w:bidi="ar"/>
        </w:rPr>
        <w:t>2D,</w:t>
      </w:r>
      <w:r>
        <w:rPr>
          <w:rFonts w:hint="eastAsia" w:ascii="Times New Roman" w:hAnsi="Times New Roman" w:cs="Times New Roman"/>
          <w:color w:val="000000"/>
          <w:kern w:val="0"/>
          <w:szCs w:val="21"/>
          <w:lang w:bidi="ar"/>
        </w:rPr>
        <w:t xml:space="preserve"> </w:t>
      </w:r>
      <w:r>
        <w:rPr>
          <w:rFonts w:hint="eastAsia" w:ascii="Times New Roman" w:hAnsi="Times New Roman" w:eastAsia="TimesNewRomanPS-BoldMT" w:cs="Times New Roman"/>
          <w:color w:val="000000"/>
          <w:kern w:val="0"/>
          <w:szCs w:val="21"/>
          <w:lang w:bidi="ar"/>
        </w:rPr>
        <w:t>two-dimensional; HBV</w:t>
      </w:r>
      <w:r>
        <w:rPr>
          <w:rFonts w:hint="eastAsia" w:ascii="Times New Roman" w:hAnsi="Times New Roman" w:cs="Times New Roman"/>
          <w:color w:val="000000"/>
          <w:kern w:val="0"/>
          <w:szCs w:val="21"/>
          <w:lang w:bidi="ar"/>
        </w:rPr>
        <w:t>,</w:t>
      </w:r>
      <w:r>
        <w:rPr>
          <w:rFonts w:hint="eastAsia" w:ascii="Times New Roman" w:hAnsi="Times New Roman" w:eastAsia="TimesNewRomanPS-BoldMT" w:cs="Times New Roman"/>
          <w:color w:val="000000"/>
          <w:kern w:val="0"/>
          <w:szCs w:val="21"/>
          <w:lang w:bidi="ar"/>
        </w:rPr>
        <w:t xml:space="preserve"> Hepatitis B virus</w:t>
      </w:r>
      <w:r>
        <w:rPr>
          <w:rFonts w:hint="eastAsia" w:ascii="Times New Roman" w:hAnsi="Times New Roman" w:cs="Times New Roman"/>
          <w:color w:val="000000"/>
          <w:kern w:val="0"/>
          <w:szCs w:val="21"/>
          <w:lang w:bidi="ar"/>
        </w:rPr>
        <w:t xml:space="preserve">; </w:t>
      </w:r>
      <w:r>
        <w:rPr>
          <w:rFonts w:hint="eastAsia" w:ascii="Times New Roman" w:hAnsi="Times New Roman" w:eastAsia="TimesNewRomanPS-BoldMT" w:cs="Times New Roman"/>
          <w:color w:val="000000"/>
          <w:kern w:val="0"/>
          <w:szCs w:val="21"/>
          <w:lang w:bidi="ar"/>
        </w:rPr>
        <w:t>SWE, shear wave elastography</w:t>
      </w:r>
      <w:r>
        <w:rPr>
          <w:rFonts w:hint="eastAsia" w:ascii="Times New Roman" w:hAnsi="Times New Roman" w:cs="Times New Roman"/>
          <w:color w:val="000000"/>
          <w:kern w:val="0"/>
          <w:szCs w:val="21"/>
          <w:lang w:bidi="ar"/>
        </w:rPr>
        <w:t>.</w:t>
      </w:r>
    </w:p>
    <w:p w14:paraId="5250F291">
      <w:pPr>
        <w:widowControl/>
        <w:spacing w:line="360" w:lineRule="auto"/>
        <w:jc w:val="left"/>
        <w:rPr>
          <w:rFonts w:ascii="Times New Roman" w:hAnsi="Times New Roman" w:eastAsia="宋体" w:cs="Times New Roman"/>
          <w:color w:val="000000"/>
          <w:kern w:val="0"/>
          <w:szCs w:val="21"/>
          <w:lang w:bidi="ar"/>
        </w:rPr>
      </w:pPr>
    </w:p>
    <w:p w14:paraId="06768543">
      <w:pPr>
        <w:spacing w:line="360" w:lineRule="auto"/>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5039995" cy="1601470"/>
            <wp:effectExtent l="0" t="0" r="8255" b="17780"/>
            <wp:docPr id="2" name="图片 2" descr="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S2"/>
                    <pic:cNvPicPr>
                      <a:picLocks noChangeAspect="1"/>
                    </pic:cNvPicPr>
                  </pic:nvPicPr>
                  <pic:blipFill>
                    <a:blip r:embed="rId7"/>
                    <a:stretch>
                      <a:fillRect/>
                    </a:stretch>
                  </pic:blipFill>
                  <pic:spPr>
                    <a:xfrm>
                      <a:off x="0" y="0"/>
                      <a:ext cx="5039995" cy="1601470"/>
                    </a:xfrm>
                    <a:prstGeom prst="rect">
                      <a:avLst/>
                    </a:prstGeom>
                  </pic:spPr>
                </pic:pic>
              </a:graphicData>
            </a:graphic>
          </wp:inline>
        </w:drawing>
      </w:r>
    </w:p>
    <w:p w14:paraId="0BE313FD">
      <w:pPr>
        <w:spacing w:line="360" w:lineRule="auto"/>
        <w:outlineLvl w:val="1"/>
        <w:rPr>
          <w:rFonts w:ascii="Times New Roman" w:hAnsi="Times New Roman" w:cs="Times New Roman"/>
          <w:b/>
          <w:bCs/>
          <w:sz w:val="24"/>
          <w:szCs w:val="24"/>
        </w:rPr>
      </w:pPr>
      <w:r>
        <w:rPr>
          <w:rFonts w:hint="eastAsia" w:ascii="Times New Roman" w:hAnsi="Times New Roman" w:cs="Times New Roman"/>
          <w:b/>
          <w:bCs/>
          <w:sz w:val="24"/>
          <w:szCs w:val="24"/>
        </w:rPr>
        <w:t>Supplementary Figure S2: Two-dimensional (2D) shear wave elastography (SWE) of the liver and delineation of dual-modality regions of interest (ROIs).</w:t>
      </w:r>
    </w:p>
    <w:p w14:paraId="1C1331C9">
      <w:pPr>
        <w:rPr>
          <w:rFonts w:ascii="Times New Roman" w:hAnsi="Times New Roman" w:cs="Times New Roman"/>
          <w:szCs w:val="21"/>
        </w:rPr>
      </w:pPr>
      <w:r>
        <w:rPr>
          <w:rFonts w:hint="eastAsia" w:ascii="Times New Roman" w:hAnsi="Times New Roman" w:cs="Times New Roman"/>
          <w:szCs w:val="21"/>
        </w:rPr>
        <w:t>(A) Representative 2D SWE imaging. (B) Measurement of hepatic elasticity, with the mean elasticity value derived from the circular Q-box within the elastography box. (C) The SWE ROI (highlighted in red) displays the elastography map configured with a 40 kPa scale, which is spatially co-registered with the corresponding gray-scale ROI (highlighted in green).</w:t>
      </w:r>
    </w:p>
    <w:p w14:paraId="0BD5E811">
      <w:pPr>
        <w:spacing w:line="360" w:lineRule="auto"/>
        <w:rPr>
          <w:rFonts w:ascii="Times New Roman" w:hAnsi="Times New Roman" w:cs="Times New Roman"/>
          <w:szCs w:val="21"/>
        </w:rPr>
      </w:pPr>
    </w:p>
    <w:p w14:paraId="53A38AC9">
      <w:pPr>
        <w:spacing w:line="360" w:lineRule="auto"/>
        <w:rPr>
          <w:rFonts w:ascii="Times New Roman" w:hAnsi="Times New Roman" w:cs="Times New Roman"/>
          <w:szCs w:val="21"/>
        </w:rPr>
      </w:pPr>
      <w:r>
        <w:rPr>
          <w:rFonts w:ascii="Times New Roman" w:hAnsi="Times New Roman" w:cs="Times New Roman"/>
          <w:szCs w:val="21"/>
        </w:rPr>
        <w:drawing>
          <wp:inline distT="0" distB="0" distL="114300" distR="114300">
            <wp:extent cx="5039995" cy="187261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39995" cy="1873043"/>
                    </a:xfrm>
                    <a:prstGeom prst="rect">
                      <a:avLst/>
                    </a:prstGeom>
                  </pic:spPr>
                </pic:pic>
              </a:graphicData>
            </a:graphic>
          </wp:inline>
        </w:drawing>
      </w:r>
    </w:p>
    <w:p w14:paraId="4410310A">
      <w:pPr>
        <w:spacing w:line="360" w:lineRule="auto"/>
        <w:outlineLvl w:val="1"/>
        <w:rPr>
          <w:rFonts w:ascii="Times New Roman" w:hAnsi="Times New Roman" w:cs="Times New Roman"/>
          <w:b/>
          <w:bCs/>
          <w:sz w:val="24"/>
          <w:szCs w:val="24"/>
        </w:rPr>
      </w:pPr>
      <w:bookmarkStart w:id="6" w:name="OLE_LINK23"/>
      <w:r>
        <w:rPr>
          <w:rFonts w:hint="eastAsia" w:ascii="Times New Roman" w:hAnsi="Times New Roman" w:cs="Times New Roman"/>
          <w:b/>
          <w:bCs/>
          <w:sz w:val="24"/>
          <w:szCs w:val="24"/>
        </w:rPr>
        <w:t xml:space="preserve">Supplementary Figure S3: </w:t>
      </w:r>
      <w:bookmarkStart w:id="7" w:name="OLE_LINK24"/>
      <w:r>
        <w:rPr>
          <w:rFonts w:hint="eastAsia" w:ascii="Times New Roman" w:hAnsi="Times New Roman" w:cs="Times New Roman"/>
          <w:b/>
          <w:bCs/>
          <w:sz w:val="24"/>
          <w:szCs w:val="24"/>
        </w:rPr>
        <w:t xml:space="preserve">Time-dependent </w:t>
      </w:r>
      <w:bookmarkEnd w:id="7"/>
      <w:r>
        <w:rPr>
          <w:rFonts w:hint="eastAsia" w:ascii="Times New Roman" w:hAnsi="Times New Roman" w:cs="Times New Roman"/>
          <w:b/>
          <w:bCs/>
          <w:sz w:val="24"/>
          <w:szCs w:val="24"/>
        </w:rPr>
        <w:t>ROC analysis of Hswe based on different numbers of IHH measurements.</w:t>
      </w:r>
    </w:p>
    <w:p w14:paraId="3C361550">
      <w:pPr>
        <w:rPr>
          <w:rFonts w:ascii="Times New Roman" w:hAnsi="Times New Roman" w:cs="Times New Roman"/>
          <w:szCs w:val="21"/>
        </w:rPr>
      </w:pPr>
      <w:r>
        <w:rPr>
          <w:rFonts w:hint="eastAsia" w:ascii="Times New Roman" w:hAnsi="Times New Roman" w:cs="Times New Roman"/>
          <w:szCs w:val="21"/>
        </w:rPr>
        <w:t>Time-dependent ROC curves illustrating the discriminative ability of Hswe calculated from 1, 3, or 5 images in the training (A) and validation (B) cohorts.</w:t>
      </w:r>
    </w:p>
    <w:bookmarkEnd w:id="6"/>
    <w:p w14:paraId="52D42B38">
      <w:pPr>
        <w:wordWrap w:val="0"/>
        <w:spacing w:line="360" w:lineRule="auto"/>
        <w:rPr>
          <w:rFonts w:ascii="Times New Roman" w:hAnsi="Times New Roman" w:cs="Times New Roman"/>
          <w:szCs w:val="21"/>
        </w:rPr>
      </w:pPr>
    </w:p>
    <w:p w14:paraId="01DC7F40">
      <w:pPr>
        <w:wordWrap w:val="0"/>
        <w:spacing w:line="360" w:lineRule="auto"/>
        <w:rPr>
          <w:rFonts w:ascii="Times New Roman" w:hAnsi="Times New Roman" w:cs="Times New Roman"/>
          <w:szCs w:val="21"/>
        </w:rPr>
      </w:pPr>
      <w:r>
        <w:rPr>
          <w:rFonts w:ascii="Times New Roman" w:hAnsi="Times New Roman" w:cs="Times New Roman"/>
          <w:szCs w:val="21"/>
        </w:rPr>
        <w:drawing>
          <wp:inline distT="0" distB="0" distL="114300" distR="114300">
            <wp:extent cx="5039360" cy="28575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39867" cy="2857500"/>
                    </a:xfrm>
                    <a:prstGeom prst="rect">
                      <a:avLst/>
                    </a:prstGeom>
                  </pic:spPr>
                </pic:pic>
              </a:graphicData>
            </a:graphic>
          </wp:inline>
        </w:drawing>
      </w:r>
    </w:p>
    <w:p w14:paraId="030A5DEB">
      <w:pPr>
        <w:spacing w:line="360" w:lineRule="auto"/>
        <w:outlineLvl w:val="1"/>
        <w:rPr>
          <w:rFonts w:ascii="Times New Roman" w:hAnsi="Times New Roman" w:cs="Times New Roman"/>
          <w:b/>
          <w:bCs/>
          <w:sz w:val="24"/>
          <w:szCs w:val="24"/>
        </w:rPr>
      </w:pPr>
      <w:r>
        <w:rPr>
          <w:rFonts w:hint="eastAsia" w:ascii="Times New Roman" w:hAnsi="Times New Roman" w:cs="Times New Roman"/>
          <w:b/>
          <w:bCs/>
          <w:sz w:val="24"/>
          <w:szCs w:val="24"/>
        </w:rPr>
        <w:t xml:space="preserve">Supplementary Figure S4: Time-dependent </w:t>
      </w:r>
      <w:r>
        <w:rPr>
          <w:rFonts w:ascii="Times New Roman" w:hAnsi="Times New Roman" w:cs="Times New Roman"/>
          <w:b/>
          <w:bCs/>
          <w:sz w:val="24"/>
          <w:szCs w:val="24"/>
        </w:rPr>
        <w:t>ROC curves of</w:t>
      </w:r>
      <w:r>
        <w:rPr>
          <w:rFonts w:hint="eastAsia" w:ascii="Times New Roman" w:hAnsi="Times New Roman" w:cs="Times New Roman"/>
          <w:b/>
          <w:bCs/>
          <w:sz w:val="24"/>
          <w:szCs w:val="24"/>
        </w:rPr>
        <w:t xml:space="preserve"> the </w:t>
      </w:r>
      <w:r>
        <w:rPr>
          <w:rFonts w:ascii="Times New Roman" w:hAnsi="Times New Roman" w:cs="Times New Roman"/>
          <w:b/>
          <w:bCs/>
          <w:sz w:val="24"/>
          <w:szCs w:val="24"/>
        </w:rPr>
        <w:t>prognostic models</w:t>
      </w:r>
      <w:r>
        <w:rPr>
          <w:rFonts w:hint="eastAsia" w:ascii="Times New Roman" w:hAnsi="Times New Roman" w:cs="Times New Roman"/>
          <w:b/>
          <w:bCs/>
          <w:sz w:val="24"/>
          <w:szCs w:val="24"/>
        </w:rPr>
        <w:t>.</w:t>
      </w:r>
    </w:p>
    <w:p w14:paraId="476A55A0">
      <w:pPr>
        <w:pStyle w:val="14"/>
        <w:widowControl/>
        <w:wordWrap w:val="0"/>
        <w:spacing w:beforeAutospacing="0" w:afterAutospacing="0"/>
        <w:rPr>
          <w:rFonts w:ascii="Times New Roman" w:hAnsi="Times New Roman"/>
          <w:color w:val="000000"/>
          <w:sz w:val="21"/>
          <w:szCs w:val="21"/>
          <w:lang w:bidi="ar"/>
        </w:rPr>
      </w:pPr>
      <w:r>
        <w:rPr>
          <w:rFonts w:hint="eastAsia" w:ascii="Times New Roman" w:hAnsi="Times New Roman"/>
          <w:kern w:val="2"/>
          <w:sz w:val="21"/>
          <w:szCs w:val="21"/>
        </w:rPr>
        <w:t>The predictive discrimination across 1 to 5 years in the training and validation cohorts forthe following models: (A) Hgray, (B) Rswe, (C) Rgray, (D) SWE, (E) Clinical model, and (F) MELD.</w:t>
      </w:r>
      <w:r>
        <w:rPr>
          <w:rFonts w:hint="eastAsia" w:ascii="Times New Roman" w:hAnsi="Times New Roman"/>
          <w:sz w:val="21"/>
          <w:szCs w:val="21"/>
        </w:rPr>
        <w:t xml:space="preserve"> </w:t>
      </w:r>
      <w:r>
        <w:rPr>
          <w:rFonts w:hint="eastAsia" w:ascii="Times New Roman" w:hAnsi="Times New Roman" w:eastAsia="TimesNewRomanPS-BoldMT"/>
          <w:color w:val="000000"/>
          <w:sz w:val="21"/>
          <w:szCs w:val="21"/>
          <w:lang w:bidi="ar"/>
        </w:rPr>
        <w:t>Abbreviations: MELD, model for end-stage liver disease; SWE, shear wave elastography.</w:t>
      </w:r>
    </w:p>
    <w:p w14:paraId="63432266">
      <w:pPr>
        <w:pStyle w:val="14"/>
        <w:widowControl/>
        <w:wordWrap w:val="0"/>
        <w:spacing w:beforeAutospacing="0" w:afterAutospacing="0"/>
        <w:rPr>
          <w:rFonts w:hint="eastAsia" w:ascii="Times New Roman" w:hAnsi="Times New Roman"/>
          <w:sz w:val="21"/>
          <w:szCs w:val="21"/>
        </w:rPr>
      </w:pPr>
    </w:p>
    <w:p w14:paraId="5563B94F">
      <w:pPr>
        <w:wordWrap w:val="0"/>
        <w:spacing w:line="360" w:lineRule="auto"/>
        <w:rPr>
          <w:rFonts w:ascii="Times New Roman" w:hAnsi="Times New Roman" w:cs="Times New Roman"/>
          <w:szCs w:val="21"/>
        </w:rPr>
      </w:pPr>
      <w:r>
        <w:rPr>
          <w:rFonts w:ascii="Times New Roman" w:hAnsi="Times New Roman" w:cs="Times New Roman"/>
          <w:szCs w:val="21"/>
        </w:rPr>
        <w:drawing>
          <wp:inline distT="0" distB="0" distL="114300" distR="114300">
            <wp:extent cx="5039995" cy="4611370"/>
            <wp:effectExtent l="0" t="0" r="8255" b="0"/>
            <wp:docPr id="5" name="图片 5" descr="Figur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S5"/>
                    <pic:cNvPicPr>
                      <a:picLocks noChangeAspect="1"/>
                    </pic:cNvPicPr>
                  </pic:nvPicPr>
                  <pic:blipFill>
                    <a:blip r:embed="rId10"/>
                    <a:stretch>
                      <a:fillRect/>
                    </a:stretch>
                  </pic:blipFill>
                  <pic:spPr>
                    <a:xfrm>
                      <a:off x="0" y="0"/>
                      <a:ext cx="5040000" cy="4611748"/>
                    </a:xfrm>
                    <a:prstGeom prst="rect">
                      <a:avLst/>
                    </a:prstGeom>
                  </pic:spPr>
                </pic:pic>
              </a:graphicData>
            </a:graphic>
          </wp:inline>
        </w:drawing>
      </w:r>
    </w:p>
    <w:p w14:paraId="6DC8F1E6">
      <w:pPr>
        <w:spacing w:line="360" w:lineRule="auto"/>
        <w:outlineLvl w:val="1"/>
        <w:rPr>
          <w:rFonts w:ascii="Times New Roman" w:hAnsi="Times New Roman" w:cs="Times New Roman"/>
          <w:b/>
          <w:bCs/>
          <w:sz w:val="24"/>
          <w:szCs w:val="24"/>
        </w:rPr>
      </w:pPr>
      <w:r>
        <w:rPr>
          <w:rFonts w:hint="eastAsia" w:ascii="Times New Roman" w:hAnsi="Times New Roman" w:cs="Times New Roman"/>
          <w:b/>
          <w:bCs/>
          <w:sz w:val="24"/>
          <w:szCs w:val="24"/>
        </w:rPr>
        <w:t>Supplementary Figure S5: SHAP analysis illustrating feature importance and directional impact within the multimodal model.</w:t>
      </w:r>
    </w:p>
    <w:p w14:paraId="0E178625">
      <w:pPr>
        <w:pStyle w:val="14"/>
        <w:widowControl/>
        <w:wordWrap w:val="0"/>
        <w:spacing w:beforeAutospacing="0" w:afterAutospacing="0"/>
        <w:rPr>
          <w:rFonts w:ascii="Times New Roman" w:hAnsi="Times New Roman"/>
          <w:sz w:val="21"/>
          <w:szCs w:val="21"/>
        </w:rPr>
      </w:pPr>
      <w:r>
        <w:rPr>
          <w:rFonts w:hint="eastAsia" w:ascii="Times New Roman" w:hAnsi="Times New Roman"/>
          <w:kern w:val="2"/>
          <w:sz w:val="21"/>
          <w:szCs w:val="21"/>
        </w:rPr>
        <w:t xml:space="preserve">(A) Bar plot ranking the predictive features by their mean absolute SHAP values, demonstrating global feature importance. (B) Beeswarm plot detailing the impact of individual feature values on the model's prediction. The color scale (blue to red) corresponds to the feature value (low to high), revealing how specific values drive the model output. </w:t>
      </w:r>
      <w:r>
        <w:rPr>
          <w:rFonts w:hint="eastAsia" w:ascii="Times New Roman" w:hAnsi="Times New Roman" w:eastAsia="TimesNewRomanPS-BoldMT"/>
          <w:color w:val="000000"/>
          <w:sz w:val="21"/>
          <w:szCs w:val="21"/>
          <w:lang w:bidi="ar"/>
        </w:rPr>
        <w:t>Abbreviation: SWE, shear wave elastography.</w:t>
      </w:r>
    </w:p>
    <w:p w14:paraId="2A0D72B9">
      <w:pPr>
        <w:widowControl/>
        <w:jc w:val="left"/>
        <w:rPr>
          <w:rFonts w:ascii="Times New Roman" w:hAnsi="Times New Roman" w:eastAsia="宋体" w:cs="Times New Roman"/>
          <w:szCs w:val="21"/>
        </w:rPr>
        <w:sectPr>
          <w:footerReference r:id="rId3" w:type="default"/>
          <w:pgSz w:w="11906" w:h="16838"/>
          <w:pgMar w:top="1440" w:right="1800" w:bottom="1440" w:left="1800" w:header="851" w:footer="992" w:gutter="0"/>
          <w:cols w:space="425" w:num="1"/>
          <w:docGrid w:type="lines" w:linePitch="312" w:charSpace="0"/>
        </w:sectPr>
      </w:pPr>
    </w:p>
    <w:p w14:paraId="52F99088">
      <w:pPr>
        <w:wordWrap w:val="0"/>
        <w:spacing w:line="360" w:lineRule="auto"/>
        <w:rPr>
          <w:rFonts w:ascii="Times New Roman" w:hAnsi="Times New Roman" w:eastAsia="宋体" w:cs="Times New Roman"/>
          <w:szCs w:val="21"/>
        </w:rPr>
      </w:pPr>
    </w:p>
    <w:p w14:paraId="04FFA6ED">
      <w:pPr>
        <w:spacing w:line="360" w:lineRule="auto"/>
        <w:outlineLvl w:val="1"/>
        <w:rPr>
          <w:rFonts w:ascii="Times New Roman" w:hAnsi="Times New Roman" w:cs="Times New Roman"/>
          <w:b/>
          <w:bCs/>
          <w:sz w:val="24"/>
          <w:szCs w:val="24"/>
        </w:rPr>
      </w:pPr>
      <w:r>
        <w:rPr>
          <w:rFonts w:hint="eastAsia" w:ascii="Times New Roman" w:hAnsi="Times New Roman" w:cs="Times New Roman"/>
          <w:b/>
          <w:bCs/>
          <w:sz w:val="24"/>
          <w:szCs w:val="24"/>
        </w:rPr>
        <w:t>Table S1: Baseline characteristics of patients stratified by clinical outcomes.</w:t>
      </w:r>
      <w:r>
        <w:rPr>
          <w:rFonts w:ascii="Times New Roman" w:hAnsi="Times New Roman" w:cs="Times New Roman"/>
          <w:b/>
          <w:bCs/>
          <w:sz w:val="24"/>
          <w:szCs w:val="24"/>
        </w:rPr>
        <w:t xml:space="preserve"> </w:t>
      </w:r>
    </w:p>
    <w:tbl>
      <w:tblPr>
        <w:tblStyle w:val="16"/>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80"/>
        <w:gridCol w:w="2230"/>
        <w:gridCol w:w="2230"/>
        <w:gridCol w:w="932"/>
        <w:gridCol w:w="2230"/>
        <w:gridCol w:w="2231"/>
        <w:gridCol w:w="925"/>
      </w:tblGrid>
      <w:tr w14:paraId="5A988E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445D1538">
            <w:pPr>
              <w:widowControl/>
              <w:jc w:val="left"/>
              <w:rPr>
                <w:rFonts w:ascii="Times New Roman" w:hAnsi="Times New Roman" w:eastAsia="Times New Roman" w:cs="Times New Roman"/>
                <w:kern w:val="0"/>
                <w:szCs w:val="21"/>
              </w:rPr>
            </w:pPr>
          </w:p>
        </w:tc>
        <w:tc>
          <w:tcPr>
            <w:tcW w:w="1932" w:type="pct"/>
            <w:gridSpan w:val="3"/>
            <w:tcBorders>
              <w:top w:val="single" w:color="auto" w:sz="12" w:space="0"/>
              <w:bottom w:val="single" w:color="auto" w:sz="6" w:space="0"/>
            </w:tcBorders>
            <w:noWrap/>
            <w:vAlign w:val="center"/>
          </w:tcPr>
          <w:p w14:paraId="4203CCE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Training cohort</w:t>
            </w:r>
          </w:p>
        </w:tc>
        <w:tc>
          <w:tcPr>
            <w:tcW w:w="1930" w:type="pct"/>
            <w:gridSpan w:val="3"/>
            <w:tcBorders>
              <w:top w:val="single" w:color="auto" w:sz="12" w:space="0"/>
              <w:bottom w:val="single" w:color="auto" w:sz="6" w:space="0"/>
            </w:tcBorders>
            <w:noWrap/>
            <w:vAlign w:val="center"/>
          </w:tcPr>
          <w:p w14:paraId="26D87F4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Validation cohort</w:t>
            </w:r>
          </w:p>
        </w:tc>
      </w:tr>
      <w:tr w14:paraId="6056ECD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tcBorders>
              <w:bottom w:val="single" w:color="auto" w:sz="6" w:space="0"/>
            </w:tcBorders>
            <w:noWrap/>
            <w:vAlign w:val="center"/>
          </w:tcPr>
          <w:p w14:paraId="299DDE0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Characteristic</w:t>
            </w:r>
          </w:p>
        </w:tc>
        <w:tc>
          <w:tcPr>
            <w:tcW w:w="799" w:type="pct"/>
            <w:tcBorders>
              <w:top w:val="single" w:color="auto" w:sz="6" w:space="0"/>
              <w:bottom w:val="single" w:color="auto" w:sz="6" w:space="0"/>
            </w:tcBorders>
            <w:noWrap/>
            <w:vAlign w:val="center"/>
          </w:tcPr>
          <w:p w14:paraId="285C2709">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Survivors (n = 72)</w:t>
            </w:r>
          </w:p>
        </w:tc>
        <w:tc>
          <w:tcPr>
            <w:tcW w:w="799" w:type="pct"/>
            <w:tcBorders>
              <w:top w:val="single" w:color="auto" w:sz="6" w:space="0"/>
              <w:bottom w:val="single" w:color="auto" w:sz="6" w:space="0"/>
            </w:tcBorders>
            <w:noWrap/>
            <w:vAlign w:val="center"/>
          </w:tcPr>
          <w:p w14:paraId="72525258">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Non-Survivors (n = 72)</w:t>
            </w:r>
          </w:p>
        </w:tc>
        <w:tc>
          <w:tcPr>
            <w:tcW w:w="334" w:type="pct"/>
            <w:tcBorders>
              <w:top w:val="single" w:color="auto" w:sz="6" w:space="0"/>
              <w:bottom w:val="single" w:color="auto" w:sz="6" w:space="0"/>
            </w:tcBorders>
            <w:noWrap/>
            <w:vAlign w:val="center"/>
          </w:tcPr>
          <w:p w14:paraId="5B2DDE26">
            <w:pPr>
              <w:widowControl/>
              <w:jc w:val="center"/>
              <w:rPr>
                <w:rFonts w:ascii="Times New Roman" w:hAnsi="Times New Roman" w:eastAsia="等线" w:cs="Times New Roman"/>
                <w:color w:val="000000"/>
                <w:kern w:val="0"/>
                <w:szCs w:val="21"/>
              </w:rPr>
            </w:pPr>
            <w:r>
              <w:rPr>
                <w:rFonts w:ascii="Times New Roman" w:hAnsi="Times New Roman" w:eastAsia="等线" w:cs="Times New Roman"/>
                <w:i/>
                <w:iCs/>
                <w:color w:val="000000"/>
                <w:kern w:val="0"/>
                <w:szCs w:val="21"/>
              </w:rPr>
              <w:t>p</w:t>
            </w:r>
            <w:r>
              <w:rPr>
                <w:rFonts w:ascii="Times New Roman" w:hAnsi="Times New Roman" w:eastAsia="等线" w:cs="Times New Roman"/>
                <w:color w:val="000000"/>
                <w:kern w:val="0"/>
                <w:szCs w:val="21"/>
              </w:rPr>
              <w:t xml:space="preserve"> value</w:t>
            </w:r>
          </w:p>
        </w:tc>
        <w:tc>
          <w:tcPr>
            <w:tcW w:w="799" w:type="pct"/>
            <w:tcBorders>
              <w:top w:val="single" w:color="auto" w:sz="6" w:space="0"/>
              <w:bottom w:val="single" w:color="auto" w:sz="6" w:space="0"/>
            </w:tcBorders>
            <w:noWrap/>
            <w:vAlign w:val="center"/>
          </w:tcPr>
          <w:p w14:paraId="09B02C1A">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Survivors (n = 46)</w:t>
            </w:r>
          </w:p>
        </w:tc>
        <w:tc>
          <w:tcPr>
            <w:tcW w:w="799" w:type="pct"/>
            <w:tcBorders>
              <w:top w:val="single" w:color="auto" w:sz="6" w:space="0"/>
              <w:bottom w:val="single" w:color="auto" w:sz="6" w:space="0"/>
            </w:tcBorders>
            <w:noWrap/>
            <w:vAlign w:val="center"/>
          </w:tcPr>
          <w:p w14:paraId="4698A22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Non-Survivors (n = 49)</w:t>
            </w:r>
          </w:p>
        </w:tc>
        <w:tc>
          <w:tcPr>
            <w:tcW w:w="332" w:type="pct"/>
            <w:tcBorders>
              <w:top w:val="single" w:color="auto" w:sz="6" w:space="0"/>
              <w:bottom w:val="single" w:color="auto" w:sz="6" w:space="0"/>
            </w:tcBorders>
            <w:noWrap/>
            <w:vAlign w:val="center"/>
          </w:tcPr>
          <w:p w14:paraId="6892BC83">
            <w:pPr>
              <w:widowControl/>
              <w:jc w:val="center"/>
              <w:rPr>
                <w:rFonts w:ascii="Times New Roman" w:hAnsi="Times New Roman" w:eastAsia="等线" w:cs="Times New Roman"/>
                <w:color w:val="000000"/>
                <w:kern w:val="0"/>
                <w:szCs w:val="21"/>
              </w:rPr>
            </w:pPr>
            <w:r>
              <w:rPr>
                <w:rFonts w:ascii="Times New Roman" w:hAnsi="Times New Roman" w:eastAsia="等线" w:cs="Times New Roman"/>
                <w:i/>
                <w:iCs/>
                <w:color w:val="000000"/>
                <w:kern w:val="0"/>
                <w:szCs w:val="21"/>
              </w:rPr>
              <w:t>p</w:t>
            </w:r>
            <w:r>
              <w:rPr>
                <w:rFonts w:ascii="Times New Roman" w:hAnsi="Times New Roman" w:eastAsia="等线" w:cs="Times New Roman"/>
                <w:color w:val="000000"/>
                <w:kern w:val="0"/>
                <w:szCs w:val="21"/>
              </w:rPr>
              <w:t xml:space="preserve"> value</w:t>
            </w:r>
          </w:p>
        </w:tc>
      </w:tr>
      <w:tr w14:paraId="5763843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tcBorders>
              <w:top w:val="single" w:color="auto" w:sz="6" w:space="0"/>
            </w:tcBorders>
            <w:noWrap/>
            <w:vAlign w:val="center"/>
          </w:tcPr>
          <w:p w14:paraId="01C7F81A">
            <w:pPr>
              <w:widowControl/>
              <w:jc w:val="left"/>
              <w:rPr>
                <w:rFonts w:ascii="Times New Roman" w:hAnsi="Times New Roman" w:eastAsia="等线" w:cs="Times New Roman"/>
                <w:b/>
                <w:bCs/>
                <w:color w:val="000000"/>
                <w:kern w:val="0"/>
                <w:szCs w:val="21"/>
              </w:rPr>
            </w:pPr>
            <w:r>
              <w:rPr>
                <w:rFonts w:ascii="Times New Roman" w:hAnsi="Times New Roman" w:eastAsia="等线" w:cs="Times New Roman"/>
                <w:b/>
                <w:bCs/>
                <w:color w:val="000000"/>
                <w:kern w:val="0"/>
                <w:szCs w:val="21"/>
              </w:rPr>
              <w:t>Demographic data</w:t>
            </w:r>
          </w:p>
        </w:tc>
        <w:tc>
          <w:tcPr>
            <w:tcW w:w="799" w:type="pct"/>
            <w:tcBorders>
              <w:top w:val="single" w:color="auto" w:sz="6" w:space="0"/>
            </w:tcBorders>
            <w:noWrap/>
            <w:vAlign w:val="center"/>
          </w:tcPr>
          <w:p w14:paraId="6F85BFAE">
            <w:pPr>
              <w:widowControl/>
              <w:jc w:val="left"/>
              <w:rPr>
                <w:rFonts w:ascii="Times New Roman" w:hAnsi="Times New Roman" w:eastAsia="等线" w:cs="Times New Roman"/>
                <w:b/>
                <w:bCs/>
                <w:color w:val="000000"/>
                <w:kern w:val="0"/>
                <w:szCs w:val="21"/>
              </w:rPr>
            </w:pPr>
          </w:p>
        </w:tc>
        <w:tc>
          <w:tcPr>
            <w:tcW w:w="799" w:type="pct"/>
            <w:tcBorders>
              <w:top w:val="single" w:color="auto" w:sz="6" w:space="0"/>
            </w:tcBorders>
            <w:noWrap/>
            <w:vAlign w:val="center"/>
          </w:tcPr>
          <w:p w14:paraId="791765EE">
            <w:pPr>
              <w:widowControl/>
              <w:jc w:val="left"/>
              <w:rPr>
                <w:rFonts w:ascii="Times New Roman" w:hAnsi="Times New Roman" w:eastAsia="Times New Roman" w:cs="Times New Roman"/>
                <w:kern w:val="0"/>
                <w:szCs w:val="21"/>
              </w:rPr>
            </w:pPr>
          </w:p>
        </w:tc>
        <w:tc>
          <w:tcPr>
            <w:tcW w:w="334" w:type="pct"/>
            <w:tcBorders>
              <w:top w:val="single" w:color="auto" w:sz="6" w:space="0"/>
            </w:tcBorders>
            <w:noWrap/>
            <w:vAlign w:val="center"/>
          </w:tcPr>
          <w:p w14:paraId="11AE45A3">
            <w:pPr>
              <w:widowControl/>
              <w:jc w:val="left"/>
              <w:rPr>
                <w:rFonts w:ascii="Times New Roman" w:hAnsi="Times New Roman" w:eastAsia="Times New Roman" w:cs="Times New Roman"/>
                <w:kern w:val="0"/>
                <w:szCs w:val="21"/>
              </w:rPr>
            </w:pPr>
          </w:p>
        </w:tc>
        <w:tc>
          <w:tcPr>
            <w:tcW w:w="799" w:type="pct"/>
            <w:tcBorders>
              <w:top w:val="single" w:color="auto" w:sz="6" w:space="0"/>
            </w:tcBorders>
            <w:noWrap/>
            <w:vAlign w:val="center"/>
          </w:tcPr>
          <w:p w14:paraId="65B24086">
            <w:pPr>
              <w:widowControl/>
              <w:jc w:val="center"/>
              <w:rPr>
                <w:rFonts w:ascii="Times New Roman" w:hAnsi="Times New Roman" w:eastAsia="Times New Roman" w:cs="Times New Roman"/>
                <w:kern w:val="0"/>
                <w:szCs w:val="21"/>
              </w:rPr>
            </w:pPr>
          </w:p>
        </w:tc>
        <w:tc>
          <w:tcPr>
            <w:tcW w:w="799" w:type="pct"/>
            <w:tcBorders>
              <w:top w:val="single" w:color="auto" w:sz="6" w:space="0"/>
            </w:tcBorders>
            <w:noWrap/>
            <w:vAlign w:val="center"/>
          </w:tcPr>
          <w:p w14:paraId="02624B5F">
            <w:pPr>
              <w:widowControl/>
              <w:jc w:val="left"/>
              <w:rPr>
                <w:rFonts w:ascii="Times New Roman" w:hAnsi="Times New Roman" w:eastAsia="Times New Roman" w:cs="Times New Roman"/>
                <w:kern w:val="0"/>
                <w:szCs w:val="21"/>
              </w:rPr>
            </w:pPr>
          </w:p>
        </w:tc>
        <w:tc>
          <w:tcPr>
            <w:tcW w:w="332" w:type="pct"/>
            <w:tcBorders>
              <w:top w:val="single" w:color="auto" w:sz="6" w:space="0"/>
            </w:tcBorders>
            <w:noWrap/>
            <w:vAlign w:val="center"/>
          </w:tcPr>
          <w:p w14:paraId="0FF22433">
            <w:pPr>
              <w:widowControl/>
              <w:jc w:val="left"/>
              <w:rPr>
                <w:rFonts w:ascii="Times New Roman" w:hAnsi="Times New Roman" w:eastAsia="Times New Roman" w:cs="Times New Roman"/>
                <w:kern w:val="0"/>
                <w:szCs w:val="21"/>
              </w:rPr>
            </w:pPr>
          </w:p>
        </w:tc>
      </w:tr>
      <w:tr w14:paraId="330DD92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1FD3C14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Age (years)</w:t>
            </w:r>
          </w:p>
        </w:tc>
        <w:tc>
          <w:tcPr>
            <w:tcW w:w="799" w:type="pct"/>
            <w:noWrap/>
            <w:vAlign w:val="center"/>
          </w:tcPr>
          <w:p w14:paraId="19AA29A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52.00 (45.00-60.00)</w:t>
            </w:r>
          </w:p>
        </w:tc>
        <w:tc>
          <w:tcPr>
            <w:tcW w:w="799" w:type="pct"/>
            <w:noWrap/>
            <w:vAlign w:val="center"/>
          </w:tcPr>
          <w:p w14:paraId="300C4D8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57.00 (49.00-63.50)</w:t>
            </w:r>
          </w:p>
        </w:tc>
        <w:tc>
          <w:tcPr>
            <w:tcW w:w="334" w:type="pct"/>
            <w:noWrap/>
            <w:vAlign w:val="center"/>
          </w:tcPr>
          <w:p w14:paraId="6307CCF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0.023 </w:t>
            </w:r>
          </w:p>
        </w:tc>
        <w:tc>
          <w:tcPr>
            <w:tcW w:w="799" w:type="pct"/>
            <w:noWrap/>
            <w:vAlign w:val="center"/>
          </w:tcPr>
          <w:p w14:paraId="3D4E5EF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51.50 (45.00-58.75)</w:t>
            </w:r>
          </w:p>
        </w:tc>
        <w:tc>
          <w:tcPr>
            <w:tcW w:w="799" w:type="pct"/>
            <w:noWrap/>
            <w:vAlign w:val="center"/>
          </w:tcPr>
          <w:p w14:paraId="029F1284">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55.00 (47.00-61.00)</w:t>
            </w:r>
          </w:p>
        </w:tc>
        <w:tc>
          <w:tcPr>
            <w:tcW w:w="332" w:type="pct"/>
            <w:noWrap/>
            <w:vAlign w:val="center"/>
          </w:tcPr>
          <w:p w14:paraId="2B95F61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0.299 </w:t>
            </w:r>
          </w:p>
        </w:tc>
      </w:tr>
      <w:tr w14:paraId="10E257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355051A9">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Gender (female), n (%)</w:t>
            </w:r>
          </w:p>
        </w:tc>
        <w:tc>
          <w:tcPr>
            <w:tcW w:w="799" w:type="pct"/>
            <w:noWrap/>
            <w:vAlign w:val="center"/>
          </w:tcPr>
          <w:p w14:paraId="6559857A">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24 (33.3)</w:t>
            </w:r>
          </w:p>
        </w:tc>
        <w:tc>
          <w:tcPr>
            <w:tcW w:w="799" w:type="pct"/>
            <w:noWrap/>
            <w:vAlign w:val="center"/>
          </w:tcPr>
          <w:p w14:paraId="3662854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 (23.6)</w:t>
            </w:r>
          </w:p>
        </w:tc>
        <w:tc>
          <w:tcPr>
            <w:tcW w:w="334" w:type="pct"/>
            <w:noWrap/>
            <w:vAlign w:val="center"/>
          </w:tcPr>
          <w:p w14:paraId="7CA05E4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0.196 </w:t>
            </w:r>
          </w:p>
        </w:tc>
        <w:tc>
          <w:tcPr>
            <w:tcW w:w="799" w:type="pct"/>
            <w:noWrap/>
            <w:vAlign w:val="center"/>
          </w:tcPr>
          <w:p w14:paraId="2F4D569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 (17.4)</w:t>
            </w:r>
          </w:p>
        </w:tc>
        <w:tc>
          <w:tcPr>
            <w:tcW w:w="799" w:type="pct"/>
            <w:noWrap/>
            <w:vAlign w:val="center"/>
          </w:tcPr>
          <w:p w14:paraId="4500548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 (18.4)</w:t>
            </w:r>
          </w:p>
        </w:tc>
        <w:tc>
          <w:tcPr>
            <w:tcW w:w="332" w:type="pct"/>
            <w:noWrap/>
            <w:vAlign w:val="center"/>
          </w:tcPr>
          <w:p w14:paraId="38B8495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0.901 </w:t>
            </w:r>
          </w:p>
        </w:tc>
      </w:tr>
      <w:tr w14:paraId="4EBA2E9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56388CD4">
            <w:pPr>
              <w:widowControl/>
              <w:jc w:val="left"/>
              <w:rPr>
                <w:rFonts w:ascii="Times New Roman" w:hAnsi="Times New Roman" w:eastAsia="等线" w:cs="Times New Roman"/>
                <w:b/>
                <w:bCs/>
                <w:color w:val="000000"/>
                <w:kern w:val="0"/>
                <w:szCs w:val="21"/>
              </w:rPr>
            </w:pPr>
            <w:r>
              <w:rPr>
                <w:rFonts w:ascii="Times New Roman" w:hAnsi="Times New Roman" w:eastAsia="等线" w:cs="Times New Roman"/>
                <w:b/>
                <w:bCs/>
                <w:color w:val="000000"/>
                <w:kern w:val="0"/>
                <w:szCs w:val="21"/>
              </w:rPr>
              <w:t>Clinical data</w:t>
            </w:r>
          </w:p>
        </w:tc>
        <w:tc>
          <w:tcPr>
            <w:tcW w:w="799" w:type="pct"/>
            <w:noWrap/>
            <w:vAlign w:val="center"/>
          </w:tcPr>
          <w:p w14:paraId="527F9587">
            <w:pPr>
              <w:widowControl/>
              <w:jc w:val="left"/>
              <w:rPr>
                <w:rFonts w:ascii="Times New Roman" w:hAnsi="Times New Roman" w:eastAsia="等线" w:cs="Times New Roman"/>
                <w:b/>
                <w:bCs/>
                <w:color w:val="000000"/>
                <w:kern w:val="0"/>
                <w:szCs w:val="21"/>
              </w:rPr>
            </w:pPr>
          </w:p>
        </w:tc>
        <w:tc>
          <w:tcPr>
            <w:tcW w:w="799" w:type="pct"/>
            <w:noWrap/>
            <w:vAlign w:val="center"/>
          </w:tcPr>
          <w:p w14:paraId="03984732">
            <w:pPr>
              <w:widowControl/>
              <w:jc w:val="left"/>
              <w:rPr>
                <w:rFonts w:ascii="Times New Roman" w:hAnsi="Times New Roman" w:eastAsia="Times New Roman" w:cs="Times New Roman"/>
                <w:kern w:val="0"/>
                <w:szCs w:val="21"/>
              </w:rPr>
            </w:pPr>
          </w:p>
        </w:tc>
        <w:tc>
          <w:tcPr>
            <w:tcW w:w="334" w:type="pct"/>
            <w:noWrap/>
            <w:vAlign w:val="center"/>
          </w:tcPr>
          <w:p w14:paraId="03EFF2E7">
            <w:pPr>
              <w:widowControl/>
              <w:jc w:val="left"/>
              <w:rPr>
                <w:rFonts w:ascii="Times New Roman" w:hAnsi="Times New Roman" w:eastAsia="Times New Roman" w:cs="Times New Roman"/>
                <w:kern w:val="0"/>
                <w:szCs w:val="21"/>
              </w:rPr>
            </w:pPr>
          </w:p>
        </w:tc>
        <w:tc>
          <w:tcPr>
            <w:tcW w:w="799" w:type="pct"/>
            <w:noWrap/>
            <w:vAlign w:val="center"/>
          </w:tcPr>
          <w:p w14:paraId="27464210">
            <w:pPr>
              <w:widowControl/>
              <w:jc w:val="center"/>
              <w:rPr>
                <w:rFonts w:ascii="Times New Roman" w:hAnsi="Times New Roman" w:eastAsia="Times New Roman" w:cs="Times New Roman"/>
                <w:kern w:val="0"/>
                <w:szCs w:val="21"/>
              </w:rPr>
            </w:pPr>
          </w:p>
        </w:tc>
        <w:tc>
          <w:tcPr>
            <w:tcW w:w="799" w:type="pct"/>
            <w:noWrap/>
            <w:vAlign w:val="center"/>
          </w:tcPr>
          <w:p w14:paraId="4D6137DA">
            <w:pPr>
              <w:widowControl/>
              <w:jc w:val="left"/>
              <w:rPr>
                <w:rFonts w:ascii="Times New Roman" w:hAnsi="Times New Roman" w:eastAsia="Times New Roman" w:cs="Times New Roman"/>
                <w:kern w:val="0"/>
                <w:szCs w:val="21"/>
              </w:rPr>
            </w:pPr>
          </w:p>
        </w:tc>
        <w:tc>
          <w:tcPr>
            <w:tcW w:w="332" w:type="pct"/>
            <w:noWrap/>
            <w:vAlign w:val="center"/>
          </w:tcPr>
          <w:p w14:paraId="25A89072">
            <w:pPr>
              <w:widowControl/>
              <w:jc w:val="left"/>
              <w:rPr>
                <w:rFonts w:ascii="Times New Roman" w:hAnsi="Times New Roman" w:eastAsia="Times New Roman" w:cs="Times New Roman"/>
                <w:kern w:val="0"/>
                <w:szCs w:val="21"/>
              </w:rPr>
            </w:pPr>
          </w:p>
        </w:tc>
      </w:tr>
      <w:tr w14:paraId="5FD6CB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579B4EF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MBP (mmHg)</w:t>
            </w:r>
          </w:p>
        </w:tc>
        <w:tc>
          <w:tcPr>
            <w:tcW w:w="799" w:type="pct"/>
            <w:noWrap/>
            <w:vAlign w:val="center"/>
          </w:tcPr>
          <w:p w14:paraId="7C32602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88.00 (80.25-96.92)</w:t>
            </w:r>
          </w:p>
        </w:tc>
        <w:tc>
          <w:tcPr>
            <w:tcW w:w="799" w:type="pct"/>
            <w:noWrap/>
            <w:vAlign w:val="center"/>
          </w:tcPr>
          <w:p w14:paraId="33A0B2D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86.50 (80.00-94.78)</w:t>
            </w:r>
          </w:p>
        </w:tc>
        <w:tc>
          <w:tcPr>
            <w:tcW w:w="334" w:type="pct"/>
            <w:noWrap/>
            <w:vAlign w:val="center"/>
          </w:tcPr>
          <w:p w14:paraId="36FA55F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0.558 </w:t>
            </w:r>
          </w:p>
        </w:tc>
        <w:tc>
          <w:tcPr>
            <w:tcW w:w="799" w:type="pct"/>
            <w:noWrap/>
            <w:vAlign w:val="center"/>
          </w:tcPr>
          <w:p w14:paraId="3CC1FAB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92.00 (82.00-99.33)</w:t>
            </w:r>
          </w:p>
        </w:tc>
        <w:tc>
          <w:tcPr>
            <w:tcW w:w="799" w:type="pct"/>
            <w:noWrap/>
            <w:vAlign w:val="center"/>
          </w:tcPr>
          <w:p w14:paraId="78BB371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86.33 (74.00-93.33)</w:t>
            </w:r>
          </w:p>
        </w:tc>
        <w:tc>
          <w:tcPr>
            <w:tcW w:w="332" w:type="pct"/>
            <w:noWrap/>
            <w:vAlign w:val="center"/>
          </w:tcPr>
          <w:p w14:paraId="413D183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0.114 </w:t>
            </w:r>
          </w:p>
        </w:tc>
      </w:tr>
      <w:tr w14:paraId="31EC4A3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4E5A03A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Ascites, n (%)</w:t>
            </w:r>
          </w:p>
        </w:tc>
        <w:tc>
          <w:tcPr>
            <w:tcW w:w="799" w:type="pct"/>
            <w:noWrap/>
            <w:vAlign w:val="center"/>
          </w:tcPr>
          <w:p w14:paraId="6E4C407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62 (86.1)</w:t>
            </w:r>
          </w:p>
        </w:tc>
        <w:tc>
          <w:tcPr>
            <w:tcW w:w="799" w:type="pct"/>
            <w:noWrap/>
            <w:vAlign w:val="center"/>
          </w:tcPr>
          <w:p w14:paraId="7E511028">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68 (94.4)</w:t>
            </w:r>
          </w:p>
        </w:tc>
        <w:tc>
          <w:tcPr>
            <w:tcW w:w="334" w:type="pct"/>
            <w:noWrap/>
            <w:vAlign w:val="center"/>
          </w:tcPr>
          <w:p w14:paraId="06E5B7F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0.091 </w:t>
            </w:r>
          </w:p>
        </w:tc>
        <w:tc>
          <w:tcPr>
            <w:tcW w:w="799" w:type="pct"/>
            <w:noWrap/>
            <w:vAlign w:val="center"/>
          </w:tcPr>
          <w:p w14:paraId="35CEFB5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36 (78.3)</w:t>
            </w:r>
          </w:p>
        </w:tc>
        <w:tc>
          <w:tcPr>
            <w:tcW w:w="799" w:type="pct"/>
            <w:noWrap/>
            <w:vAlign w:val="center"/>
          </w:tcPr>
          <w:p w14:paraId="608DCB97">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45 (91.8)</w:t>
            </w:r>
          </w:p>
        </w:tc>
        <w:tc>
          <w:tcPr>
            <w:tcW w:w="332" w:type="pct"/>
            <w:noWrap/>
            <w:vAlign w:val="center"/>
          </w:tcPr>
          <w:p w14:paraId="3AC8518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0.062 </w:t>
            </w:r>
          </w:p>
        </w:tc>
      </w:tr>
      <w:tr w14:paraId="31522FC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50E7CCDD">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Infection, n (%)</w:t>
            </w:r>
          </w:p>
        </w:tc>
        <w:tc>
          <w:tcPr>
            <w:tcW w:w="799" w:type="pct"/>
            <w:noWrap/>
            <w:vAlign w:val="center"/>
          </w:tcPr>
          <w:p w14:paraId="67AB0C8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51 (70.8)</w:t>
            </w:r>
          </w:p>
        </w:tc>
        <w:tc>
          <w:tcPr>
            <w:tcW w:w="799" w:type="pct"/>
            <w:noWrap/>
            <w:vAlign w:val="center"/>
          </w:tcPr>
          <w:p w14:paraId="280D8E5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58 (80.6)</w:t>
            </w:r>
          </w:p>
        </w:tc>
        <w:tc>
          <w:tcPr>
            <w:tcW w:w="334" w:type="pct"/>
            <w:noWrap/>
            <w:vAlign w:val="center"/>
          </w:tcPr>
          <w:p w14:paraId="2B1B330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0.174 </w:t>
            </w:r>
          </w:p>
        </w:tc>
        <w:tc>
          <w:tcPr>
            <w:tcW w:w="799" w:type="pct"/>
            <w:noWrap/>
            <w:vAlign w:val="center"/>
          </w:tcPr>
          <w:p w14:paraId="4D81FBB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27 (58.7)</w:t>
            </w:r>
          </w:p>
        </w:tc>
        <w:tc>
          <w:tcPr>
            <w:tcW w:w="799" w:type="pct"/>
            <w:noWrap/>
            <w:vAlign w:val="center"/>
          </w:tcPr>
          <w:p w14:paraId="0EA3A48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 (81.6)</w:t>
            </w:r>
          </w:p>
        </w:tc>
        <w:tc>
          <w:tcPr>
            <w:tcW w:w="332" w:type="pct"/>
            <w:noWrap/>
            <w:vAlign w:val="center"/>
          </w:tcPr>
          <w:p w14:paraId="36ECB11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0.014 </w:t>
            </w:r>
          </w:p>
        </w:tc>
      </w:tr>
      <w:tr w14:paraId="0E0E4F5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38FF7AC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Hepatic encephalopathy, n (%)</w:t>
            </w:r>
          </w:p>
        </w:tc>
        <w:tc>
          <w:tcPr>
            <w:tcW w:w="799" w:type="pct"/>
            <w:noWrap/>
            <w:vAlign w:val="center"/>
          </w:tcPr>
          <w:p w14:paraId="3C16C2F8">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 (2.8)</w:t>
            </w:r>
          </w:p>
        </w:tc>
        <w:tc>
          <w:tcPr>
            <w:tcW w:w="799" w:type="pct"/>
            <w:noWrap/>
            <w:vAlign w:val="center"/>
          </w:tcPr>
          <w:p w14:paraId="50427C49">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 (9.7)</w:t>
            </w:r>
          </w:p>
        </w:tc>
        <w:tc>
          <w:tcPr>
            <w:tcW w:w="334" w:type="pct"/>
            <w:noWrap/>
            <w:vAlign w:val="center"/>
          </w:tcPr>
          <w:p w14:paraId="21A6CE5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0.166 </w:t>
            </w:r>
          </w:p>
        </w:tc>
        <w:tc>
          <w:tcPr>
            <w:tcW w:w="799" w:type="pct"/>
            <w:noWrap/>
            <w:vAlign w:val="center"/>
          </w:tcPr>
          <w:p w14:paraId="1746C6E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 (2.2)</w:t>
            </w:r>
          </w:p>
        </w:tc>
        <w:tc>
          <w:tcPr>
            <w:tcW w:w="799" w:type="pct"/>
            <w:noWrap/>
            <w:vAlign w:val="center"/>
          </w:tcPr>
          <w:p w14:paraId="114A84C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 (6.1)</w:t>
            </w:r>
          </w:p>
        </w:tc>
        <w:tc>
          <w:tcPr>
            <w:tcW w:w="332" w:type="pct"/>
            <w:noWrap/>
            <w:vAlign w:val="center"/>
          </w:tcPr>
          <w:p w14:paraId="72D5C5B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0.618 </w:t>
            </w:r>
          </w:p>
        </w:tc>
      </w:tr>
      <w:tr w14:paraId="59EE23E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56060130">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Gastrointestinal hemorrhage, n (%)</w:t>
            </w:r>
          </w:p>
        </w:tc>
        <w:tc>
          <w:tcPr>
            <w:tcW w:w="799" w:type="pct"/>
            <w:noWrap/>
            <w:vAlign w:val="center"/>
          </w:tcPr>
          <w:p w14:paraId="3F6866B4">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 (15.3)</w:t>
            </w:r>
          </w:p>
        </w:tc>
        <w:tc>
          <w:tcPr>
            <w:tcW w:w="799" w:type="pct"/>
            <w:noWrap/>
            <w:vAlign w:val="center"/>
          </w:tcPr>
          <w:p w14:paraId="2338E02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 (11.1)</w:t>
            </w:r>
          </w:p>
        </w:tc>
        <w:tc>
          <w:tcPr>
            <w:tcW w:w="334" w:type="pct"/>
            <w:noWrap/>
            <w:vAlign w:val="center"/>
          </w:tcPr>
          <w:p w14:paraId="57FD27EA">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0.460 </w:t>
            </w:r>
          </w:p>
        </w:tc>
        <w:tc>
          <w:tcPr>
            <w:tcW w:w="799" w:type="pct"/>
            <w:noWrap/>
            <w:vAlign w:val="center"/>
          </w:tcPr>
          <w:p w14:paraId="25F128B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 (13.0)</w:t>
            </w:r>
          </w:p>
        </w:tc>
        <w:tc>
          <w:tcPr>
            <w:tcW w:w="799" w:type="pct"/>
            <w:noWrap/>
            <w:vAlign w:val="center"/>
          </w:tcPr>
          <w:p w14:paraId="2FB456EA">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 (18.4)</w:t>
            </w:r>
          </w:p>
        </w:tc>
        <w:tc>
          <w:tcPr>
            <w:tcW w:w="332" w:type="pct"/>
            <w:noWrap/>
            <w:vAlign w:val="center"/>
          </w:tcPr>
          <w:p w14:paraId="347725B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0.477 </w:t>
            </w:r>
          </w:p>
        </w:tc>
      </w:tr>
      <w:tr w14:paraId="4DD7FC8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1FE574D9">
            <w:pPr>
              <w:widowControl/>
              <w:jc w:val="left"/>
              <w:rPr>
                <w:rFonts w:ascii="Times New Roman" w:hAnsi="Times New Roman" w:eastAsia="等线" w:cs="Times New Roman"/>
                <w:b/>
                <w:bCs/>
                <w:color w:val="000000"/>
                <w:kern w:val="0"/>
                <w:szCs w:val="21"/>
              </w:rPr>
            </w:pPr>
            <w:r>
              <w:rPr>
                <w:rFonts w:ascii="Times New Roman" w:hAnsi="Times New Roman" w:eastAsia="等线" w:cs="Times New Roman"/>
                <w:b/>
                <w:bCs/>
                <w:color w:val="000000"/>
                <w:kern w:val="0"/>
                <w:szCs w:val="21"/>
              </w:rPr>
              <w:t>Laboratory data</w:t>
            </w:r>
          </w:p>
        </w:tc>
        <w:tc>
          <w:tcPr>
            <w:tcW w:w="799" w:type="pct"/>
            <w:noWrap/>
            <w:vAlign w:val="center"/>
          </w:tcPr>
          <w:p w14:paraId="40C06753">
            <w:pPr>
              <w:widowControl/>
              <w:jc w:val="left"/>
              <w:rPr>
                <w:rFonts w:ascii="Times New Roman" w:hAnsi="Times New Roman" w:eastAsia="等线" w:cs="Times New Roman"/>
                <w:b/>
                <w:bCs/>
                <w:color w:val="000000"/>
                <w:kern w:val="0"/>
                <w:szCs w:val="21"/>
              </w:rPr>
            </w:pPr>
          </w:p>
        </w:tc>
        <w:tc>
          <w:tcPr>
            <w:tcW w:w="799" w:type="pct"/>
            <w:noWrap/>
            <w:vAlign w:val="center"/>
          </w:tcPr>
          <w:p w14:paraId="3048A15D">
            <w:pPr>
              <w:widowControl/>
              <w:jc w:val="left"/>
              <w:rPr>
                <w:rFonts w:ascii="Times New Roman" w:hAnsi="Times New Roman" w:eastAsia="Times New Roman" w:cs="Times New Roman"/>
                <w:kern w:val="0"/>
                <w:szCs w:val="21"/>
              </w:rPr>
            </w:pPr>
          </w:p>
        </w:tc>
        <w:tc>
          <w:tcPr>
            <w:tcW w:w="334" w:type="pct"/>
            <w:noWrap/>
            <w:vAlign w:val="center"/>
          </w:tcPr>
          <w:p w14:paraId="6D6327D4">
            <w:pPr>
              <w:widowControl/>
              <w:jc w:val="left"/>
              <w:rPr>
                <w:rFonts w:ascii="Times New Roman" w:hAnsi="Times New Roman" w:eastAsia="Times New Roman" w:cs="Times New Roman"/>
                <w:kern w:val="0"/>
                <w:szCs w:val="21"/>
              </w:rPr>
            </w:pPr>
          </w:p>
        </w:tc>
        <w:tc>
          <w:tcPr>
            <w:tcW w:w="799" w:type="pct"/>
            <w:noWrap/>
            <w:vAlign w:val="center"/>
          </w:tcPr>
          <w:p w14:paraId="0FFBCEF4">
            <w:pPr>
              <w:widowControl/>
              <w:jc w:val="center"/>
              <w:rPr>
                <w:rFonts w:ascii="Times New Roman" w:hAnsi="Times New Roman" w:eastAsia="Times New Roman" w:cs="Times New Roman"/>
                <w:kern w:val="0"/>
                <w:szCs w:val="21"/>
              </w:rPr>
            </w:pPr>
          </w:p>
        </w:tc>
        <w:tc>
          <w:tcPr>
            <w:tcW w:w="799" w:type="pct"/>
            <w:noWrap/>
            <w:vAlign w:val="center"/>
          </w:tcPr>
          <w:p w14:paraId="4A3F1F83">
            <w:pPr>
              <w:widowControl/>
              <w:jc w:val="left"/>
              <w:rPr>
                <w:rFonts w:ascii="Times New Roman" w:hAnsi="Times New Roman" w:eastAsia="Times New Roman" w:cs="Times New Roman"/>
                <w:kern w:val="0"/>
                <w:szCs w:val="21"/>
              </w:rPr>
            </w:pPr>
          </w:p>
        </w:tc>
        <w:tc>
          <w:tcPr>
            <w:tcW w:w="332" w:type="pct"/>
            <w:noWrap/>
            <w:vAlign w:val="center"/>
          </w:tcPr>
          <w:p w14:paraId="72A8B942">
            <w:pPr>
              <w:widowControl/>
              <w:jc w:val="left"/>
              <w:rPr>
                <w:rFonts w:ascii="Times New Roman" w:hAnsi="Times New Roman" w:eastAsia="Times New Roman" w:cs="Times New Roman"/>
                <w:kern w:val="0"/>
                <w:szCs w:val="21"/>
              </w:rPr>
            </w:pPr>
          </w:p>
        </w:tc>
      </w:tr>
      <w:tr w14:paraId="7BA0308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7200BCD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HBeAg positive, n (%)</w:t>
            </w:r>
          </w:p>
        </w:tc>
        <w:tc>
          <w:tcPr>
            <w:tcW w:w="799" w:type="pct"/>
            <w:noWrap/>
            <w:vAlign w:val="center"/>
          </w:tcPr>
          <w:p w14:paraId="215A25A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25 (34.7)</w:t>
            </w:r>
          </w:p>
        </w:tc>
        <w:tc>
          <w:tcPr>
            <w:tcW w:w="799" w:type="pct"/>
            <w:noWrap/>
            <w:vAlign w:val="center"/>
          </w:tcPr>
          <w:p w14:paraId="1A6265E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23 (31.9)</w:t>
            </w:r>
          </w:p>
        </w:tc>
        <w:tc>
          <w:tcPr>
            <w:tcW w:w="334" w:type="pct"/>
            <w:noWrap/>
            <w:vAlign w:val="center"/>
          </w:tcPr>
          <w:p w14:paraId="4BED508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0.860 </w:t>
            </w:r>
          </w:p>
        </w:tc>
        <w:tc>
          <w:tcPr>
            <w:tcW w:w="799" w:type="pct"/>
            <w:noWrap/>
            <w:vAlign w:val="center"/>
          </w:tcPr>
          <w:p w14:paraId="6A360DB2">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 (26.1)</w:t>
            </w:r>
          </w:p>
        </w:tc>
        <w:tc>
          <w:tcPr>
            <w:tcW w:w="799" w:type="pct"/>
            <w:noWrap/>
            <w:vAlign w:val="center"/>
          </w:tcPr>
          <w:p w14:paraId="36B865A4">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 (32.7)</w:t>
            </w:r>
          </w:p>
        </w:tc>
        <w:tc>
          <w:tcPr>
            <w:tcW w:w="332" w:type="pct"/>
            <w:noWrap/>
            <w:vAlign w:val="center"/>
          </w:tcPr>
          <w:p w14:paraId="5B2027B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0.634 </w:t>
            </w:r>
          </w:p>
        </w:tc>
      </w:tr>
      <w:tr w14:paraId="0A4182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4B71B854">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HBV DNA (log10 IU/mL)</w:t>
            </w:r>
          </w:p>
        </w:tc>
        <w:tc>
          <w:tcPr>
            <w:tcW w:w="799" w:type="pct"/>
            <w:noWrap/>
            <w:vAlign w:val="center"/>
          </w:tcPr>
          <w:p w14:paraId="64B944E8">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5.19 (4.08-6.31)</w:t>
            </w:r>
          </w:p>
        </w:tc>
        <w:tc>
          <w:tcPr>
            <w:tcW w:w="799" w:type="pct"/>
            <w:noWrap/>
            <w:vAlign w:val="center"/>
          </w:tcPr>
          <w:p w14:paraId="329562A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4.28 (3.31-5.29)</w:t>
            </w:r>
          </w:p>
        </w:tc>
        <w:tc>
          <w:tcPr>
            <w:tcW w:w="334" w:type="pct"/>
            <w:noWrap/>
            <w:vAlign w:val="center"/>
          </w:tcPr>
          <w:p w14:paraId="27F7845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0.082 </w:t>
            </w:r>
          </w:p>
        </w:tc>
        <w:tc>
          <w:tcPr>
            <w:tcW w:w="799" w:type="pct"/>
            <w:noWrap/>
            <w:vAlign w:val="center"/>
          </w:tcPr>
          <w:p w14:paraId="5D9D540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4.64 (3.96-6.28)</w:t>
            </w:r>
          </w:p>
        </w:tc>
        <w:tc>
          <w:tcPr>
            <w:tcW w:w="799" w:type="pct"/>
            <w:noWrap/>
            <w:vAlign w:val="center"/>
          </w:tcPr>
          <w:p w14:paraId="77AE4B04">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5.08 (3.37-6.48)</w:t>
            </w:r>
          </w:p>
        </w:tc>
        <w:tc>
          <w:tcPr>
            <w:tcW w:w="332" w:type="pct"/>
            <w:noWrap/>
            <w:vAlign w:val="center"/>
          </w:tcPr>
          <w:p w14:paraId="7480BF8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0.922 </w:t>
            </w:r>
          </w:p>
        </w:tc>
      </w:tr>
      <w:tr w14:paraId="2552F87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0E261F7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WBC (*10^9/L)</w:t>
            </w:r>
          </w:p>
        </w:tc>
        <w:tc>
          <w:tcPr>
            <w:tcW w:w="799" w:type="pct"/>
            <w:noWrap/>
            <w:vAlign w:val="center"/>
          </w:tcPr>
          <w:p w14:paraId="6792A2D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4.27 (3.26-5.75)</w:t>
            </w:r>
          </w:p>
        </w:tc>
        <w:tc>
          <w:tcPr>
            <w:tcW w:w="799" w:type="pct"/>
            <w:noWrap/>
            <w:vAlign w:val="center"/>
          </w:tcPr>
          <w:p w14:paraId="7F7D5D2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4.81 (2.88-6.51)</w:t>
            </w:r>
          </w:p>
        </w:tc>
        <w:tc>
          <w:tcPr>
            <w:tcW w:w="334" w:type="pct"/>
            <w:noWrap/>
            <w:vAlign w:val="center"/>
          </w:tcPr>
          <w:p w14:paraId="076AAB1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0.344 </w:t>
            </w:r>
          </w:p>
        </w:tc>
        <w:tc>
          <w:tcPr>
            <w:tcW w:w="799" w:type="pct"/>
            <w:noWrap/>
            <w:vAlign w:val="center"/>
          </w:tcPr>
          <w:p w14:paraId="22321448">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4.42 (2.80-5.70)</w:t>
            </w:r>
          </w:p>
        </w:tc>
        <w:tc>
          <w:tcPr>
            <w:tcW w:w="799" w:type="pct"/>
            <w:noWrap/>
            <w:vAlign w:val="center"/>
          </w:tcPr>
          <w:p w14:paraId="7640C4DA">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4.19 (2.74-6.59)</w:t>
            </w:r>
          </w:p>
        </w:tc>
        <w:tc>
          <w:tcPr>
            <w:tcW w:w="332" w:type="pct"/>
            <w:noWrap/>
            <w:vAlign w:val="center"/>
          </w:tcPr>
          <w:p w14:paraId="2DCCCFF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0.905 </w:t>
            </w:r>
          </w:p>
        </w:tc>
      </w:tr>
      <w:tr w14:paraId="18336F9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7B11EC5A">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PLT (*10^9/L)</w:t>
            </w:r>
          </w:p>
        </w:tc>
        <w:tc>
          <w:tcPr>
            <w:tcW w:w="799" w:type="pct"/>
            <w:noWrap/>
            <w:vAlign w:val="center"/>
          </w:tcPr>
          <w:p w14:paraId="79A528B6">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90.50 (57.50-116.00)</w:t>
            </w:r>
          </w:p>
        </w:tc>
        <w:tc>
          <w:tcPr>
            <w:tcW w:w="799" w:type="pct"/>
            <w:noWrap/>
            <w:vAlign w:val="center"/>
          </w:tcPr>
          <w:p w14:paraId="5017BD3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71.00 (44.75-123.75)</w:t>
            </w:r>
          </w:p>
        </w:tc>
        <w:tc>
          <w:tcPr>
            <w:tcW w:w="334" w:type="pct"/>
            <w:noWrap/>
            <w:vAlign w:val="center"/>
          </w:tcPr>
          <w:p w14:paraId="39C38F0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0.169 </w:t>
            </w:r>
          </w:p>
        </w:tc>
        <w:tc>
          <w:tcPr>
            <w:tcW w:w="799" w:type="pct"/>
            <w:noWrap/>
            <w:vAlign w:val="center"/>
          </w:tcPr>
          <w:p w14:paraId="1E52A60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88.50 (59.50-119.75)</w:t>
            </w:r>
          </w:p>
        </w:tc>
        <w:tc>
          <w:tcPr>
            <w:tcW w:w="799" w:type="pct"/>
            <w:noWrap/>
            <w:vAlign w:val="center"/>
          </w:tcPr>
          <w:p w14:paraId="63B94ED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64.00 (44.00-102.00)</w:t>
            </w:r>
          </w:p>
        </w:tc>
        <w:tc>
          <w:tcPr>
            <w:tcW w:w="332" w:type="pct"/>
            <w:noWrap/>
            <w:vAlign w:val="center"/>
          </w:tcPr>
          <w:p w14:paraId="57133DB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0.066 </w:t>
            </w:r>
          </w:p>
        </w:tc>
      </w:tr>
      <w:tr w14:paraId="6BD362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084DEDF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Albumin (g/dl)</w:t>
            </w:r>
          </w:p>
        </w:tc>
        <w:tc>
          <w:tcPr>
            <w:tcW w:w="799" w:type="pct"/>
            <w:noWrap/>
            <w:vAlign w:val="center"/>
          </w:tcPr>
          <w:p w14:paraId="30AE25D2">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3.29 (2.75-3.66)</w:t>
            </w:r>
          </w:p>
        </w:tc>
        <w:tc>
          <w:tcPr>
            <w:tcW w:w="799" w:type="pct"/>
            <w:noWrap/>
            <w:vAlign w:val="center"/>
          </w:tcPr>
          <w:p w14:paraId="23EDB904">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2.71 (2.41-3.15)</w:t>
            </w:r>
          </w:p>
        </w:tc>
        <w:tc>
          <w:tcPr>
            <w:tcW w:w="334" w:type="pct"/>
            <w:noWrap/>
            <w:vAlign w:val="center"/>
          </w:tcPr>
          <w:p w14:paraId="71DF8C1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&lt;0.001</w:t>
            </w:r>
          </w:p>
        </w:tc>
        <w:tc>
          <w:tcPr>
            <w:tcW w:w="799" w:type="pct"/>
            <w:noWrap/>
            <w:vAlign w:val="center"/>
          </w:tcPr>
          <w:p w14:paraId="280F478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2.96 (2.68-3.46)</w:t>
            </w:r>
          </w:p>
        </w:tc>
        <w:tc>
          <w:tcPr>
            <w:tcW w:w="799" w:type="pct"/>
            <w:noWrap/>
            <w:vAlign w:val="center"/>
          </w:tcPr>
          <w:p w14:paraId="6D38880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2.77 (2.30-3.61)</w:t>
            </w:r>
          </w:p>
        </w:tc>
        <w:tc>
          <w:tcPr>
            <w:tcW w:w="332" w:type="pct"/>
            <w:noWrap/>
            <w:vAlign w:val="center"/>
          </w:tcPr>
          <w:p w14:paraId="2CC7109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0.130 </w:t>
            </w:r>
          </w:p>
        </w:tc>
      </w:tr>
      <w:tr w14:paraId="733D22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2767F1C4">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Total bilirubin (mg/dl)</w:t>
            </w:r>
          </w:p>
        </w:tc>
        <w:tc>
          <w:tcPr>
            <w:tcW w:w="799" w:type="pct"/>
            <w:noWrap/>
            <w:vAlign w:val="center"/>
          </w:tcPr>
          <w:p w14:paraId="59B2B029">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2.61 (1.27-10.29)</w:t>
            </w:r>
          </w:p>
        </w:tc>
        <w:tc>
          <w:tcPr>
            <w:tcW w:w="799" w:type="pct"/>
            <w:noWrap/>
            <w:vAlign w:val="center"/>
          </w:tcPr>
          <w:p w14:paraId="371D0B6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3.77 (1.80-12.02)</w:t>
            </w:r>
          </w:p>
        </w:tc>
        <w:tc>
          <w:tcPr>
            <w:tcW w:w="334" w:type="pct"/>
            <w:noWrap/>
            <w:vAlign w:val="center"/>
          </w:tcPr>
          <w:p w14:paraId="704C626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0.072 </w:t>
            </w:r>
          </w:p>
        </w:tc>
        <w:tc>
          <w:tcPr>
            <w:tcW w:w="799" w:type="pct"/>
            <w:noWrap/>
            <w:vAlign w:val="center"/>
          </w:tcPr>
          <w:p w14:paraId="3D69369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5.66 (1.63-12.59)</w:t>
            </w:r>
          </w:p>
        </w:tc>
        <w:tc>
          <w:tcPr>
            <w:tcW w:w="799" w:type="pct"/>
            <w:noWrap/>
            <w:vAlign w:val="center"/>
          </w:tcPr>
          <w:p w14:paraId="0860C2E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3.73 (2.06-14.20)</w:t>
            </w:r>
          </w:p>
        </w:tc>
        <w:tc>
          <w:tcPr>
            <w:tcW w:w="332" w:type="pct"/>
            <w:noWrap/>
            <w:vAlign w:val="center"/>
          </w:tcPr>
          <w:p w14:paraId="0323108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0.829 </w:t>
            </w:r>
          </w:p>
        </w:tc>
      </w:tr>
      <w:tr w14:paraId="67DB7F5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0B5693C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Creatinine (mg/dl)</w:t>
            </w:r>
          </w:p>
        </w:tc>
        <w:tc>
          <w:tcPr>
            <w:tcW w:w="799" w:type="pct"/>
            <w:noWrap/>
            <w:vAlign w:val="center"/>
          </w:tcPr>
          <w:p w14:paraId="136F937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0.69 (0.62-0.84)</w:t>
            </w:r>
          </w:p>
        </w:tc>
        <w:tc>
          <w:tcPr>
            <w:tcW w:w="799" w:type="pct"/>
            <w:noWrap/>
            <w:vAlign w:val="center"/>
          </w:tcPr>
          <w:p w14:paraId="3A78AD6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0.76 (0.66-0.97)</w:t>
            </w:r>
          </w:p>
        </w:tc>
        <w:tc>
          <w:tcPr>
            <w:tcW w:w="334" w:type="pct"/>
            <w:noWrap/>
            <w:vAlign w:val="center"/>
          </w:tcPr>
          <w:p w14:paraId="42A0D6E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0.036 </w:t>
            </w:r>
          </w:p>
        </w:tc>
        <w:tc>
          <w:tcPr>
            <w:tcW w:w="799" w:type="pct"/>
            <w:noWrap/>
            <w:vAlign w:val="center"/>
          </w:tcPr>
          <w:p w14:paraId="2F6051C0">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0.75 (0.68-0.87)</w:t>
            </w:r>
          </w:p>
        </w:tc>
        <w:tc>
          <w:tcPr>
            <w:tcW w:w="799" w:type="pct"/>
            <w:noWrap/>
            <w:vAlign w:val="center"/>
          </w:tcPr>
          <w:p w14:paraId="1D2D0EB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0.82 (0.70-1.01)</w:t>
            </w:r>
          </w:p>
        </w:tc>
        <w:tc>
          <w:tcPr>
            <w:tcW w:w="332" w:type="pct"/>
            <w:noWrap/>
            <w:vAlign w:val="center"/>
          </w:tcPr>
          <w:p w14:paraId="64994AE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0.178 </w:t>
            </w:r>
          </w:p>
        </w:tc>
      </w:tr>
      <w:tr w14:paraId="4B5685F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6AB23839">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Sodium (mmol/L)</w:t>
            </w:r>
          </w:p>
        </w:tc>
        <w:tc>
          <w:tcPr>
            <w:tcW w:w="799" w:type="pct"/>
            <w:noWrap/>
            <w:vAlign w:val="center"/>
          </w:tcPr>
          <w:p w14:paraId="5223E54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139.20 (137.28-140.83)</w:t>
            </w:r>
          </w:p>
        </w:tc>
        <w:tc>
          <w:tcPr>
            <w:tcW w:w="799" w:type="pct"/>
            <w:noWrap/>
            <w:vAlign w:val="center"/>
          </w:tcPr>
          <w:p w14:paraId="4620D22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136.90 (134.10-139.62)</w:t>
            </w:r>
          </w:p>
        </w:tc>
        <w:tc>
          <w:tcPr>
            <w:tcW w:w="334" w:type="pct"/>
            <w:noWrap/>
            <w:vAlign w:val="center"/>
          </w:tcPr>
          <w:p w14:paraId="742BF75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&lt;0.001</w:t>
            </w:r>
          </w:p>
        </w:tc>
        <w:tc>
          <w:tcPr>
            <w:tcW w:w="799" w:type="pct"/>
            <w:noWrap/>
            <w:vAlign w:val="center"/>
          </w:tcPr>
          <w:p w14:paraId="55BBB8A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139.00 (137.33-140.78)</w:t>
            </w:r>
          </w:p>
        </w:tc>
        <w:tc>
          <w:tcPr>
            <w:tcW w:w="799" w:type="pct"/>
            <w:noWrap/>
            <w:vAlign w:val="center"/>
          </w:tcPr>
          <w:p w14:paraId="1DA739B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138.40 (133.70-139.50)</w:t>
            </w:r>
          </w:p>
        </w:tc>
        <w:tc>
          <w:tcPr>
            <w:tcW w:w="332" w:type="pct"/>
            <w:noWrap/>
            <w:vAlign w:val="center"/>
          </w:tcPr>
          <w:p w14:paraId="335E7FB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0.014 </w:t>
            </w:r>
          </w:p>
        </w:tc>
      </w:tr>
      <w:tr w14:paraId="1E612ED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515D4F0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INR</w:t>
            </w:r>
          </w:p>
        </w:tc>
        <w:tc>
          <w:tcPr>
            <w:tcW w:w="799" w:type="pct"/>
            <w:noWrap/>
            <w:vAlign w:val="center"/>
          </w:tcPr>
          <w:p w14:paraId="03AECA7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1.33 (1.19-1.67)</w:t>
            </w:r>
          </w:p>
        </w:tc>
        <w:tc>
          <w:tcPr>
            <w:tcW w:w="799" w:type="pct"/>
            <w:noWrap/>
            <w:vAlign w:val="center"/>
          </w:tcPr>
          <w:p w14:paraId="639B07A8">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1.48 (1.26-1.73)</w:t>
            </w:r>
          </w:p>
        </w:tc>
        <w:tc>
          <w:tcPr>
            <w:tcW w:w="334" w:type="pct"/>
            <w:noWrap/>
            <w:vAlign w:val="center"/>
          </w:tcPr>
          <w:p w14:paraId="4D81A79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0.062 </w:t>
            </w:r>
          </w:p>
        </w:tc>
        <w:tc>
          <w:tcPr>
            <w:tcW w:w="799" w:type="pct"/>
            <w:noWrap/>
            <w:vAlign w:val="center"/>
          </w:tcPr>
          <w:p w14:paraId="0207842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1.39 (1.21-1.48)</w:t>
            </w:r>
          </w:p>
        </w:tc>
        <w:tc>
          <w:tcPr>
            <w:tcW w:w="799" w:type="pct"/>
            <w:noWrap/>
            <w:vAlign w:val="center"/>
          </w:tcPr>
          <w:p w14:paraId="7566AC4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1.62 (1.35-1.85)</w:t>
            </w:r>
          </w:p>
        </w:tc>
        <w:tc>
          <w:tcPr>
            <w:tcW w:w="332" w:type="pct"/>
            <w:noWrap/>
            <w:vAlign w:val="center"/>
          </w:tcPr>
          <w:p w14:paraId="7EEB27C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0.002 </w:t>
            </w:r>
          </w:p>
        </w:tc>
      </w:tr>
      <w:tr w14:paraId="0BF14FE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283" w:hRule="atLeast"/>
        </w:trPr>
        <w:tc>
          <w:tcPr>
            <w:tcW w:w="1139" w:type="pct"/>
            <w:noWrap/>
            <w:vAlign w:val="center"/>
          </w:tcPr>
          <w:p w14:paraId="114EE79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ALT (IU/L)</w:t>
            </w:r>
          </w:p>
        </w:tc>
        <w:tc>
          <w:tcPr>
            <w:tcW w:w="799" w:type="pct"/>
            <w:noWrap/>
          </w:tcPr>
          <w:p w14:paraId="1B166A03">
            <w:pPr>
              <w:widowControl/>
              <w:jc w:val="left"/>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41.50 (26.28-68.25)</w:t>
            </w:r>
          </w:p>
        </w:tc>
        <w:tc>
          <w:tcPr>
            <w:tcW w:w="799" w:type="pct"/>
            <w:noWrap/>
          </w:tcPr>
          <w:p w14:paraId="45EDC1BE">
            <w:pPr>
              <w:widowControl/>
              <w:jc w:val="left"/>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52.95 (27.00-138.00)</w:t>
            </w:r>
          </w:p>
        </w:tc>
        <w:tc>
          <w:tcPr>
            <w:tcW w:w="334" w:type="pct"/>
            <w:noWrap/>
          </w:tcPr>
          <w:p w14:paraId="4D2E68E5">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 xml:space="preserve">0.139 </w:t>
            </w:r>
          </w:p>
        </w:tc>
        <w:tc>
          <w:tcPr>
            <w:tcW w:w="799" w:type="pct"/>
            <w:noWrap/>
          </w:tcPr>
          <w:p w14:paraId="087AEEFD">
            <w:pPr>
              <w:widowControl/>
              <w:jc w:val="left"/>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32.80 (23.25-272.00)</w:t>
            </w:r>
          </w:p>
        </w:tc>
        <w:tc>
          <w:tcPr>
            <w:tcW w:w="799" w:type="pct"/>
            <w:noWrap/>
          </w:tcPr>
          <w:p w14:paraId="6F2F128F">
            <w:pPr>
              <w:widowControl/>
              <w:jc w:val="left"/>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74.00 (39.00-159.10)</w:t>
            </w:r>
          </w:p>
        </w:tc>
        <w:tc>
          <w:tcPr>
            <w:tcW w:w="332" w:type="pct"/>
            <w:noWrap/>
          </w:tcPr>
          <w:p w14:paraId="7BE7F00E">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 xml:space="preserve">0.165 </w:t>
            </w:r>
          </w:p>
        </w:tc>
      </w:tr>
      <w:tr w14:paraId="109F60F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43926240">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AST (IU/L)</w:t>
            </w:r>
          </w:p>
        </w:tc>
        <w:tc>
          <w:tcPr>
            <w:tcW w:w="799" w:type="pct"/>
            <w:noWrap/>
          </w:tcPr>
          <w:p w14:paraId="61D00039">
            <w:pPr>
              <w:widowControl/>
              <w:jc w:val="left"/>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64.90 (44.00-190.20)</w:t>
            </w:r>
          </w:p>
        </w:tc>
        <w:tc>
          <w:tcPr>
            <w:tcW w:w="799" w:type="pct"/>
            <w:noWrap/>
          </w:tcPr>
          <w:p w14:paraId="03A575C9">
            <w:pPr>
              <w:widowControl/>
              <w:jc w:val="left"/>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62.90 (40.00-115.10)</w:t>
            </w:r>
          </w:p>
        </w:tc>
        <w:tc>
          <w:tcPr>
            <w:tcW w:w="334" w:type="pct"/>
            <w:noWrap/>
          </w:tcPr>
          <w:p w14:paraId="7DA442C8">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 xml:space="preserve">0.126 </w:t>
            </w:r>
          </w:p>
        </w:tc>
        <w:tc>
          <w:tcPr>
            <w:tcW w:w="799" w:type="pct"/>
            <w:noWrap/>
          </w:tcPr>
          <w:p w14:paraId="21A2FDA7">
            <w:pPr>
              <w:widowControl/>
              <w:jc w:val="left"/>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94.00 (39.90-287.70)</w:t>
            </w:r>
          </w:p>
        </w:tc>
        <w:tc>
          <w:tcPr>
            <w:tcW w:w="799" w:type="pct"/>
            <w:noWrap/>
          </w:tcPr>
          <w:p w14:paraId="04E9A10D">
            <w:pPr>
              <w:widowControl/>
              <w:jc w:val="left"/>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88.70 (44.40-148.30)</w:t>
            </w:r>
          </w:p>
        </w:tc>
        <w:tc>
          <w:tcPr>
            <w:tcW w:w="332" w:type="pct"/>
            <w:noWrap/>
          </w:tcPr>
          <w:p w14:paraId="11D417BD">
            <w:pPr>
              <w:widowControl/>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 xml:space="preserve">0.465 </w:t>
            </w:r>
          </w:p>
        </w:tc>
      </w:tr>
      <w:tr w14:paraId="2DAD97D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4D588DA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GGT (IU/L)</w:t>
            </w:r>
          </w:p>
        </w:tc>
        <w:tc>
          <w:tcPr>
            <w:tcW w:w="799" w:type="pct"/>
            <w:noWrap/>
            <w:vAlign w:val="center"/>
          </w:tcPr>
          <w:p w14:paraId="593ED492">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59.00 (23.75-111.00)</w:t>
            </w:r>
          </w:p>
        </w:tc>
        <w:tc>
          <w:tcPr>
            <w:tcW w:w="799" w:type="pct"/>
            <w:noWrap/>
            <w:vAlign w:val="center"/>
          </w:tcPr>
          <w:p w14:paraId="5A6DD8E0">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38.00 (20.00-115.50)</w:t>
            </w:r>
          </w:p>
        </w:tc>
        <w:tc>
          <w:tcPr>
            <w:tcW w:w="334" w:type="pct"/>
            <w:noWrap/>
            <w:vAlign w:val="center"/>
          </w:tcPr>
          <w:p w14:paraId="4326028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0.222 </w:t>
            </w:r>
          </w:p>
        </w:tc>
        <w:tc>
          <w:tcPr>
            <w:tcW w:w="799" w:type="pct"/>
            <w:noWrap/>
            <w:vAlign w:val="center"/>
          </w:tcPr>
          <w:p w14:paraId="243C1099">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72.50 (26.00-111.75)</w:t>
            </w:r>
          </w:p>
        </w:tc>
        <w:tc>
          <w:tcPr>
            <w:tcW w:w="799" w:type="pct"/>
            <w:noWrap/>
            <w:vAlign w:val="center"/>
          </w:tcPr>
          <w:p w14:paraId="2F55745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66.00 (26.00-124.00)</w:t>
            </w:r>
          </w:p>
        </w:tc>
        <w:tc>
          <w:tcPr>
            <w:tcW w:w="332" w:type="pct"/>
            <w:noWrap/>
            <w:vAlign w:val="center"/>
          </w:tcPr>
          <w:p w14:paraId="7C5D986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0.967 </w:t>
            </w:r>
          </w:p>
        </w:tc>
      </w:tr>
      <w:tr w14:paraId="4969405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77A6F1E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ALP (IU/L)</w:t>
            </w:r>
          </w:p>
        </w:tc>
        <w:tc>
          <w:tcPr>
            <w:tcW w:w="799" w:type="pct"/>
            <w:noWrap/>
            <w:vAlign w:val="center"/>
          </w:tcPr>
          <w:p w14:paraId="5A9A890D">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121.25 (88.65-166.00)</w:t>
            </w:r>
          </w:p>
        </w:tc>
        <w:tc>
          <w:tcPr>
            <w:tcW w:w="799" w:type="pct"/>
            <w:noWrap/>
            <w:vAlign w:val="center"/>
          </w:tcPr>
          <w:p w14:paraId="75888DAA">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128.25 (94.10-178.45)</w:t>
            </w:r>
          </w:p>
        </w:tc>
        <w:tc>
          <w:tcPr>
            <w:tcW w:w="334" w:type="pct"/>
            <w:noWrap/>
            <w:vAlign w:val="center"/>
          </w:tcPr>
          <w:p w14:paraId="12AF99B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0.285 </w:t>
            </w:r>
          </w:p>
        </w:tc>
        <w:tc>
          <w:tcPr>
            <w:tcW w:w="799" w:type="pct"/>
            <w:noWrap/>
            <w:vAlign w:val="center"/>
          </w:tcPr>
          <w:p w14:paraId="75A8A4C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128.00 (92.00-187.07)</w:t>
            </w:r>
          </w:p>
        </w:tc>
        <w:tc>
          <w:tcPr>
            <w:tcW w:w="799" w:type="pct"/>
            <w:noWrap/>
            <w:vAlign w:val="center"/>
          </w:tcPr>
          <w:p w14:paraId="61C6089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136.00 (110.40-210.00)</w:t>
            </w:r>
          </w:p>
        </w:tc>
        <w:tc>
          <w:tcPr>
            <w:tcW w:w="332" w:type="pct"/>
            <w:noWrap/>
            <w:vAlign w:val="center"/>
          </w:tcPr>
          <w:p w14:paraId="05452A0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0.211 </w:t>
            </w:r>
          </w:p>
        </w:tc>
      </w:tr>
      <w:tr w14:paraId="581AD62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65D5B9C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LDH (IU/L)</w:t>
            </w:r>
          </w:p>
        </w:tc>
        <w:tc>
          <w:tcPr>
            <w:tcW w:w="799" w:type="pct"/>
            <w:noWrap/>
            <w:vAlign w:val="center"/>
          </w:tcPr>
          <w:p w14:paraId="5345946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235.50 (195.50-292.25)</w:t>
            </w:r>
          </w:p>
        </w:tc>
        <w:tc>
          <w:tcPr>
            <w:tcW w:w="799" w:type="pct"/>
            <w:noWrap/>
            <w:vAlign w:val="center"/>
          </w:tcPr>
          <w:p w14:paraId="2F5C518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242.95 (216.00-309.12)</w:t>
            </w:r>
          </w:p>
        </w:tc>
        <w:tc>
          <w:tcPr>
            <w:tcW w:w="334" w:type="pct"/>
            <w:noWrap/>
            <w:vAlign w:val="center"/>
          </w:tcPr>
          <w:p w14:paraId="03B13EE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0.144 </w:t>
            </w:r>
          </w:p>
        </w:tc>
        <w:tc>
          <w:tcPr>
            <w:tcW w:w="799" w:type="pct"/>
            <w:noWrap/>
            <w:vAlign w:val="center"/>
          </w:tcPr>
          <w:p w14:paraId="41C7E67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247.50 (209.25-330.75)</w:t>
            </w:r>
          </w:p>
        </w:tc>
        <w:tc>
          <w:tcPr>
            <w:tcW w:w="799" w:type="pct"/>
            <w:noWrap/>
            <w:vAlign w:val="center"/>
          </w:tcPr>
          <w:p w14:paraId="2CE1FB77">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259.00 (204.30-324.80)</w:t>
            </w:r>
          </w:p>
        </w:tc>
        <w:tc>
          <w:tcPr>
            <w:tcW w:w="332" w:type="pct"/>
            <w:noWrap/>
            <w:vAlign w:val="center"/>
          </w:tcPr>
          <w:p w14:paraId="7478C49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0.636 </w:t>
            </w:r>
          </w:p>
        </w:tc>
      </w:tr>
      <w:tr w14:paraId="61773BB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18979055">
            <w:pPr>
              <w:widowControl/>
              <w:jc w:val="left"/>
              <w:rPr>
                <w:rFonts w:ascii="Times New Roman" w:hAnsi="Times New Roman" w:eastAsia="等线" w:cs="Times New Roman"/>
                <w:b/>
                <w:bCs/>
                <w:color w:val="000000"/>
                <w:kern w:val="0"/>
                <w:szCs w:val="21"/>
              </w:rPr>
            </w:pPr>
            <w:r>
              <w:rPr>
                <w:rFonts w:ascii="Times New Roman" w:hAnsi="Times New Roman" w:eastAsia="等线" w:cs="Times New Roman"/>
                <w:b/>
                <w:bCs/>
                <w:color w:val="000000"/>
                <w:kern w:val="0"/>
                <w:szCs w:val="21"/>
              </w:rPr>
              <w:t>Liver stiffness measurement</w:t>
            </w:r>
          </w:p>
        </w:tc>
        <w:tc>
          <w:tcPr>
            <w:tcW w:w="799" w:type="pct"/>
            <w:noWrap/>
            <w:vAlign w:val="center"/>
          </w:tcPr>
          <w:p w14:paraId="0988DCC2">
            <w:pPr>
              <w:widowControl/>
              <w:jc w:val="left"/>
              <w:rPr>
                <w:rFonts w:ascii="Times New Roman" w:hAnsi="Times New Roman" w:eastAsia="等线" w:cs="Times New Roman"/>
                <w:b/>
                <w:bCs/>
                <w:color w:val="000000"/>
                <w:kern w:val="0"/>
                <w:szCs w:val="21"/>
              </w:rPr>
            </w:pPr>
          </w:p>
        </w:tc>
        <w:tc>
          <w:tcPr>
            <w:tcW w:w="799" w:type="pct"/>
            <w:noWrap/>
            <w:vAlign w:val="center"/>
          </w:tcPr>
          <w:p w14:paraId="6289A3B7">
            <w:pPr>
              <w:widowControl/>
              <w:jc w:val="left"/>
              <w:rPr>
                <w:rFonts w:ascii="Times New Roman" w:hAnsi="Times New Roman" w:eastAsia="Times New Roman" w:cs="Times New Roman"/>
                <w:kern w:val="0"/>
                <w:szCs w:val="21"/>
              </w:rPr>
            </w:pPr>
          </w:p>
        </w:tc>
        <w:tc>
          <w:tcPr>
            <w:tcW w:w="334" w:type="pct"/>
            <w:noWrap/>
            <w:vAlign w:val="center"/>
          </w:tcPr>
          <w:p w14:paraId="555A87E2">
            <w:pPr>
              <w:widowControl/>
              <w:jc w:val="left"/>
              <w:rPr>
                <w:rFonts w:ascii="Times New Roman" w:hAnsi="Times New Roman" w:eastAsia="Times New Roman" w:cs="Times New Roman"/>
                <w:kern w:val="0"/>
                <w:szCs w:val="21"/>
              </w:rPr>
            </w:pPr>
          </w:p>
        </w:tc>
        <w:tc>
          <w:tcPr>
            <w:tcW w:w="799" w:type="pct"/>
            <w:noWrap/>
            <w:vAlign w:val="center"/>
          </w:tcPr>
          <w:p w14:paraId="0D1BD23B">
            <w:pPr>
              <w:widowControl/>
              <w:jc w:val="center"/>
              <w:rPr>
                <w:rFonts w:ascii="Times New Roman" w:hAnsi="Times New Roman" w:eastAsia="Times New Roman" w:cs="Times New Roman"/>
                <w:kern w:val="0"/>
                <w:szCs w:val="21"/>
              </w:rPr>
            </w:pPr>
          </w:p>
        </w:tc>
        <w:tc>
          <w:tcPr>
            <w:tcW w:w="799" w:type="pct"/>
            <w:noWrap/>
            <w:vAlign w:val="center"/>
          </w:tcPr>
          <w:p w14:paraId="7F5CCED6">
            <w:pPr>
              <w:widowControl/>
              <w:jc w:val="left"/>
              <w:rPr>
                <w:rFonts w:ascii="Times New Roman" w:hAnsi="Times New Roman" w:eastAsia="Times New Roman" w:cs="Times New Roman"/>
                <w:kern w:val="0"/>
                <w:szCs w:val="21"/>
              </w:rPr>
            </w:pPr>
          </w:p>
        </w:tc>
        <w:tc>
          <w:tcPr>
            <w:tcW w:w="332" w:type="pct"/>
            <w:noWrap/>
            <w:vAlign w:val="center"/>
          </w:tcPr>
          <w:p w14:paraId="2677EACB">
            <w:pPr>
              <w:widowControl/>
              <w:jc w:val="left"/>
              <w:rPr>
                <w:rFonts w:ascii="Times New Roman" w:hAnsi="Times New Roman" w:eastAsia="Times New Roman" w:cs="Times New Roman"/>
                <w:kern w:val="0"/>
                <w:szCs w:val="21"/>
              </w:rPr>
            </w:pPr>
          </w:p>
        </w:tc>
      </w:tr>
      <w:tr w14:paraId="6591D5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363BEB99">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2D SWE (kPa)</w:t>
            </w:r>
          </w:p>
        </w:tc>
        <w:tc>
          <w:tcPr>
            <w:tcW w:w="799" w:type="pct"/>
            <w:noWrap/>
            <w:vAlign w:val="center"/>
          </w:tcPr>
          <w:p w14:paraId="33CA24E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23.60 (20.08-29.20)</w:t>
            </w:r>
          </w:p>
        </w:tc>
        <w:tc>
          <w:tcPr>
            <w:tcW w:w="799" w:type="pct"/>
            <w:noWrap/>
            <w:vAlign w:val="center"/>
          </w:tcPr>
          <w:p w14:paraId="6CF7517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33.15 (26.15-36.85)</w:t>
            </w:r>
          </w:p>
        </w:tc>
        <w:tc>
          <w:tcPr>
            <w:tcW w:w="334" w:type="pct"/>
            <w:noWrap/>
            <w:vAlign w:val="center"/>
          </w:tcPr>
          <w:p w14:paraId="66FE2DD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&lt;0.001</w:t>
            </w:r>
          </w:p>
        </w:tc>
        <w:tc>
          <w:tcPr>
            <w:tcW w:w="799" w:type="pct"/>
            <w:noWrap/>
            <w:vAlign w:val="center"/>
          </w:tcPr>
          <w:p w14:paraId="403217BB">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27.60 (20.75-30.45)</w:t>
            </w:r>
          </w:p>
        </w:tc>
        <w:tc>
          <w:tcPr>
            <w:tcW w:w="799" w:type="pct"/>
            <w:noWrap/>
            <w:vAlign w:val="center"/>
          </w:tcPr>
          <w:p w14:paraId="5CC52D5C">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33.50 (26.50-36.80)</w:t>
            </w:r>
          </w:p>
        </w:tc>
        <w:tc>
          <w:tcPr>
            <w:tcW w:w="332" w:type="pct"/>
            <w:noWrap/>
            <w:vAlign w:val="center"/>
          </w:tcPr>
          <w:p w14:paraId="136A06C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0.001 </w:t>
            </w:r>
          </w:p>
        </w:tc>
      </w:tr>
      <w:tr w14:paraId="26FB1BF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26C7FD2D">
            <w:pPr>
              <w:widowControl/>
              <w:jc w:val="left"/>
              <w:rPr>
                <w:rFonts w:ascii="Times New Roman" w:hAnsi="Times New Roman" w:eastAsia="等线" w:cs="Times New Roman"/>
                <w:b/>
                <w:bCs/>
                <w:color w:val="000000"/>
                <w:kern w:val="0"/>
                <w:szCs w:val="21"/>
              </w:rPr>
            </w:pPr>
            <w:r>
              <w:rPr>
                <w:rFonts w:ascii="Times New Roman" w:hAnsi="Times New Roman" w:eastAsia="等线" w:cs="Times New Roman"/>
                <w:b/>
                <w:bCs/>
                <w:color w:val="000000"/>
                <w:kern w:val="0"/>
                <w:szCs w:val="21"/>
              </w:rPr>
              <w:t>Prognostic score</w:t>
            </w:r>
          </w:p>
        </w:tc>
        <w:tc>
          <w:tcPr>
            <w:tcW w:w="799" w:type="pct"/>
            <w:noWrap/>
            <w:vAlign w:val="center"/>
          </w:tcPr>
          <w:p w14:paraId="61485D4B">
            <w:pPr>
              <w:widowControl/>
              <w:jc w:val="left"/>
              <w:rPr>
                <w:rFonts w:ascii="Times New Roman" w:hAnsi="Times New Roman" w:eastAsia="等线" w:cs="Times New Roman"/>
                <w:b/>
                <w:bCs/>
                <w:color w:val="000000"/>
                <w:kern w:val="0"/>
                <w:szCs w:val="21"/>
              </w:rPr>
            </w:pPr>
          </w:p>
        </w:tc>
        <w:tc>
          <w:tcPr>
            <w:tcW w:w="799" w:type="pct"/>
            <w:noWrap/>
            <w:vAlign w:val="center"/>
          </w:tcPr>
          <w:p w14:paraId="302FFE0F">
            <w:pPr>
              <w:widowControl/>
              <w:jc w:val="left"/>
              <w:rPr>
                <w:rFonts w:ascii="Times New Roman" w:hAnsi="Times New Roman" w:eastAsia="Times New Roman" w:cs="Times New Roman"/>
                <w:kern w:val="0"/>
                <w:szCs w:val="21"/>
              </w:rPr>
            </w:pPr>
          </w:p>
        </w:tc>
        <w:tc>
          <w:tcPr>
            <w:tcW w:w="334" w:type="pct"/>
            <w:noWrap/>
            <w:vAlign w:val="center"/>
          </w:tcPr>
          <w:p w14:paraId="3C3249EF">
            <w:pPr>
              <w:widowControl/>
              <w:jc w:val="left"/>
              <w:rPr>
                <w:rFonts w:ascii="Times New Roman" w:hAnsi="Times New Roman" w:eastAsia="Times New Roman" w:cs="Times New Roman"/>
                <w:kern w:val="0"/>
                <w:szCs w:val="21"/>
              </w:rPr>
            </w:pPr>
          </w:p>
        </w:tc>
        <w:tc>
          <w:tcPr>
            <w:tcW w:w="799" w:type="pct"/>
            <w:noWrap/>
            <w:vAlign w:val="center"/>
          </w:tcPr>
          <w:p w14:paraId="704B3069">
            <w:pPr>
              <w:widowControl/>
              <w:jc w:val="center"/>
              <w:rPr>
                <w:rFonts w:ascii="Times New Roman" w:hAnsi="Times New Roman" w:eastAsia="Times New Roman" w:cs="Times New Roman"/>
                <w:kern w:val="0"/>
                <w:szCs w:val="21"/>
              </w:rPr>
            </w:pPr>
          </w:p>
        </w:tc>
        <w:tc>
          <w:tcPr>
            <w:tcW w:w="799" w:type="pct"/>
            <w:noWrap/>
            <w:vAlign w:val="center"/>
          </w:tcPr>
          <w:p w14:paraId="0F8D1D24">
            <w:pPr>
              <w:widowControl/>
              <w:jc w:val="left"/>
              <w:rPr>
                <w:rFonts w:ascii="Times New Roman" w:hAnsi="Times New Roman" w:eastAsia="Times New Roman" w:cs="Times New Roman"/>
                <w:kern w:val="0"/>
                <w:szCs w:val="21"/>
              </w:rPr>
            </w:pPr>
          </w:p>
        </w:tc>
        <w:tc>
          <w:tcPr>
            <w:tcW w:w="332" w:type="pct"/>
            <w:noWrap/>
            <w:vAlign w:val="center"/>
          </w:tcPr>
          <w:p w14:paraId="33A39E42">
            <w:pPr>
              <w:widowControl/>
              <w:jc w:val="left"/>
              <w:rPr>
                <w:rFonts w:ascii="Times New Roman" w:hAnsi="Times New Roman" w:eastAsia="Times New Roman" w:cs="Times New Roman"/>
                <w:kern w:val="0"/>
                <w:szCs w:val="21"/>
              </w:rPr>
            </w:pPr>
          </w:p>
        </w:tc>
      </w:tr>
      <w:tr w14:paraId="2364397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39" w:type="pct"/>
            <w:noWrap/>
            <w:vAlign w:val="center"/>
          </w:tcPr>
          <w:p w14:paraId="0A6C082E">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MELD</w:t>
            </w:r>
          </w:p>
        </w:tc>
        <w:tc>
          <w:tcPr>
            <w:tcW w:w="799" w:type="pct"/>
            <w:noWrap/>
            <w:vAlign w:val="center"/>
          </w:tcPr>
          <w:p w14:paraId="6D828A7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12.45 (9.83-19.30)</w:t>
            </w:r>
          </w:p>
        </w:tc>
        <w:tc>
          <w:tcPr>
            <w:tcW w:w="799" w:type="pct"/>
            <w:noWrap/>
            <w:vAlign w:val="center"/>
          </w:tcPr>
          <w:p w14:paraId="44065164">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16.30 (13.05-23.50)</w:t>
            </w:r>
          </w:p>
        </w:tc>
        <w:tc>
          <w:tcPr>
            <w:tcW w:w="334" w:type="pct"/>
            <w:noWrap/>
            <w:vAlign w:val="center"/>
          </w:tcPr>
          <w:p w14:paraId="416D4DA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0.002 </w:t>
            </w:r>
          </w:p>
        </w:tc>
        <w:tc>
          <w:tcPr>
            <w:tcW w:w="799" w:type="pct"/>
            <w:noWrap/>
            <w:vAlign w:val="center"/>
          </w:tcPr>
          <w:p w14:paraId="1949083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15.25 (12.10-20.05)</w:t>
            </w:r>
          </w:p>
        </w:tc>
        <w:tc>
          <w:tcPr>
            <w:tcW w:w="799" w:type="pct"/>
            <w:noWrap/>
            <w:vAlign w:val="center"/>
          </w:tcPr>
          <w:p w14:paraId="21CBF15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17.50 (14.00-24.40)</w:t>
            </w:r>
          </w:p>
        </w:tc>
        <w:tc>
          <w:tcPr>
            <w:tcW w:w="332" w:type="pct"/>
            <w:noWrap/>
            <w:vAlign w:val="center"/>
          </w:tcPr>
          <w:p w14:paraId="27F5FFD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0.022 </w:t>
            </w:r>
          </w:p>
        </w:tc>
      </w:tr>
    </w:tbl>
    <w:p w14:paraId="36B64EC0">
      <w:pPr>
        <w:wordWrap w:val="0"/>
        <w:rPr>
          <w:rFonts w:ascii="Times New Roman" w:hAnsi="Times New Roman" w:cs="Times New Roman"/>
        </w:rPr>
      </w:pPr>
      <w:r>
        <w:rPr>
          <w:rFonts w:ascii="Times New Roman" w:hAnsi="Times New Roman" w:cs="Times New Roman"/>
        </w:rPr>
        <w:t>Note: Data are expressed as the median (interquartile range) or n (%).</w:t>
      </w:r>
    </w:p>
    <w:p w14:paraId="0F8B72E1">
      <w:pPr>
        <w:widowControl/>
        <w:jc w:val="left"/>
        <w:rPr>
          <w:rFonts w:ascii="Times New Roman" w:hAnsi="Times New Roman" w:cs="Times New Roman"/>
        </w:rPr>
      </w:pPr>
      <w:r>
        <w:rPr>
          <w:rFonts w:hint="eastAsia" w:ascii="Times New Roman" w:hAnsi="Times New Roman" w:cs="Times New Roman"/>
        </w:rPr>
        <w:t>Abbreviations: 2D, two-dimensional; ALP, alkaline phosphatase; ALT, alanine aminotransferase; AST, aspartate aminotransferase; GGT, gamma-glutamyl transferase; HBV, hepatitis B virus; INR, international normalized ratio; LDH, lactate dehydrogenase; MBP, mean blood pressure; MELD, model for end-stage liver disease; PLT, platelet; SWE, shear wave elastography; WBC, white blood cell.</w:t>
      </w:r>
    </w:p>
    <w:p w14:paraId="5ED7E785">
      <w:pPr>
        <w:widowControl/>
        <w:jc w:val="left"/>
        <w:rPr>
          <w:rFonts w:hint="eastAsia" w:ascii="Times New Roman" w:hAnsi="Times New Roman" w:cs="Times New Roman"/>
        </w:rPr>
      </w:pPr>
    </w:p>
    <w:p w14:paraId="26761489">
      <w:pPr>
        <w:spacing w:line="360" w:lineRule="auto"/>
        <w:outlineLvl w:val="1"/>
        <w:rPr>
          <w:rFonts w:ascii="Times New Roman" w:hAnsi="Times New Roman" w:cs="Times New Roman"/>
          <w:b/>
          <w:bCs/>
          <w:sz w:val="24"/>
          <w:szCs w:val="24"/>
        </w:rPr>
      </w:pPr>
      <w:r>
        <w:rPr>
          <w:rFonts w:hint="eastAsia" w:ascii="Times New Roman" w:hAnsi="Times New Roman" w:cs="Times New Roman"/>
          <w:b/>
          <w:bCs/>
          <w:sz w:val="24"/>
          <w:szCs w:val="24"/>
        </w:rPr>
        <w:t>Table S2: Comparison of predictive discrimination according to the number of IHH score acquisitions.</w:t>
      </w:r>
    </w:p>
    <w:tbl>
      <w:tblPr>
        <w:tblStyle w:val="19"/>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75"/>
        <w:gridCol w:w="2088"/>
        <w:gridCol w:w="1067"/>
        <w:gridCol w:w="1896"/>
        <w:gridCol w:w="1067"/>
      </w:tblGrid>
      <w:tr w14:paraId="336A0C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0" w:type="auto"/>
            <w:tcBorders>
              <w:top w:val="single" w:color="auto" w:sz="12" w:space="0"/>
              <w:left w:val="nil"/>
              <w:bottom w:val="single" w:color="auto" w:sz="6" w:space="0"/>
              <w:right w:val="nil"/>
              <w:insideH w:val="single" w:sz="6" w:space="0"/>
              <w:insideV w:val="nil"/>
              <w:tl2br w:val="nil"/>
              <w:tr2bl w:val="nil"/>
            </w:tcBorders>
            <w:noWrap/>
          </w:tcPr>
          <w:p w14:paraId="61442EE4">
            <w:pPr>
              <w:widowControl/>
              <w:jc w:val="left"/>
              <w:rPr>
                <w:rFonts w:ascii="Times New Roman" w:hAnsi="Times New Roman" w:eastAsia="Times New Roman" w:cs="Times New Roman"/>
                <w:kern w:val="0"/>
                <w:szCs w:val="21"/>
              </w:rPr>
            </w:pPr>
          </w:p>
        </w:tc>
        <w:tc>
          <w:tcPr>
            <w:tcW w:w="0" w:type="auto"/>
            <w:tcBorders>
              <w:top w:val="single" w:color="auto" w:sz="12" w:space="0"/>
              <w:bottom w:val="single" w:color="auto" w:sz="6" w:space="0"/>
              <w:right w:val="nil"/>
              <w:insideH w:val="single" w:sz="6" w:space="0"/>
              <w:insideV w:val="nil"/>
              <w:tl2br w:val="nil"/>
              <w:tr2bl w:val="nil"/>
            </w:tcBorders>
            <w:noWrap/>
          </w:tcPr>
          <w:p w14:paraId="0FC7C3BD">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Time-dependent AUC</w:t>
            </w:r>
          </w:p>
        </w:tc>
        <w:tc>
          <w:tcPr>
            <w:tcW w:w="0" w:type="auto"/>
            <w:tcBorders>
              <w:top w:val="single" w:color="auto" w:sz="12" w:space="0"/>
              <w:bottom w:val="single" w:color="auto" w:sz="6" w:space="0"/>
              <w:right w:val="nil"/>
              <w:insideH w:val="single" w:sz="6" w:space="0"/>
              <w:insideV w:val="nil"/>
              <w:tl2br w:val="nil"/>
              <w:tr2bl w:val="nil"/>
            </w:tcBorders>
            <w:noWrap/>
          </w:tcPr>
          <w:p w14:paraId="7DACD424">
            <w:pPr>
              <w:widowControl/>
              <w:jc w:val="center"/>
              <w:rPr>
                <w:rFonts w:ascii="Times New Roman" w:hAnsi="Times New Roman" w:eastAsia="等线" w:cs="Times New Roman"/>
                <w:color w:val="000000"/>
                <w:kern w:val="0"/>
                <w:szCs w:val="21"/>
              </w:rPr>
            </w:pPr>
            <w:r>
              <w:rPr>
                <w:rFonts w:ascii="Times New Roman" w:hAnsi="Times New Roman" w:eastAsia="等线" w:cs="Times New Roman"/>
                <w:i/>
                <w:iCs/>
                <w:color w:val="000000"/>
                <w:kern w:val="0"/>
                <w:szCs w:val="21"/>
              </w:rPr>
              <w:t xml:space="preserve">p </w:t>
            </w:r>
            <w:r>
              <w:rPr>
                <w:rFonts w:ascii="Times New Roman" w:hAnsi="Times New Roman" w:eastAsia="等线" w:cs="Times New Roman"/>
                <w:color w:val="000000"/>
                <w:kern w:val="0"/>
                <w:szCs w:val="21"/>
              </w:rPr>
              <w:t>value</w:t>
            </w:r>
          </w:p>
        </w:tc>
        <w:tc>
          <w:tcPr>
            <w:tcW w:w="0" w:type="auto"/>
            <w:tcBorders>
              <w:top w:val="single" w:color="auto" w:sz="12" w:space="0"/>
              <w:bottom w:val="single" w:color="auto" w:sz="6" w:space="0"/>
              <w:right w:val="nil"/>
              <w:insideH w:val="single" w:sz="6" w:space="0"/>
              <w:insideV w:val="nil"/>
              <w:tl2br w:val="nil"/>
              <w:tr2bl w:val="nil"/>
            </w:tcBorders>
            <w:noWrap/>
          </w:tcPr>
          <w:p w14:paraId="6A5368E7">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C-index</w:t>
            </w:r>
          </w:p>
        </w:tc>
        <w:tc>
          <w:tcPr>
            <w:tcW w:w="0" w:type="auto"/>
            <w:tcBorders>
              <w:top w:val="single" w:color="auto" w:sz="12" w:space="0"/>
              <w:bottom w:val="single" w:color="auto" w:sz="6" w:space="0"/>
              <w:right w:val="nil"/>
              <w:insideH w:val="single" w:sz="6" w:space="0"/>
              <w:insideV w:val="nil"/>
              <w:tl2br w:val="nil"/>
              <w:tr2bl w:val="nil"/>
            </w:tcBorders>
            <w:noWrap/>
          </w:tcPr>
          <w:p w14:paraId="1CEC61A1">
            <w:pPr>
              <w:widowControl/>
              <w:jc w:val="center"/>
              <w:rPr>
                <w:rFonts w:ascii="Times New Roman" w:hAnsi="Times New Roman" w:eastAsia="等线" w:cs="Times New Roman"/>
                <w:color w:val="000000"/>
                <w:kern w:val="0"/>
                <w:szCs w:val="21"/>
              </w:rPr>
            </w:pPr>
            <w:r>
              <w:rPr>
                <w:rFonts w:ascii="Times New Roman" w:hAnsi="Times New Roman" w:eastAsia="等线" w:cs="Times New Roman"/>
                <w:i/>
                <w:iCs/>
                <w:color w:val="000000"/>
                <w:kern w:val="0"/>
                <w:szCs w:val="21"/>
              </w:rPr>
              <w:t xml:space="preserve">p </w:t>
            </w:r>
            <w:r>
              <w:rPr>
                <w:rFonts w:ascii="Times New Roman" w:hAnsi="Times New Roman" w:eastAsia="等线" w:cs="Times New Roman"/>
                <w:color w:val="000000"/>
                <w:kern w:val="0"/>
                <w:szCs w:val="21"/>
              </w:rPr>
              <w:t>value</w:t>
            </w:r>
          </w:p>
        </w:tc>
      </w:tr>
      <w:tr w14:paraId="703DA6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0" w:type="auto"/>
            <w:gridSpan w:val="5"/>
            <w:noWrap/>
          </w:tcPr>
          <w:p w14:paraId="0675CCC7">
            <w:pPr>
              <w:widowControl/>
              <w:jc w:val="left"/>
              <w:rPr>
                <w:rFonts w:ascii="Times New Roman" w:hAnsi="Times New Roman" w:eastAsia="等线" w:cs="Times New Roman"/>
                <w:b/>
                <w:bCs/>
                <w:color w:val="000000"/>
                <w:kern w:val="0"/>
                <w:szCs w:val="21"/>
              </w:rPr>
            </w:pPr>
            <w:r>
              <w:rPr>
                <w:rFonts w:ascii="Times New Roman" w:hAnsi="Times New Roman" w:eastAsia="等线" w:cs="Times New Roman"/>
                <w:b/>
                <w:bCs/>
                <w:color w:val="000000"/>
                <w:kern w:val="0"/>
                <w:szCs w:val="21"/>
              </w:rPr>
              <w:t>Training cohort</w:t>
            </w:r>
          </w:p>
        </w:tc>
      </w:tr>
      <w:tr w14:paraId="2AE3648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0" w:type="auto"/>
            <w:noWrap/>
          </w:tcPr>
          <w:p w14:paraId="0817ACDF">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 measurement</w:t>
            </w:r>
          </w:p>
        </w:tc>
        <w:tc>
          <w:tcPr>
            <w:tcW w:w="0" w:type="auto"/>
            <w:noWrap/>
          </w:tcPr>
          <w:p w14:paraId="0F4F956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0.814 (0.729-0.887)</w:t>
            </w:r>
          </w:p>
        </w:tc>
        <w:tc>
          <w:tcPr>
            <w:tcW w:w="0" w:type="auto"/>
            <w:noWrap/>
          </w:tcPr>
          <w:p w14:paraId="7B2307D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0.697</w:t>
            </w:r>
          </w:p>
        </w:tc>
        <w:tc>
          <w:tcPr>
            <w:tcW w:w="0" w:type="auto"/>
            <w:noWrap/>
          </w:tcPr>
          <w:p w14:paraId="09F2017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0.714 (0.655-0.774) </w:t>
            </w:r>
          </w:p>
        </w:tc>
        <w:tc>
          <w:tcPr>
            <w:tcW w:w="0" w:type="auto"/>
            <w:noWrap/>
          </w:tcPr>
          <w:p w14:paraId="242E9A5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0.076</w:t>
            </w:r>
          </w:p>
        </w:tc>
      </w:tr>
      <w:tr w14:paraId="312AF80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0" w:type="auto"/>
            <w:noWrap/>
          </w:tcPr>
          <w:p w14:paraId="70946AFA">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 measurements</w:t>
            </w:r>
          </w:p>
        </w:tc>
        <w:tc>
          <w:tcPr>
            <w:tcW w:w="0" w:type="auto"/>
            <w:noWrap/>
          </w:tcPr>
          <w:p w14:paraId="08D8F42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0.821 (0.741-0.891)</w:t>
            </w:r>
          </w:p>
        </w:tc>
        <w:tc>
          <w:tcPr>
            <w:tcW w:w="0" w:type="auto"/>
            <w:noWrap/>
          </w:tcPr>
          <w:p w14:paraId="061B556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0.789</w:t>
            </w:r>
          </w:p>
        </w:tc>
        <w:tc>
          <w:tcPr>
            <w:tcW w:w="0" w:type="auto"/>
            <w:noWrap/>
          </w:tcPr>
          <w:p w14:paraId="61A85D6E">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0.718 (0.658-0.778)</w:t>
            </w:r>
          </w:p>
        </w:tc>
        <w:tc>
          <w:tcPr>
            <w:tcW w:w="0" w:type="auto"/>
            <w:noWrap/>
          </w:tcPr>
          <w:p w14:paraId="13153F52">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0.364</w:t>
            </w:r>
          </w:p>
        </w:tc>
      </w:tr>
      <w:tr w14:paraId="6B401FD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0" w:type="auto"/>
            <w:noWrap/>
          </w:tcPr>
          <w:p w14:paraId="58799961">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 measurements</w:t>
            </w:r>
          </w:p>
        </w:tc>
        <w:tc>
          <w:tcPr>
            <w:tcW w:w="0" w:type="auto"/>
            <w:noWrap/>
          </w:tcPr>
          <w:p w14:paraId="4BFDF59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 0.836 (0.763-0.899) </w:t>
            </w:r>
          </w:p>
        </w:tc>
        <w:tc>
          <w:tcPr>
            <w:tcW w:w="0" w:type="auto"/>
          </w:tcPr>
          <w:p w14:paraId="68C40D34">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Reference</w:t>
            </w:r>
          </w:p>
        </w:tc>
        <w:tc>
          <w:tcPr>
            <w:tcW w:w="0" w:type="auto"/>
          </w:tcPr>
          <w:p w14:paraId="443B722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0.738 (0.684-0.792) </w:t>
            </w:r>
          </w:p>
        </w:tc>
        <w:tc>
          <w:tcPr>
            <w:tcW w:w="0" w:type="auto"/>
          </w:tcPr>
          <w:p w14:paraId="37985D4D">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Reference</w:t>
            </w:r>
          </w:p>
        </w:tc>
      </w:tr>
      <w:tr w14:paraId="65E7BD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0" w:type="auto"/>
            <w:gridSpan w:val="5"/>
            <w:noWrap/>
          </w:tcPr>
          <w:p w14:paraId="1612AF9C">
            <w:pPr>
              <w:widowControl/>
              <w:jc w:val="left"/>
              <w:rPr>
                <w:rFonts w:ascii="Times New Roman" w:hAnsi="Times New Roman" w:eastAsia="等线" w:cs="Times New Roman"/>
                <w:b/>
                <w:bCs/>
                <w:color w:val="000000"/>
                <w:kern w:val="0"/>
                <w:szCs w:val="21"/>
              </w:rPr>
            </w:pPr>
            <w:r>
              <w:rPr>
                <w:rFonts w:ascii="Times New Roman" w:hAnsi="Times New Roman" w:eastAsia="等线" w:cs="Times New Roman"/>
                <w:b/>
                <w:bCs/>
                <w:color w:val="000000"/>
                <w:kern w:val="0"/>
                <w:szCs w:val="21"/>
              </w:rPr>
              <w:t>Validation cohort</w:t>
            </w:r>
          </w:p>
        </w:tc>
      </w:tr>
      <w:tr w14:paraId="2C60BC2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0" w:type="auto"/>
            <w:noWrap/>
          </w:tcPr>
          <w:p w14:paraId="06514875">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 measurement</w:t>
            </w:r>
          </w:p>
        </w:tc>
        <w:tc>
          <w:tcPr>
            <w:tcW w:w="0" w:type="auto"/>
            <w:noWrap/>
          </w:tcPr>
          <w:p w14:paraId="7755739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0.795 (0.681-0.900)</w:t>
            </w:r>
          </w:p>
        </w:tc>
        <w:tc>
          <w:tcPr>
            <w:tcW w:w="0" w:type="auto"/>
            <w:noWrap/>
          </w:tcPr>
          <w:p w14:paraId="243F4AF5">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0.859</w:t>
            </w:r>
          </w:p>
        </w:tc>
        <w:tc>
          <w:tcPr>
            <w:tcW w:w="0" w:type="auto"/>
            <w:noWrap/>
          </w:tcPr>
          <w:p w14:paraId="2B2B655C">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0.695 (0.621-0.769) </w:t>
            </w:r>
          </w:p>
        </w:tc>
        <w:tc>
          <w:tcPr>
            <w:tcW w:w="0" w:type="auto"/>
            <w:noWrap/>
          </w:tcPr>
          <w:p w14:paraId="3ADC316B">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0.649</w:t>
            </w:r>
          </w:p>
        </w:tc>
      </w:tr>
      <w:tr w14:paraId="310AAAA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0" w:type="auto"/>
            <w:noWrap/>
          </w:tcPr>
          <w:p w14:paraId="161ED55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 measurements</w:t>
            </w:r>
          </w:p>
        </w:tc>
        <w:tc>
          <w:tcPr>
            <w:tcW w:w="0" w:type="auto"/>
            <w:noWrap/>
          </w:tcPr>
          <w:p w14:paraId="37EA8AA0">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0.809 (0.698-0.907)</w:t>
            </w:r>
          </w:p>
        </w:tc>
        <w:tc>
          <w:tcPr>
            <w:tcW w:w="0" w:type="auto"/>
            <w:noWrap/>
          </w:tcPr>
          <w:p w14:paraId="3BD4DBD1">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0.848</w:t>
            </w:r>
          </w:p>
        </w:tc>
        <w:tc>
          <w:tcPr>
            <w:tcW w:w="0" w:type="auto"/>
            <w:noWrap/>
          </w:tcPr>
          <w:p w14:paraId="7001A389">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0.714 (0.643-0.784)  </w:t>
            </w:r>
          </w:p>
        </w:tc>
        <w:tc>
          <w:tcPr>
            <w:tcW w:w="0" w:type="auto"/>
            <w:noWrap/>
          </w:tcPr>
          <w:p w14:paraId="09EBAAF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0.663</w:t>
            </w:r>
          </w:p>
        </w:tc>
      </w:tr>
      <w:tr w14:paraId="66719DA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0" w:type="auto"/>
            <w:noWrap/>
          </w:tcPr>
          <w:p w14:paraId="0141E293">
            <w:pPr>
              <w:widowControl/>
              <w:jc w:val="left"/>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 measurements</w:t>
            </w:r>
          </w:p>
        </w:tc>
        <w:tc>
          <w:tcPr>
            <w:tcW w:w="0" w:type="auto"/>
            <w:noWrap/>
          </w:tcPr>
          <w:p w14:paraId="579DD853">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0.826 (0.717-0.917)</w:t>
            </w:r>
          </w:p>
        </w:tc>
        <w:tc>
          <w:tcPr>
            <w:tcW w:w="0" w:type="auto"/>
          </w:tcPr>
          <w:p w14:paraId="5D80C776">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Reference</w:t>
            </w:r>
          </w:p>
        </w:tc>
        <w:tc>
          <w:tcPr>
            <w:tcW w:w="0" w:type="auto"/>
          </w:tcPr>
          <w:p w14:paraId="3070E0F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 xml:space="preserve">0.736 (0.671-0.802) </w:t>
            </w:r>
          </w:p>
        </w:tc>
        <w:tc>
          <w:tcPr>
            <w:tcW w:w="0" w:type="auto"/>
          </w:tcPr>
          <w:p w14:paraId="75736188">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Reference</w:t>
            </w:r>
          </w:p>
        </w:tc>
      </w:tr>
    </w:tbl>
    <w:p w14:paraId="617BD7AE">
      <w:pPr>
        <w:widowControl/>
        <w:jc w:val="left"/>
        <w:rPr>
          <w:rFonts w:hint="eastAsia"/>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imesNewRomanPS-BoldMT">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AFC5">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7F9C22">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187F9C22">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212"/>
    <w:rsid w:val="00000069"/>
    <w:rsid w:val="00031417"/>
    <w:rsid w:val="00056431"/>
    <w:rsid w:val="000623ED"/>
    <w:rsid w:val="000A3795"/>
    <w:rsid w:val="000C0199"/>
    <w:rsid w:val="000D2492"/>
    <w:rsid w:val="000D35CE"/>
    <w:rsid w:val="00113D2D"/>
    <w:rsid w:val="00130701"/>
    <w:rsid w:val="0013521B"/>
    <w:rsid w:val="00144DDD"/>
    <w:rsid w:val="00146AE5"/>
    <w:rsid w:val="00153CC7"/>
    <w:rsid w:val="00165196"/>
    <w:rsid w:val="001673FB"/>
    <w:rsid w:val="00181DED"/>
    <w:rsid w:val="00184982"/>
    <w:rsid w:val="00194764"/>
    <w:rsid w:val="001B3DB4"/>
    <w:rsid w:val="00203003"/>
    <w:rsid w:val="0023522E"/>
    <w:rsid w:val="0026668B"/>
    <w:rsid w:val="002714AD"/>
    <w:rsid w:val="002A785C"/>
    <w:rsid w:val="002D2CDE"/>
    <w:rsid w:val="002E6320"/>
    <w:rsid w:val="002F648B"/>
    <w:rsid w:val="00331017"/>
    <w:rsid w:val="00343B40"/>
    <w:rsid w:val="00367DB8"/>
    <w:rsid w:val="00386A3A"/>
    <w:rsid w:val="0039014F"/>
    <w:rsid w:val="003953F2"/>
    <w:rsid w:val="003C4D7B"/>
    <w:rsid w:val="004028EC"/>
    <w:rsid w:val="004236B1"/>
    <w:rsid w:val="00494D3C"/>
    <w:rsid w:val="004E2F30"/>
    <w:rsid w:val="004F1479"/>
    <w:rsid w:val="00531B86"/>
    <w:rsid w:val="00536B33"/>
    <w:rsid w:val="00551422"/>
    <w:rsid w:val="005B1849"/>
    <w:rsid w:val="005B67E4"/>
    <w:rsid w:val="005C17F4"/>
    <w:rsid w:val="005C3813"/>
    <w:rsid w:val="005D104E"/>
    <w:rsid w:val="005D2CC5"/>
    <w:rsid w:val="005E2725"/>
    <w:rsid w:val="005E5DEA"/>
    <w:rsid w:val="005F274B"/>
    <w:rsid w:val="005F4257"/>
    <w:rsid w:val="00602B95"/>
    <w:rsid w:val="00603466"/>
    <w:rsid w:val="0060579A"/>
    <w:rsid w:val="00622A28"/>
    <w:rsid w:val="00626D43"/>
    <w:rsid w:val="00637FDC"/>
    <w:rsid w:val="00662571"/>
    <w:rsid w:val="00662FC1"/>
    <w:rsid w:val="0068685A"/>
    <w:rsid w:val="00696F63"/>
    <w:rsid w:val="006A10CF"/>
    <w:rsid w:val="006A46B7"/>
    <w:rsid w:val="006B6CCF"/>
    <w:rsid w:val="006C2EED"/>
    <w:rsid w:val="00713AEF"/>
    <w:rsid w:val="007305CB"/>
    <w:rsid w:val="00731929"/>
    <w:rsid w:val="0073355D"/>
    <w:rsid w:val="007425F4"/>
    <w:rsid w:val="00747676"/>
    <w:rsid w:val="007521C2"/>
    <w:rsid w:val="007562E8"/>
    <w:rsid w:val="007D2C2B"/>
    <w:rsid w:val="007E3AB9"/>
    <w:rsid w:val="00803412"/>
    <w:rsid w:val="0080418A"/>
    <w:rsid w:val="00807053"/>
    <w:rsid w:val="00827E6E"/>
    <w:rsid w:val="00840BC7"/>
    <w:rsid w:val="00851EE2"/>
    <w:rsid w:val="00861768"/>
    <w:rsid w:val="008644A2"/>
    <w:rsid w:val="00866ED9"/>
    <w:rsid w:val="008820B6"/>
    <w:rsid w:val="00883BCC"/>
    <w:rsid w:val="008A4F61"/>
    <w:rsid w:val="008B2DF3"/>
    <w:rsid w:val="008D75B1"/>
    <w:rsid w:val="00907CF5"/>
    <w:rsid w:val="009450FB"/>
    <w:rsid w:val="00985C39"/>
    <w:rsid w:val="009A196C"/>
    <w:rsid w:val="009A4BCE"/>
    <w:rsid w:val="009B1289"/>
    <w:rsid w:val="009C7A52"/>
    <w:rsid w:val="009E1212"/>
    <w:rsid w:val="009F4DCF"/>
    <w:rsid w:val="00A25B06"/>
    <w:rsid w:val="00A40475"/>
    <w:rsid w:val="00A4553C"/>
    <w:rsid w:val="00A60538"/>
    <w:rsid w:val="00A7200C"/>
    <w:rsid w:val="00A80214"/>
    <w:rsid w:val="00AA618C"/>
    <w:rsid w:val="00B30450"/>
    <w:rsid w:val="00B54C3A"/>
    <w:rsid w:val="00B80117"/>
    <w:rsid w:val="00BB3274"/>
    <w:rsid w:val="00BC4032"/>
    <w:rsid w:val="00BF47C3"/>
    <w:rsid w:val="00C02324"/>
    <w:rsid w:val="00C14F0D"/>
    <w:rsid w:val="00C24331"/>
    <w:rsid w:val="00C35B50"/>
    <w:rsid w:val="00C40018"/>
    <w:rsid w:val="00C43679"/>
    <w:rsid w:val="00C76884"/>
    <w:rsid w:val="00C90D96"/>
    <w:rsid w:val="00CB3680"/>
    <w:rsid w:val="00CD5988"/>
    <w:rsid w:val="00D034AA"/>
    <w:rsid w:val="00D53055"/>
    <w:rsid w:val="00D61373"/>
    <w:rsid w:val="00DA1D0D"/>
    <w:rsid w:val="00DB2CD8"/>
    <w:rsid w:val="00DE5DBC"/>
    <w:rsid w:val="00DF012B"/>
    <w:rsid w:val="00DF1DA8"/>
    <w:rsid w:val="00E13C32"/>
    <w:rsid w:val="00E424B4"/>
    <w:rsid w:val="00E853CE"/>
    <w:rsid w:val="00EB2A86"/>
    <w:rsid w:val="00EC72FC"/>
    <w:rsid w:val="00F20716"/>
    <w:rsid w:val="00F22F7F"/>
    <w:rsid w:val="00F42DA7"/>
    <w:rsid w:val="00F54B66"/>
    <w:rsid w:val="00F719D1"/>
    <w:rsid w:val="00F81A88"/>
    <w:rsid w:val="00F839DD"/>
    <w:rsid w:val="00FF2B42"/>
    <w:rsid w:val="00FF3D3F"/>
    <w:rsid w:val="0F083A0A"/>
    <w:rsid w:val="1B5B1F3A"/>
    <w:rsid w:val="26AA20C2"/>
    <w:rsid w:val="2E5B1C19"/>
    <w:rsid w:val="58541805"/>
    <w:rsid w:val="5A5C7BD5"/>
    <w:rsid w:val="64CD176A"/>
    <w:rsid w:val="6DB2434C"/>
    <w:rsid w:val="6EFC7FF7"/>
    <w:rsid w:val="79800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2F5597" w:themeColor="accent1" w:themeShade="BF"/>
      <w:sz w:val="22"/>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sz w:val="22"/>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sz w:val="22"/>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sz w:val="22"/>
      <w14:textFill>
        <w14:solidFill>
          <w14:schemeClr w14:val="tx1">
            <w14:lumMod w14:val="65000"/>
            <w14:lumOff w14:val="35000"/>
          </w14:schemeClr>
        </w14:solidFill>
      </w14:textFill>
    </w:rPr>
  </w:style>
  <w:style w:type="character" w:default="1" w:styleId="17">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9"/>
    <w:unhideWhenUsed/>
    <w:qFormat/>
    <w:uiPriority w:val="99"/>
    <w:pPr>
      <w:tabs>
        <w:tab w:val="center" w:pos="4153"/>
        <w:tab w:val="right" w:pos="8306"/>
      </w:tabs>
      <w:snapToGrid w:val="0"/>
      <w:jc w:val="left"/>
    </w:pPr>
    <w:rPr>
      <w:sz w:val="18"/>
      <w:szCs w:val="18"/>
    </w:rPr>
  </w:style>
  <w:style w:type="paragraph" w:styleId="12">
    <w:name w:val="header"/>
    <w:basedOn w:val="1"/>
    <w:link w:val="38"/>
    <w:unhideWhenUsed/>
    <w:qFormat/>
    <w:uiPriority w:val="99"/>
    <w:pPr>
      <w:tabs>
        <w:tab w:val="center" w:pos="4153"/>
        <w:tab w:val="right" w:pos="8306"/>
      </w:tabs>
      <w:snapToGrid w:val="0"/>
      <w:jc w:val="center"/>
    </w:pPr>
    <w:rPr>
      <w:sz w:val="18"/>
      <w:szCs w:val="18"/>
    </w:rPr>
  </w:style>
  <w:style w:type="paragraph" w:styleId="13">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Title"/>
    <w:basedOn w:val="1"/>
    <w:next w:val="1"/>
    <w:link w:val="29"/>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table" w:customStyle="1" w:styleId="19">
    <w:name w:val="样式1"/>
    <w:basedOn w:val="16"/>
    <w:qFormat/>
    <w:uiPriority w:val="99"/>
    <w:tblPr>
      <w:jc w:val="center"/>
      <w:tblBorders>
        <w:top w:val="single" w:color="auto" w:sz="12" w:space="0"/>
        <w:bottom w:val="single" w:color="auto" w:sz="12" w:space="0"/>
      </w:tblBorders>
    </w:tblPr>
    <w:trPr>
      <w:jc w:val="center"/>
    </w:trPr>
    <w:tblStylePr w:type="firstRow">
      <w:tcPr>
        <w:tcBorders>
          <w:top w:val="single" w:color="auto" w:sz="12" w:space="0"/>
          <w:left w:val="nil"/>
          <w:bottom w:val="single" w:color="auto" w:sz="6" w:space="0"/>
          <w:right w:val="nil"/>
          <w:insideH w:val="nil"/>
          <w:insideV w:val="nil"/>
          <w:tl2br w:val="nil"/>
          <w:tr2bl w:val="nil"/>
        </w:tcBorders>
      </w:tcPr>
    </w:tblStylePr>
  </w:style>
  <w:style w:type="character" w:customStyle="1" w:styleId="20">
    <w:name w:val="标题 1 字符"/>
    <w:basedOn w:val="17"/>
    <w:link w:val="2"/>
    <w:qFormat/>
    <w:uiPriority w:val="9"/>
    <w:rPr>
      <w:rFonts w:asciiTheme="majorHAnsi" w:hAnsiTheme="majorHAnsi" w:eastAsiaTheme="majorEastAsia" w:cstheme="majorBidi"/>
      <w:color w:val="2F5597" w:themeColor="accent1" w:themeShade="BF"/>
      <w:sz w:val="48"/>
      <w:szCs w:val="48"/>
    </w:rPr>
  </w:style>
  <w:style w:type="character" w:customStyle="1" w:styleId="21">
    <w:name w:val="标题 2 字符"/>
    <w:basedOn w:val="17"/>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2">
    <w:name w:val="标题 3 字符"/>
    <w:basedOn w:val="17"/>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3">
    <w:name w:val="标题 4 字符"/>
    <w:basedOn w:val="17"/>
    <w:link w:val="5"/>
    <w:semiHidden/>
    <w:qFormat/>
    <w:uiPriority w:val="9"/>
    <w:rPr>
      <w:rFonts w:asciiTheme="minorHAnsi" w:hAnsiTheme="minorHAnsi" w:eastAsiaTheme="minorEastAsia" w:cstheme="majorBidi"/>
      <w:color w:val="2F5597" w:themeColor="accent1" w:themeShade="BF"/>
      <w:sz w:val="28"/>
      <w:szCs w:val="28"/>
    </w:rPr>
  </w:style>
  <w:style w:type="character" w:customStyle="1" w:styleId="24">
    <w:name w:val="标题 5 字符"/>
    <w:basedOn w:val="17"/>
    <w:link w:val="6"/>
    <w:semiHidden/>
    <w:qFormat/>
    <w:uiPriority w:val="9"/>
    <w:rPr>
      <w:rFonts w:asciiTheme="minorHAnsi" w:hAnsiTheme="minorHAnsi" w:eastAsiaTheme="minorEastAsia" w:cstheme="majorBidi"/>
      <w:color w:val="2F5597" w:themeColor="accent1" w:themeShade="BF"/>
      <w:sz w:val="24"/>
      <w:szCs w:val="24"/>
    </w:rPr>
  </w:style>
  <w:style w:type="character" w:customStyle="1" w:styleId="25">
    <w:name w:val="标题 6 字符"/>
    <w:basedOn w:val="17"/>
    <w:link w:val="7"/>
    <w:semiHidden/>
    <w:qFormat/>
    <w:uiPriority w:val="9"/>
    <w:rPr>
      <w:rFonts w:asciiTheme="minorHAnsi" w:hAnsiTheme="minorHAnsi" w:eastAsiaTheme="minorEastAsia" w:cstheme="majorBidi"/>
      <w:b/>
      <w:bCs/>
      <w:color w:val="2F5597" w:themeColor="accent1" w:themeShade="BF"/>
    </w:rPr>
  </w:style>
  <w:style w:type="character" w:customStyle="1" w:styleId="26">
    <w:name w:val="标题 7 字符"/>
    <w:basedOn w:val="17"/>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7"/>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7"/>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7"/>
    <w:link w:val="15"/>
    <w:qFormat/>
    <w:uiPriority w:val="10"/>
    <w:rPr>
      <w:rFonts w:asciiTheme="majorHAnsi" w:hAnsiTheme="majorHAnsi" w:eastAsiaTheme="majorEastAsia" w:cstheme="majorBidi"/>
      <w:color w:val="auto"/>
      <w:spacing w:val="-10"/>
      <w:kern w:val="28"/>
      <w:sz w:val="56"/>
      <w:szCs w:val="56"/>
    </w:rPr>
  </w:style>
  <w:style w:type="character" w:customStyle="1" w:styleId="30">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rFonts w:ascii="Times New Roman" w:hAnsi="Times New Roman" w:eastAsia="宋体" w:cs="Times New Roman"/>
      <w:i/>
      <w:iCs/>
      <w:color w:val="404040" w:themeColor="text1" w:themeTint="BF"/>
      <w:sz w:val="22"/>
      <w14:textFill>
        <w14:solidFill>
          <w14:schemeClr w14:val="tx1">
            <w14:lumMod w14:val="75000"/>
            <w14:lumOff w14:val="25000"/>
          </w14:schemeClr>
        </w14:solidFill>
      </w14:textFill>
    </w:rPr>
  </w:style>
  <w:style w:type="character" w:customStyle="1" w:styleId="32">
    <w:name w:val="引用 字符"/>
    <w:basedOn w:val="17"/>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rPr>
      <w:rFonts w:ascii="Times New Roman" w:hAnsi="Times New Roman" w:eastAsia="宋体" w:cs="Times New Roman"/>
      <w:color w:val="000000"/>
      <w:sz w:val="22"/>
    </w:rPr>
  </w:style>
  <w:style w:type="character" w:customStyle="1" w:styleId="34">
    <w:name w:val="明显强调1"/>
    <w:basedOn w:val="17"/>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rFonts w:ascii="Times New Roman" w:hAnsi="Times New Roman" w:eastAsia="宋体" w:cs="Times New Roman"/>
      <w:i/>
      <w:iCs/>
      <w:color w:val="2F5597" w:themeColor="accent1" w:themeShade="BF"/>
      <w:sz w:val="22"/>
    </w:rPr>
  </w:style>
  <w:style w:type="character" w:customStyle="1" w:styleId="36">
    <w:name w:val="明显引用 字符"/>
    <w:basedOn w:val="17"/>
    <w:link w:val="35"/>
    <w:qFormat/>
    <w:uiPriority w:val="30"/>
    <w:rPr>
      <w:i/>
      <w:iCs/>
      <w:color w:val="2F5597" w:themeColor="accent1" w:themeShade="BF"/>
    </w:rPr>
  </w:style>
  <w:style w:type="character" w:customStyle="1" w:styleId="37">
    <w:name w:val="明显参考1"/>
    <w:basedOn w:val="17"/>
    <w:qFormat/>
    <w:uiPriority w:val="32"/>
    <w:rPr>
      <w:b/>
      <w:bCs/>
      <w:smallCaps/>
      <w:color w:val="2F5597" w:themeColor="accent1" w:themeShade="BF"/>
      <w:spacing w:val="5"/>
    </w:rPr>
  </w:style>
  <w:style w:type="character" w:customStyle="1" w:styleId="38">
    <w:name w:val="页眉 字符"/>
    <w:basedOn w:val="17"/>
    <w:link w:val="12"/>
    <w:qFormat/>
    <w:uiPriority w:val="99"/>
    <w:rPr>
      <w:rFonts w:asciiTheme="minorHAnsi" w:hAnsiTheme="minorHAnsi" w:eastAsiaTheme="minorEastAsia" w:cstheme="minorBidi"/>
      <w:color w:val="auto"/>
      <w:sz w:val="18"/>
      <w:szCs w:val="18"/>
    </w:rPr>
  </w:style>
  <w:style w:type="character" w:customStyle="1" w:styleId="39">
    <w:name w:val="页脚 字符"/>
    <w:basedOn w:val="17"/>
    <w:link w:val="11"/>
    <w:qFormat/>
    <w:uiPriority w:val="99"/>
    <w:rPr>
      <w:rFonts w:asciiTheme="minorHAnsi" w:hAnsiTheme="minorHAnsi" w:eastAsiaTheme="minorEastAsia" w:cstheme="minorBidi"/>
      <w:color w:val="auto"/>
      <w:sz w:val="18"/>
      <w:szCs w:val="18"/>
    </w:rPr>
  </w:style>
  <w:style w:type="character" w:customStyle="1" w:styleId="40">
    <w:name w:val="未处理的提及1"/>
    <w:basedOn w:val="17"/>
    <w:semiHidden/>
    <w:unhideWhenUsed/>
    <w:qFormat/>
    <w:uiPriority w:val="99"/>
    <w:rPr>
      <w:color w:val="605E5C"/>
      <w:shd w:val="clear" w:color="auto" w:fill="E1DFDD"/>
    </w:rPr>
  </w:style>
  <w:style w:type="character" w:customStyle="1" w:styleId="41">
    <w:name w:val="font31"/>
    <w:basedOn w:val="17"/>
    <w:qFormat/>
    <w:uiPriority w:val="0"/>
    <w:rPr>
      <w:rFonts w:hint="default" w:ascii="Times New Roman" w:hAnsi="Times New Roman" w:cs="Times New Roman"/>
      <w:i/>
      <w:iCs/>
      <w:color w:val="000000"/>
      <w:sz w:val="22"/>
      <w:szCs w:val="22"/>
      <w:u w:val="none"/>
    </w:rPr>
  </w:style>
  <w:style w:type="character" w:customStyle="1" w:styleId="42">
    <w:name w:val="font11"/>
    <w:basedOn w:val="17"/>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AA711-6D57-4742-B1DD-8BC251056B5E}">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1615</Words>
  <Characters>9620</Characters>
  <Lines>93</Lines>
  <Paragraphs>26</Paragraphs>
  <TotalTime>7</TotalTime>
  <ScaleCrop>false</ScaleCrop>
  <LinksUpToDate>false</LinksUpToDate>
  <CharactersWithSpaces>11037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2025-12-08T15:03:00Z</dcterms:created>
  <dc:creator>Felicia H</dc:creator>
  <cp:lastModifiedBy>江城碧雨</cp:lastModifiedBy>
  <dcterms:modified xsi:type="dcterms:W3CDTF">2026-05-17T16:40:20Z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eyJoZGlkIjoiODU4MDBjZDQ2MTk0MThjYjc2ODQ0Nzk5OGZhNjJiZGQiLCJ1c2VySWQiOiIxMDUyMzc3MDM2In0=</vt:lpwstr>
  </property>
  <property fmtid="{D5CDD505-2E9C-101B-9397-08002B2CF9AE}" pid="3" name="KSOProductBuildVer">
    <vt:lpwstr>2052-12.1.0.25865</vt:lpwstr>
  </property>
  <property fmtid="{D5CDD505-2E9C-101B-9397-08002B2CF9AE}" pid="4" name="ICV">
    <vt:lpwstr>34D2B0E531B84876975256CE85620BBD_12</vt:lpwstr>
  </property>
</Properties>
</file>