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A2DF8" w14:textId="77777777" w:rsidR="003359E1" w:rsidRPr="000928F2" w:rsidRDefault="003359E1" w:rsidP="003359E1">
      <w:pPr>
        <w:rPr>
          <w:rFonts w:ascii="Times New Roman" w:hAnsi="Times New Roman" w:cs="Times New Roman"/>
          <w:b/>
          <w:bCs/>
          <w:color w:val="00B050"/>
          <w:sz w:val="24"/>
          <w:szCs w:val="24"/>
        </w:rPr>
      </w:pPr>
      <w:r w:rsidRPr="000928F2">
        <w:rPr>
          <w:rFonts w:ascii="Times New Roman" w:hAnsi="Times New Roman" w:cs="Times New Roman"/>
          <w:b/>
          <w:bCs/>
          <w:color w:val="00B050"/>
          <w:sz w:val="24"/>
          <w:szCs w:val="24"/>
        </w:rPr>
        <w:t>Appendix 1</w:t>
      </w:r>
    </w:p>
    <w:p w14:paraId="4CB27B5A" w14:textId="77777777" w:rsidR="003359E1" w:rsidRPr="000928F2" w:rsidRDefault="003359E1" w:rsidP="003359E1">
      <w:pPr>
        <w:jc w:val="center"/>
        <w:rPr>
          <w:rFonts w:ascii="Times New Roman" w:hAnsi="Times New Roman" w:cs="Times New Roman"/>
          <w:b/>
          <w:bCs/>
          <w:color w:val="00B050"/>
          <w:sz w:val="24"/>
          <w:szCs w:val="24"/>
        </w:rPr>
      </w:pPr>
      <w:r w:rsidRPr="000928F2">
        <w:rPr>
          <w:rFonts w:ascii="Times New Roman" w:hAnsi="Times New Roman" w:cs="Times New Roman"/>
          <w:b/>
          <w:bCs/>
          <w:color w:val="00B050"/>
          <w:sz w:val="24"/>
          <w:szCs w:val="24"/>
        </w:rPr>
        <w:t>CARE Checklist Compliance Statement</w:t>
      </w:r>
    </w:p>
    <w:p w14:paraId="763319FD" w14:textId="77777777" w:rsidR="003359E1" w:rsidRPr="000928F2" w:rsidRDefault="003359E1" w:rsidP="003359E1">
      <w:pPr>
        <w:rPr>
          <w:rFonts w:ascii="Times New Roman" w:hAnsi="Times New Roman" w:cs="Times New Roman"/>
          <w:color w:val="00B050"/>
          <w:sz w:val="24"/>
          <w:szCs w:val="24"/>
        </w:rPr>
      </w:pPr>
      <w:r w:rsidRPr="000928F2">
        <w:rPr>
          <w:rFonts w:ascii="Times New Roman" w:hAnsi="Times New Roman" w:cs="Times New Roman"/>
          <w:color w:val="00B050"/>
          <w:sz w:val="24"/>
          <w:szCs w:val="24"/>
        </w:rPr>
        <w:t>The CARE (CAse REport) guidelines offer a framework to support transparency and accuracy in the publication of case reports and case series. The following checklist outlines how each required reporting item has been addressed within our manuscript, referencing specific sections, narrative findings, and clinical data points from the text. Because this study includes neonatal patients and is based on a retrospective analysis of de-identified medical records spanning a seven-year period, certain patient self-assessment criteria (Item 12) are not applicable. All other reporting elements have been rigorously met.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11"/>
        <w:gridCol w:w="890"/>
        <w:gridCol w:w="3372"/>
        <w:gridCol w:w="2943"/>
      </w:tblGrid>
      <w:tr w:rsidR="003359E1" w:rsidRPr="000928F2" w14:paraId="07205A81" w14:textId="77777777" w:rsidTr="00461CCB">
        <w:trPr>
          <w:tblHeader/>
          <w:tblCellSpacing w:w="15" w:type="dxa"/>
        </w:trPr>
        <w:tc>
          <w:tcPr>
            <w:tcW w:w="0" w:type="auto"/>
            <w:tcMar>
              <w:top w:w="120" w:type="dxa"/>
              <w:left w:w="180" w:type="dxa"/>
              <w:bottom w:w="120" w:type="dxa"/>
              <w:right w:w="180" w:type="dxa"/>
            </w:tcMar>
            <w:vAlign w:val="center"/>
            <w:hideMark/>
          </w:tcPr>
          <w:p w14:paraId="2178E723"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t>Topic</w:t>
            </w:r>
          </w:p>
        </w:tc>
        <w:tc>
          <w:tcPr>
            <w:tcW w:w="0" w:type="auto"/>
            <w:tcMar>
              <w:top w:w="120" w:type="dxa"/>
              <w:left w:w="180" w:type="dxa"/>
              <w:bottom w:w="120" w:type="dxa"/>
              <w:right w:w="180" w:type="dxa"/>
            </w:tcMar>
            <w:vAlign w:val="center"/>
            <w:hideMark/>
          </w:tcPr>
          <w:p w14:paraId="3647F6AB"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t>Item</w:t>
            </w:r>
          </w:p>
        </w:tc>
        <w:tc>
          <w:tcPr>
            <w:tcW w:w="0" w:type="auto"/>
            <w:tcMar>
              <w:top w:w="120" w:type="dxa"/>
              <w:left w:w="180" w:type="dxa"/>
              <w:bottom w:w="120" w:type="dxa"/>
              <w:right w:w="180" w:type="dxa"/>
            </w:tcMar>
            <w:vAlign w:val="center"/>
            <w:hideMark/>
          </w:tcPr>
          <w:p w14:paraId="01CEC682"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t>Checklist item description</w:t>
            </w:r>
          </w:p>
        </w:tc>
        <w:tc>
          <w:tcPr>
            <w:tcW w:w="0" w:type="auto"/>
            <w:tcMar>
              <w:top w:w="120" w:type="dxa"/>
              <w:left w:w="180" w:type="dxa"/>
              <w:bottom w:w="120" w:type="dxa"/>
              <w:right w:w="180" w:type="dxa"/>
            </w:tcMar>
            <w:vAlign w:val="center"/>
            <w:hideMark/>
          </w:tcPr>
          <w:p w14:paraId="74A2082B"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t>Reported in manuscript (Section &amp; Details)</w:t>
            </w:r>
          </w:p>
        </w:tc>
      </w:tr>
      <w:tr w:rsidR="003359E1" w:rsidRPr="000928F2" w14:paraId="3A585D16" w14:textId="77777777" w:rsidTr="00461CCB">
        <w:trPr>
          <w:tblCellSpacing w:w="15" w:type="dxa"/>
        </w:trPr>
        <w:tc>
          <w:tcPr>
            <w:tcW w:w="0" w:type="auto"/>
            <w:tcMar>
              <w:top w:w="120" w:type="dxa"/>
              <w:left w:w="180" w:type="dxa"/>
              <w:bottom w:w="120" w:type="dxa"/>
              <w:right w:w="180" w:type="dxa"/>
            </w:tcMar>
            <w:vAlign w:val="center"/>
            <w:hideMark/>
          </w:tcPr>
          <w:p w14:paraId="7F3CBB3C"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t>Title</w:t>
            </w:r>
          </w:p>
        </w:tc>
        <w:tc>
          <w:tcPr>
            <w:tcW w:w="0" w:type="auto"/>
            <w:tcMar>
              <w:top w:w="120" w:type="dxa"/>
              <w:left w:w="180" w:type="dxa"/>
              <w:bottom w:w="120" w:type="dxa"/>
              <w:right w:w="180" w:type="dxa"/>
            </w:tcMar>
            <w:vAlign w:val="center"/>
            <w:hideMark/>
          </w:tcPr>
          <w:p w14:paraId="57E7EBB9"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1</w:t>
            </w:r>
          </w:p>
        </w:tc>
        <w:tc>
          <w:tcPr>
            <w:tcW w:w="0" w:type="auto"/>
            <w:tcMar>
              <w:top w:w="120" w:type="dxa"/>
              <w:left w:w="180" w:type="dxa"/>
              <w:bottom w:w="120" w:type="dxa"/>
              <w:right w:w="180" w:type="dxa"/>
            </w:tcMar>
            <w:vAlign w:val="center"/>
            <w:hideMark/>
          </w:tcPr>
          <w:p w14:paraId="774B0D04"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The words “case report” (or “case series”) should be in the title along with the area of focus.</w:t>
            </w:r>
          </w:p>
        </w:tc>
        <w:tc>
          <w:tcPr>
            <w:tcW w:w="0" w:type="auto"/>
            <w:tcMar>
              <w:top w:w="120" w:type="dxa"/>
              <w:left w:w="180" w:type="dxa"/>
              <w:bottom w:w="120" w:type="dxa"/>
              <w:right w:w="180" w:type="dxa"/>
            </w:tcMar>
            <w:vAlign w:val="center"/>
            <w:hideMark/>
          </w:tcPr>
          <w:p w14:paraId="153F597A"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t>Yes</w:t>
            </w:r>
            <w:r w:rsidRPr="000928F2">
              <w:rPr>
                <w:rFonts w:ascii="Times New Roman" w:hAnsi="Times New Roman" w:cs="Times New Roman"/>
                <w:color w:val="00B050"/>
                <w:sz w:val="24"/>
                <w:szCs w:val="24"/>
              </w:rPr>
              <w:t xml:space="preserve"> – Title: </w:t>
            </w:r>
            <w:r w:rsidRPr="000928F2">
              <w:rPr>
                <w:rFonts w:ascii="Times New Roman" w:hAnsi="Times New Roman" w:cs="Times New Roman"/>
                <w:i/>
                <w:iCs/>
                <w:color w:val="00B050"/>
                <w:sz w:val="24"/>
                <w:szCs w:val="24"/>
              </w:rPr>
              <w:t>"Clinical Significance of Bacillus Species other than Bacillus anthracis: A Case Series With Review of Literature"</w:t>
            </w:r>
            <w:r w:rsidRPr="000928F2">
              <w:rPr>
                <w:rFonts w:ascii="Times New Roman" w:hAnsi="Times New Roman" w:cs="Times New Roman"/>
                <w:color w:val="00B050"/>
                <w:sz w:val="24"/>
                <w:szCs w:val="24"/>
              </w:rPr>
              <w:t xml:space="preserve">. </w:t>
            </w:r>
          </w:p>
        </w:tc>
      </w:tr>
      <w:tr w:rsidR="003359E1" w:rsidRPr="000928F2" w14:paraId="42E5D869" w14:textId="77777777" w:rsidTr="00461CCB">
        <w:trPr>
          <w:tblCellSpacing w:w="15" w:type="dxa"/>
        </w:trPr>
        <w:tc>
          <w:tcPr>
            <w:tcW w:w="0" w:type="auto"/>
            <w:tcMar>
              <w:top w:w="120" w:type="dxa"/>
              <w:left w:w="180" w:type="dxa"/>
              <w:bottom w:w="120" w:type="dxa"/>
              <w:right w:w="180" w:type="dxa"/>
            </w:tcMar>
            <w:vAlign w:val="center"/>
            <w:hideMark/>
          </w:tcPr>
          <w:p w14:paraId="6AF7DE92"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t>Key words</w:t>
            </w:r>
          </w:p>
        </w:tc>
        <w:tc>
          <w:tcPr>
            <w:tcW w:w="0" w:type="auto"/>
            <w:tcMar>
              <w:top w:w="120" w:type="dxa"/>
              <w:left w:w="180" w:type="dxa"/>
              <w:bottom w:w="120" w:type="dxa"/>
              <w:right w:w="180" w:type="dxa"/>
            </w:tcMar>
            <w:vAlign w:val="center"/>
            <w:hideMark/>
          </w:tcPr>
          <w:p w14:paraId="42226F1D"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2</w:t>
            </w:r>
          </w:p>
        </w:tc>
        <w:tc>
          <w:tcPr>
            <w:tcW w:w="0" w:type="auto"/>
            <w:tcMar>
              <w:top w:w="120" w:type="dxa"/>
              <w:left w:w="180" w:type="dxa"/>
              <w:bottom w:w="120" w:type="dxa"/>
              <w:right w:w="180" w:type="dxa"/>
            </w:tcMar>
            <w:vAlign w:val="center"/>
            <w:hideMark/>
          </w:tcPr>
          <w:p w14:paraId="3E0D90EA"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2 to 5 keywords that identify the diagnoses or interventions in this case report.</w:t>
            </w:r>
          </w:p>
        </w:tc>
        <w:tc>
          <w:tcPr>
            <w:tcW w:w="0" w:type="auto"/>
            <w:tcMar>
              <w:top w:w="120" w:type="dxa"/>
              <w:left w:w="180" w:type="dxa"/>
              <w:bottom w:w="120" w:type="dxa"/>
              <w:right w:w="180" w:type="dxa"/>
            </w:tcMar>
            <w:vAlign w:val="center"/>
            <w:hideMark/>
          </w:tcPr>
          <w:p w14:paraId="297D31A2"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t>Yes</w:t>
            </w:r>
            <w:r w:rsidRPr="000928F2">
              <w:rPr>
                <w:rFonts w:ascii="Times New Roman" w:hAnsi="Times New Roman" w:cs="Times New Roman"/>
                <w:color w:val="00B050"/>
                <w:sz w:val="24"/>
                <w:szCs w:val="24"/>
              </w:rPr>
              <w:t xml:space="preserve"> – Keywords: </w:t>
            </w:r>
            <w:r w:rsidRPr="000928F2">
              <w:rPr>
                <w:rFonts w:ascii="Times New Roman" w:hAnsi="Times New Roman" w:cs="Times New Roman"/>
                <w:i/>
                <w:iCs/>
                <w:color w:val="00B050"/>
                <w:sz w:val="24"/>
                <w:szCs w:val="24"/>
              </w:rPr>
              <w:t>Bacillus species, Sepsis, Neonatal sepsis, Bacteremia, Opportunistic pathogens, Antimicrobial susceptibility testing</w:t>
            </w:r>
            <w:r w:rsidRPr="000928F2">
              <w:rPr>
                <w:rFonts w:ascii="Times New Roman" w:hAnsi="Times New Roman" w:cs="Times New Roman"/>
                <w:color w:val="00B050"/>
                <w:sz w:val="24"/>
                <w:szCs w:val="24"/>
              </w:rPr>
              <w:t xml:space="preserve">. </w:t>
            </w:r>
          </w:p>
        </w:tc>
      </w:tr>
      <w:tr w:rsidR="003359E1" w:rsidRPr="000928F2" w14:paraId="0EACF25D" w14:textId="77777777" w:rsidTr="00461CCB">
        <w:trPr>
          <w:tblCellSpacing w:w="15" w:type="dxa"/>
        </w:trPr>
        <w:tc>
          <w:tcPr>
            <w:tcW w:w="0" w:type="auto"/>
            <w:tcMar>
              <w:top w:w="120" w:type="dxa"/>
              <w:left w:w="180" w:type="dxa"/>
              <w:bottom w:w="120" w:type="dxa"/>
              <w:right w:w="180" w:type="dxa"/>
            </w:tcMar>
            <w:vAlign w:val="center"/>
            <w:hideMark/>
          </w:tcPr>
          <w:p w14:paraId="06AC15B4"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t>Abstract</w:t>
            </w:r>
          </w:p>
        </w:tc>
        <w:tc>
          <w:tcPr>
            <w:tcW w:w="0" w:type="auto"/>
            <w:tcMar>
              <w:top w:w="120" w:type="dxa"/>
              <w:left w:w="180" w:type="dxa"/>
              <w:bottom w:w="120" w:type="dxa"/>
              <w:right w:w="180" w:type="dxa"/>
            </w:tcMar>
            <w:vAlign w:val="center"/>
            <w:hideMark/>
          </w:tcPr>
          <w:p w14:paraId="12C960E7"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3a</w:t>
            </w:r>
          </w:p>
          <w:p w14:paraId="52972E78"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r w:rsidRPr="000928F2">
              <w:rPr>
                <w:rFonts w:ascii="Times New Roman" w:hAnsi="Times New Roman" w:cs="Times New Roman"/>
                <w:color w:val="00B050"/>
                <w:sz w:val="24"/>
                <w:szCs w:val="24"/>
              </w:rPr>
              <w:br/>
            </w:r>
          </w:p>
          <w:p w14:paraId="0CDEA669"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3b</w:t>
            </w:r>
          </w:p>
          <w:p w14:paraId="54A2C470"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r w:rsidRPr="000928F2">
              <w:rPr>
                <w:rFonts w:ascii="Times New Roman" w:hAnsi="Times New Roman" w:cs="Times New Roman"/>
                <w:color w:val="00B050"/>
                <w:sz w:val="24"/>
                <w:szCs w:val="24"/>
              </w:rPr>
              <w:br/>
            </w:r>
          </w:p>
          <w:p w14:paraId="0356E2AB"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3c</w:t>
            </w:r>
          </w:p>
          <w:p w14:paraId="374275C4"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r w:rsidRPr="000928F2">
              <w:rPr>
                <w:rFonts w:ascii="Times New Roman" w:hAnsi="Times New Roman" w:cs="Times New Roman"/>
                <w:color w:val="00B050"/>
                <w:sz w:val="24"/>
                <w:szCs w:val="24"/>
              </w:rPr>
              <w:br/>
            </w:r>
          </w:p>
          <w:p w14:paraId="0BACAA29"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lastRenderedPageBreak/>
              <w:t>3d</w:t>
            </w:r>
          </w:p>
        </w:tc>
        <w:tc>
          <w:tcPr>
            <w:tcW w:w="0" w:type="auto"/>
            <w:tcMar>
              <w:top w:w="120" w:type="dxa"/>
              <w:left w:w="180" w:type="dxa"/>
              <w:bottom w:w="120" w:type="dxa"/>
              <w:right w:w="180" w:type="dxa"/>
            </w:tcMar>
            <w:vAlign w:val="center"/>
            <w:hideMark/>
          </w:tcPr>
          <w:p w14:paraId="7A08A515"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lastRenderedPageBreak/>
              <w:t>Introduction:</w:t>
            </w:r>
            <w:r w:rsidRPr="000928F2">
              <w:rPr>
                <w:rFonts w:ascii="Times New Roman" w:hAnsi="Times New Roman" w:cs="Times New Roman"/>
                <w:color w:val="00B050"/>
                <w:sz w:val="24"/>
                <w:szCs w:val="24"/>
              </w:rPr>
              <w:t xml:space="preserve"> What does this case add?</w:t>
            </w:r>
          </w:p>
          <w:p w14:paraId="38B20DB1"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p>
          <w:p w14:paraId="21C40AE8"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t>Case Presentation:</w:t>
            </w:r>
            <w:r w:rsidRPr="000928F2">
              <w:rPr>
                <w:rFonts w:ascii="Times New Roman" w:hAnsi="Times New Roman" w:cs="Times New Roman"/>
                <w:color w:val="00B050"/>
                <w:sz w:val="24"/>
                <w:szCs w:val="24"/>
              </w:rPr>
              <w:t xml:space="preserve"> Main symptoms, clinical findings, interventions, and outcomes.</w:t>
            </w:r>
          </w:p>
          <w:p w14:paraId="78E32452"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p>
          <w:p w14:paraId="3CF546EA"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t>Conclusion:</w:t>
            </w:r>
            <w:r w:rsidRPr="000928F2">
              <w:rPr>
                <w:rFonts w:ascii="Times New Roman" w:hAnsi="Times New Roman" w:cs="Times New Roman"/>
                <w:color w:val="00B050"/>
                <w:sz w:val="24"/>
                <w:szCs w:val="24"/>
              </w:rPr>
              <w:t xml:space="preserve"> What are the main take-away lessons?</w:t>
            </w:r>
          </w:p>
          <w:p w14:paraId="28AE52DB"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p>
          <w:p w14:paraId="42AD58DA"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lastRenderedPageBreak/>
              <w:t>Keywords</w:t>
            </w:r>
          </w:p>
        </w:tc>
        <w:tc>
          <w:tcPr>
            <w:tcW w:w="0" w:type="auto"/>
            <w:tcMar>
              <w:top w:w="120" w:type="dxa"/>
              <w:left w:w="180" w:type="dxa"/>
              <w:bottom w:w="120" w:type="dxa"/>
              <w:right w:w="180" w:type="dxa"/>
            </w:tcMar>
            <w:vAlign w:val="center"/>
            <w:hideMark/>
          </w:tcPr>
          <w:p w14:paraId="0F366D01"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lastRenderedPageBreak/>
              <w:t>Yes</w:t>
            </w:r>
            <w:r w:rsidRPr="000928F2">
              <w:rPr>
                <w:rFonts w:ascii="Times New Roman" w:hAnsi="Times New Roman" w:cs="Times New Roman"/>
                <w:color w:val="00B050"/>
                <w:sz w:val="24"/>
                <w:szCs w:val="24"/>
              </w:rPr>
              <w:t xml:space="preserve"> – Structural abstract provided : </w:t>
            </w:r>
          </w:p>
          <w:p w14:paraId="36006F9E"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p>
          <w:p w14:paraId="49C6D957"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 xml:space="preserve">• </w:t>
            </w:r>
            <w:r w:rsidRPr="000928F2">
              <w:rPr>
                <w:rFonts w:ascii="Times New Roman" w:hAnsi="Times New Roman" w:cs="Times New Roman"/>
                <w:i/>
                <w:iCs/>
                <w:color w:val="00B050"/>
                <w:sz w:val="24"/>
                <w:szCs w:val="24"/>
              </w:rPr>
              <w:t>Introduction:</w:t>
            </w:r>
            <w:r w:rsidRPr="000928F2">
              <w:rPr>
                <w:rFonts w:ascii="Times New Roman" w:hAnsi="Times New Roman" w:cs="Times New Roman"/>
                <w:color w:val="00B050"/>
                <w:sz w:val="24"/>
                <w:szCs w:val="24"/>
              </w:rPr>
              <w:t xml:space="preserve"> Highlights ability to act as opportunistic pathogens . </w:t>
            </w:r>
          </w:p>
          <w:p w14:paraId="6C8CA962"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p>
          <w:p w14:paraId="6B4AF914"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 xml:space="preserve">• </w:t>
            </w:r>
            <w:r w:rsidRPr="000928F2">
              <w:rPr>
                <w:rFonts w:ascii="Times New Roman" w:hAnsi="Times New Roman" w:cs="Times New Roman"/>
                <w:i/>
                <w:iCs/>
                <w:color w:val="00B050"/>
                <w:sz w:val="24"/>
                <w:szCs w:val="24"/>
              </w:rPr>
              <w:t>Methods/Results:</w:t>
            </w:r>
            <w:r w:rsidRPr="000928F2">
              <w:rPr>
                <w:rFonts w:ascii="Times New Roman" w:hAnsi="Times New Roman" w:cs="Times New Roman"/>
                <w:color w:val="00B050"/>
                <w:sz w:val="24"/>
                <w:szCs w:val="24"/>
              </w:rPr>
              <w:t xml:space="preserve"> Details 7 patients (5 neonates, 1 T1DM young adult, 1 elderly postoperative), clinical </w:t>
            </w:r>
            <w:r w:rsidRPr="000928F2">
              <w:rPr>
                <w:rFonts w:ascii="Times New Roman" w:hAnsi="Times New Roman" w:cs="Times New Roman"/>
                <w:color w:val="00B050"/>
                <w:sz w:val="24"/>
                <w:szCs w:val="24"/>
              </w:rPr>
              <w:lastRenderedPageBreak/>
              <w:t xml:space="preserve">signs, susceptibility testing, and 85.7% recovery rate . </w:t>
            </w:r>
          </w:p>
          <w:p w14:paraId="3642646F"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p>
          <w:p w14:paraId="2C13CD05"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 xml:space="preserve">• </w:t>
            </w:r>
            <w:r w:rsidRPr="000928F2">
              <w:rPr>
                <w:rFonts w:ascii="Times New Roman" w:hAnsi="Times New Roman" w:cs="Times New Roman"/>
                <w:i/>
                <w:iCs/>
                <w:color w:val="00B050"/>
                <w:sz w:val="24"/>
                <w:szCs w:val="24"/>
              </w:rPr>
              <w:t>Conclusion:</w:t>
            </w:r>
            <w:r w:rsidRPr="000928F2">
              <w:rPr>
                <w:rFonts w:ascii="Times New Roman" w:hAnsi="Times New Roman" w:cs="Times New Roman"/>
                <w:color w:val="00B050"/>
                <w:sz w:val="24"/>
                <w:szCs w:val="24"/>
              </w:rPr>
              <w:t xml:space="preserve"> Emphasizes not dismissing isolates as contaminants . </w:t>
            </w:r>
          </w:p>
        </w:tc>
      </w:tr>
      <w:tr w:rsidR="003359E1" w:rsidRPr="000928F2" w14:paraId="7F4EF5DB" w14:textId="77777777" w:rsidTr="00461CCB">
        <w:trPr>
          <w:tblCellSpacing w:w="15" w:type="dxa"/>
        </w:trPr>
        <w:tc>
          <w:tcPr>
            <w:tcW w:w="0" w:type="auto"/>
            <w:tcMar>
              <w:top w:w="120" w:type="dxa"/>
              <w:left w:w="180" w:type="dxa"/>
              <w:bottom w:w="120" w:type="dxa"/>
              <w:right w:w="180" w:type="dxa"/>
            </w:tcMar>
            <w:vAlign w:val="center"/>
            <w:hideMark/>
          </w:tcPr>
          <w:p w14:paraId="1BDAA072"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lastRenderedPageBreak/>
              <w:t>Introduction</w:t>
            </w:r>
          </w:p>
        </w:tc>
        <w:tc>
          <w:tcPr>
            <w:tcW w:w="0" w:type="auto"/>
            <w:tcMar>
              <w:top w:w="120" w:type="dxa"/>
              <w:left w:w="180" w:type="dxa"/>
              <w:bottom w:w="120" w:type="dxa"/>
              <w:right w:w="180" w:type="dxa"/>
            </w:tcMar>
            <w:vAlign w:val="center"/>
            <w:hideMark/>
          </w:tcPr>
          <w:p w14:paraId="2D49F3E8"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4</w:t>
            </w:r>
          </w:p>
        </w:tc>
        <w:tc>
          <w:tcPr>
            <w:tcW w:w="0" w:type="auto"/>
            <w:tcMar>
              <w:top w:w="120" w:type="dxa"/>
              <w:left w:w="180" w:type="dxa"/>
              <w:bottom w:w="120" w:type="dxa"/>
              <w:right w:w="180" w:type="dxa"/>
            </w:tcMar>
            <w:vAlign w:val="center"/>
            <w:hideMark/>
          </w:tcPr>
          <w:p w14:paraId="091ED17E"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Background information on the problem, referencing relevant literature.</w:t>
            </w:r>
          </w:p>
        </w:tc>
        <w:tc>
          <w:tcPr>
            <w:tcW w:w="0" w:type="auto"/>
            <w:tcMar>
              <w:top w:w="120" w:type="dxa"/>
              <w:left w:w="180" w:type="dxa"/>
              <w:bottom w:w="120" w:type="dxa"/>
              <w:right w:w="180" w:type="dxa"/>
            </w:tcMar>
            <w:vAlign w:val="center"/>
            <w:hideMark/>
          </w:tcPr>
          <w:p w14:paraId="7E5789D0"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t>Yes</w:t>
            </w:r>
            <w:r w:rsidRPr="000928F2">
              <w:rPr>
                <w:rFonts w:ascii="Times New Roman" w:hAnsi="Times New Roman" w:cs="Times New Roman"/>
                <w:color w:val="00B050"/>
                <w:sz w:val="24"/>
                <w:szCs w:val="24"/>
              </w:rPr>
              <w:t xml:space="preserve"> – </w:t>
            </w:r>
            <w:r w:rsidRPr="000928F2">
              <w:rPr>
                <w:rFonts w:ascii="Times New Roman" w:hAnsi="Times New Roman" w:cs="Times New Roman"/>
                <w:i/>
                <w:iCs/>
                <w:color w:val="00B050"/>
                <w:sz w:val="24"/>
                <w:szCs w:val="24"/>
              </w:rPr>
              <w:t>Introduction section</w:t>
            </w:r>
            <w:r w:rsidRPr="000928F2">
              <w:rPr>
                <w:rFonts w:ascii="Times New Roman" w:hAnsi="Times New Roman" w:cs="Times New Roman"/>
                <w:color w:val="00B050"/>
                <w:sz w:val="24"/>
                <w:szCs w:val="24"/>
              </w:rPr>
              <w:t xml:space="preserve"> . Discusses history of the </w:t>
            </w:r>
            <w:r w:rsidRPr="000928F2">
              <w:rPr>
                <w:rFonts w:ascii="Times New Roman" w:hAnsi="Times New Roman" w:cs="Times New Roman"/>
                <w:i/>
                <w:iCs/>
                <w:color w:val="00B050"/>
                <w:sz w:val="24"/>
                <w:szCs w:val="24"/>
              </w:rPr>
              <w:t>Bacillus</w:t>
            </w:r>
            <w:r w:rsidRPr="000928F2">
              <w:rPr>
                <w:rFonts w:ascii="Times New Roman" w:hAnsi="Times New Roman" w:cs="Times New Roman"/>
                <w:color w:val="00B050"/>
                <w:sz w:val="24"/>
                <w:szCs w:val="24"/>
              </w:rPr>
              <w:t xml:space="preserve"> genus, its standard classification as a harmless saprophyte or contaminant, and rising clinical implications . </w:t>
            </w:r>
          </w:p>
        </w:tc>
      </w:tr>
      <w:tr w:rsidR="003359E1" w:rsidRPr="000928F2" w14:paraId="58C45CE7" w14:textId="77777777" w:rsidTr="00461CCB">
        <w:trPr>
          <w:tblCellSpacing w:w="15" w:type="dxa"/>
        </w:trPr>
        <w:tc>
          <w:tcPr>
            <w:tcW w:w="0" w:type="auto"/>
            <w:tcMar>
              <w:top w:w="120" w:type="dxa"/>
              <w:left w:w="180" w:type="dxa"/>
              <w:bottom w:w="120" w:type="dxa"/>
              <w:right w:w="180" w:type="dxa"/>
            </w:tcMar>
            <w:vAlign w:val="center"/>
            <w:hideMark/>
          </w:tcPr>
          <w:p w14:paraId="133AD829"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t>Patient information</w:t>
            </w:r>
          </w:p>
        </w:tc>
        <w:tc>
          <w:tcPr>
            <w:tcW w:w="0" w:type="auto"/>
            <w:tcMar>
              <w:top w:w="120" w:type="dxa"/>
              <w:left w:w="180" w:type="dxa"/>
              <w:bottom w:w="120" w:type="dxa"/>
              <w:right w:w="180" w:type="dxa"/>
            </w:tcMar>
            <w:vAlign w:val="center"/>
            <w:hideMark/>
          </w:tcPr>
          <w:p w14:paraId="53834B46"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5a</w:t>
            </w:r>
          </w:p>
          <w:p w14:paraId="6EEBA6FA"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r w:rsidRPr="000928F2">
              <w:rPr>
                <w:rFonts w:ascii="Times New Roman" w:hAnsi="Times New Roman" w:cs="Times New Roman"/>
                <w:color w:val="00B050"/>
                <w:sz w:val="24"/>
                <w:szCs w:val="24"/>
              </w:rPr>
              <w:br/>
            </w:r>
          </w:p>
          <w:p w14:paraId="6171A9E6"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5b</w:t>
            </w:r>
          </w:p>
          <w:p w14:paraId="608FB7BE"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r w:rsidRPr="000928F2">
              <w:rPr>
                <w:rFonts w:ascii="Times New Roman" w:hAnsi="Times New Roman" w:cs="Times New Roman"/>
                <w:color w:val="00B050"/>
                <w:sz w:val="24"/>
                <w:szCs w:val="24"/>
              </w:rPr>
              <w:br/>
            </w:r>
          </w:p>
          <w:p w14:paraId="0488D00A"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5c</w:t>
            </w:r>
          </w:p>
        </w:tc>
        <w:tc>
          <w:tcPr>
            <w:tcW w:w="0" w:type="auto"/>
            <w:tcMar>
              <w:top w:w="120" w:type="dxa"/>
              <w:left w:w="180" w:type="dxa"/>
              <w:bottom w:w="120" w:type="dxa"/>
              <w:right w:w="180" w:type="dxa"/>
            </w:tcMar>
            <w:vAlign w:val="center"/>
            <w:hideMark/>
          </w:tcPr>
          <w:p w14:paraId="0FA1C536"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De-identified demographic and specific characteristics.</w:t>
            </w:r>
          </w:p>
          <w:p w14:paraId="4C175739"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p>
          <w:p w14:paraId="3679FECC"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Primary complaints/symptoms.</w:t>
            </w:r>
          </w:p>
          <w:p w14:paraId="0130B0D4"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p>
          <w:p w14:paraId="43FC6AE4"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Medical, family, and psychosocial history (including comorbidities/interventions).</w:t>
            </w:r>
          </w:p>
        </w:tc>
        <w:tc>
          <w:tcPr>
            <w:tcW w:w="0" w:type="auto"/>
            <w:tcMar>
              <w:top w:w="120" w:type="dxa"/>
              <w:left w:w="180" w:type="dxa"/>
              <w:bottom w:w="120" w:type="dxa"/>
              <w:right w:w="180" w:type="dxa"/>
            </w:tcMar>
            <w:vAlign w:val="center"/>
            <w:hideMark/>
          </w:tcPr>
          <w:p w14:paraId="459D774F"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t>Yes</w:t>
            </w:r>
            <w:r w:rsidRPr="000928F2">
              <w:rPr>
                <w:rFonts w:ascii="Times New Roman" w:hAnsi="Times New Roman" w:cs="Times New Roman"/>
                <w:color w:val="00B050"/>
                <w:sz w:val="24"/>
                <w:szCs w:val="24"/>
              </w:rPr>
              <w:t xml:space="preserve"> – </w:t>
            </w:r>
            <w:r w:rsidRPr="000928F2">
              <w:rPr>
                <w:rFonts w:ascii="Times New Roman" w:hAnsi="Times New Roman" w:cs="Times New Roman"/>
                <w:i/>
                <w:iCs/>
                <w:color w:val="00B050"/>
                <w:sz w:val="24"/>
                <w:szCs w:val="24"/>
              </w:rPr>
              <w:t>Materials &amp; Methods</w:t>
            </w:r>
            <w:r w:rsidRPr="000928F2">
              <w:rPr>
                <w:rFonts w:ascii="Times New Roman" w:hAnsi="Times New Roman" w:cs="Times New Roman"/>
                <w:color w:val="00B050"/>
                <w:sz w:val="24"/>
                <w:szCs w:val="24"/>
              </w:rPr>
              <w:t xml:space="preserve"> and </w:t>
            </w:r>
            <w:r w:rsidRPr="000928F2">
              <w:rPr>
                <w:rFonts w:ascii="Times New Roman" w:hAnsi="Times New Roman" w:cs="Times New Roman"/>
                <w:i/>
                <w:iCs/>
                <w:color w:val="00B050"/>
                <w:sz w:val="24"/>
                <w:szCs w:val="24"/>
              </w:rPr>
              <w:t>Results (Cases 1–7)</w:t>
            </w:r>
            <w:r w:rsidRPr="000928F2">
              <w:rPr>
                <w:rFonts w:ascii="Times New Roman" w:hAnsi="Times New Roman" w:cs="Times New Roman"/>
                <w:color w:val="00B050"/>
                <w:sz w:val="24"/>
                <w:szCs w:val="24"/>
              </w:rPr>
              <w:t xml:space="preserve"> . </w:t>
            </w:r>
          </w:p>
          <w:p w14:paraId="44F6E5C5"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p>
          <w:p w14:paraId="4ED988C3"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 xml:space="preserve">• Neonates described by gestational age, birth weight, and maternal histories (e.g., pre-eclampsia, PROM) . </w:t>
            </w:r>
          </w:p>
          <w:p w14:paraId="0A6084A6"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p>
          <w:p w14:paraId="33CD85AF"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 xml:space="preserve">• Case 6: 25-year-old male with a 7-year history of T1DM . </w:t>
            </w:r>
          </w:p>
          <w:p w14:paraId="6E8E58F2"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p>
          <w:p w14:paraId="65F73BF7"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lastRenderedPageBreak/>
              <w:t xml:space="preserve">• Case 7: 85-year-old male with a history of HTN and prior hernia mesh repair . </w:t>
            </w:r>
          </w:p>
        </w:tc>
      </w:tr>
      <w:tr w:rsidR="003359E1" w:rsidRPr="000928F2" w14:paraId="79CAF0F0" w14:textId="77777777" w:rsidTr="00461CCB">
        <w:trPr>
          <w:tblCellSpacing w:w="15" w:type="dxa"/>
        </w:trPr>
        <w:tc>
          <w:tcPr>
            <w:tcW w:w="0" w:type="auto"/>
            <w:tcMar>
              <w:top w:w="120" w:type="dxa"/>
              <w:left w:w="180" w:type="dxa"/>
              <w:bottom w:w="120" w:type="dxa"/>
              <w:right w:w="180" w:type="dxa"/>
            </w:tcMar>
            <w:vAlign w:val="center"/>
            <w:hideMark/>
          </w:tcPr>
          <w:p w14:paraId="002CF286"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lastRenderedPageBreak/>
              <w:t>Clinical findings</w:t>
            </w:r>
          </w:p>
        </w:tc>
        <w:tc>
          <w:tcPr>
            <w:tcW w:w="0" w:type="auto"/>
            <w:tcMar>
              <w:top w:w="120" w:type="dxa"/>
              <w:left w:w="180" w:type="dxa"/>
              <w:bottom w:w="120" w:type="dxa"/>
              <w:right w:w="180" w:type="dxa"/>
            </w:tcMar>
            <w:vAlign w:val="center"/>
            <w:hideMark/>
          </w:tcPr>
          <w:p w14:paraId="5760A1AC"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6</w:t>
            </w:r>
          </w:p>
        </w:tc>
        <w:tc>
          <w:tcPr>
            <w:tcW w:w="0" w:type="auto"/>
            <w:tcMar>
              <w:top w:w="120" w:type="dxa"/>
              <w:left w:w="180" w:type="dxa"/>
              <w:bottom w:w="120" w:type="dxa"/>
              <w:right w:w="180" w:type="dxa"/>
            </w:tcMar>
            <w:vAlign w:val="center"/>
            <w:hideMark/>
          </w:tcPr>
          <w:p w14:paraId="312716A8"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Describe relevant physical exam findings.</w:t>
            </w:r>
          </w:p>
        </w:tc>
        <w:tc>
          <w:tcPr>
            <w:tcW w:w="0" w:type="auto"/>
            <w:tcMar>
              <w:top w:w="120" w:type="dxa"/>
              <w:left w:w="180" w:type="dxa"/>
              <w:bottom w:w="120" w:type="dxa"/>
              <w:right w:w="180" w:type="dxa"/>
            </w:tcMar>
            <w:vAlign w:val="center"/>
            <w:hideMark/>
          </w:tcPr>
          <w:p w14:paraId="439D04B8"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t>Yes</w:t>
            </w:r>
            <w:r w:rsidRPr="000928F2">
              <w:rPr>
                <w:rFonts w:ascii="Times New Roman" w:hAnsi="Times New Roman" w:cs="Times New Roman"/>
                <w:color w:val="00B050"/>
                <w:sz w:val="24"/>
                <w:szCs w:val="24"/>
              </w:rPr>
              <w:t xml:space="preserve"> – Detailed in </w:t>
            </w:r>
            <w:r w:rsidRPr="000928F2">
              <w:rPr>
                <w:rFonts w:ascii="Times New Roman" w:hAnsi="Times New Roman" w:cs="Times New Roman"/>
                <w:i/>
                <w:iCs/>
                <w:color w:val="00B050"/>
                <w:sz w:val="24"/>
                <w:szCs w:val="24"/>
              </w:rPr>
              <w:t>Results</w:t>
            </w:r>
            <w:r w:rsidRPr="000928F2">
              <w:rPr>
                <w:rFonts w:ascii="Times New Roman" w:hAnsi="Times New Roman" w:cs="Times New Roman"/>
                <w:color w:val="00B050"/>
                <w:sz w:val="24"/>
                <w:szCs w:val="24"/>
              </w:rPr>
              <w:t xml:space="preserve"> and summarized in </w:t>
            </w:r>
            <w:r w:rsidRPr="000928F2">
              <w:rPr>
                <w:rFonts w:ascii="Times New Roman" w:hAnsi="Times New Roman" w:cs="Times New Roman"/>
                <w:i/>
                <w:iCs/>
                <w:color w:val="00B050"/>
                <w:sz w:val="24"/>
                <w:szCs w:val="24"/>
              </w:rPr>
              <w:t>Table 1</w:t>
            </w:r>
            <w:r w:rsidRPr="000928F2">
              <w:rPr>
                <w:rFonts w:ascii="Times New Roman" w:hAnsi="Times New Roman" w:cs="Times New Roman"/>
                <w:color w:val="00B050"/>
                <w:sz w:val="24"/>
                <w:szCs w:val="24"/>
              </w:rPr>
              <w:t xml:space="preserve"> . Exam findings include respiratory distress/tachypnea in neonates , trophic foot ulceration in Case 6 , and abdominal distension/absent bowel sounds in Case 7. </w:t>
            </w:r>
          </w:p>
        </w:tc>
      </w:tr>
      <w:tr w:rsidR="003359E1" w:rsidRPr="000928F2" w14:paraId="1161EBD0" w14:textId="77777777" w:rsidTr="00461CCB">
        <w:trPr>
          <w:tblCellSpacing w:w="15" w:type="dxa"/>
        </w:trPr>
        <w:tc>
          <w:tcPr>
            <w:tcW w:w="0" w:type="auto"/>
            <w:tcMar>
              <w:top w:w="120" w:type="dxa"/>
              <w:left w:w="180" w:type="dxa"/>
              <w:bottom w:w="120" w:type="dxa"/>
              <w:right w:w="180" w:type="dxa"/>
            </w:tcMar>
            <w:vAlign w:val="center"/>
            <w:hideMark/>
          </w:tcPr>
          <w:p w14:paraId="798A2F2E"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t>Timeline</w:t>
            </w:r>
          </w:p>
        </w:tc>
        <w:tc>
          <w:tcPr>
            <w:tcW w:w="0" w:type="auto"/>
            <w:tcMar>
              <w:top w:w="120" w:type="dxa"/>
              <w:left w:w="180" w:type="dxa"/>
              <w:bottom w:w="120" w:type="dxa"/>
              <w:right w:w="180" w:type="dxa"/>
            </w:tcMar>
            <w:vAlign w:val="center"/>
            <w:hideMark/>
          </w:tcPr>
          <w:p w14:paraId="4540EBA0"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7</w:t>
            </w:r>
          </w:p>
        </w:tc>
        <w:tc>
          <w:tcPr>
            <w:tcW w:w="0" w:type="auto"/>
            <w:tcMar>
              <w:top w:w="120" w:type="dxa"/>
              <w:left w:w="180" w:type="dxa"/>
              <w:bottom w:w="120" w:type="dxa"/>
              <w:right w:w="180" w:type="dxa"/>
            </w:tcMar>
            <w:vAlign w:val="center"/>
            <w:hideMark/>
          </w:tcPr>
          <w:p w14:paraId="669C32F6"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Important dates and times in this case (table or narrative format).</w:t>
            </w:r>
          </w:p>
        </w:tc>
        <w:tc>
          <w:tcPr>
            <w:tcW w:w="0" w:type="auto"/>
            <w:tcMar>
              <w:top w:w="120" w:type="dxa"/>
              <w:left w:w="180" w:type="dxa"/>
              <w:bottom w:w="120" w:type="dxa"/>
              <w:right w:w="180" w:type="dxa"/>
            </w:tcMar>
            <w:vAlign w:val="center"/>
            <w:hideMark/>
          </w:tcPr>
          <w:p w14:paraId="115BFF68"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t>Yes</w:t>
            </w:r>
            <w:r w:rsidRPr="000928F2">
              <w:rPr>
                <w:rFonts w:ascii="Times New Roman" w:hAnsi="Times New Roman" w:cs="Times New Roman"/>
                <w:color w:val="00B050"/>
                <w:sz w:val="24"/>
                <w:szCs w:val="24"/>
              </w:rPr>
              <w:t xml:space="preserve"> – Narrated sequentially day-by-day for each case (e.g., DOL1 culture collection through NICU exit or Day 2 cardiology transfer in Case 6) . Also compiled succinctly in </w:t>
            </w:r>
            <w:r w:rsidRPr="000928F2">
              <w:rPr>
                <w:rFonts w:ascii="Times New Roman" w:hAnsi="Times New Roman" w:cs="Times New Roman"/>
                <w:i/>
                <w:iCs/>
                <w:color w:val="00B050"/>
                <w:sz w:val="24"/>
                <w:szCs w:val="24"/>
              </w:rPr>
              <w:t>Table 1</w:t>
            </w:r>
            <w:r w:rsidRPr="000928F2">
              <w:rPr>
                <w:rFonts w:ascii="Times New Roman" w:hAnsi="Times New Roman" w:cs="Times New Roman"/>
                <w:color w:val="00B050"/>
                <w:sz w:val="24"/>
                <w:szCs w:val="24"/>
              </w:rPr>
              <w:t xml:space="preserve"> . </w:t>
            </w:r>
          </w:p>
        </w:tc>
      </w:tr>
      <w:tr w:rsidR="003359E1" w:rsidRPr="000928F2" w14:paraId="07308EEA" w14:textId="77777777" w:rsidTr="00461CCB">
        <w:trPr>
          <w:tblCellSpacing w:w="15" w:type="dxa"/>
        </w:trPr>
        <w:tc>
          <w:tcPr>
            <w:tcW w:w="0" w:type="auto"/>
            <w:tcMar>
              <w:top w:w="120" w:type="dxa"/>
              <w:left w:w="180" w:type="dxa"/>
              <w:bottom w:w="120" w:type="dxa"/>
              <w:right w:w="180" w:type="dxa"/>
            </w:tcMar>
            <w:vAlign w:val="center"/>
            <w:hideMark/>
          </w:tcPr>
          <w:p w14:paraId="74A0326C"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t>Diagnostic assessment</w:t>
            </w:r>
          </w:p>
        </w:tc>
        <w:tc>
          <w:tcPr>
            <w:tcW w:w="0" w:type="auto"/>
            <w:tcMar>
              <w:top w:w="120" w:type="dxa"/>
              <w:left w:w="180" w:type="dxa"/>
              <w:bottom w:w="120" w:type="dxa"/>
              <w:right w:w="180" w:type="dxa"/>
            </w:tcMar>
            <w:vAlign w:val="center"/>
            <w:hideMark/>
          </w:tcPr>
          <w:p w14:paraId="40BB4B5A"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8a</w:t>
            </w:r>
          </w:p>
          <w:p w14:paraId="6C4687BF"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r w:rsidRPr="000928F2">
              <w:rPr>
                <w:rFonts w:ascii="Times New Roman" w:hAnsi="Times New Roman" w:cs="Times New Roman"/>
                <w:color w:val="00B050"/>
                <w:sz w:val="24"/>
                <w:szCs w:val="24"/>
              </w:rPr>
              <w:br/>
            </w:r>
          </w:p>
          <w:p w14:paraId="68D2923C"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8b</w:t>
            </w:r>
          </w:p>
          <w:p w14:paraId="7140FEB5"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r w:rsidRPr="000928F2">
              <w:rPr>
                <w:rFonts w:ascii="Times New Roman" w:hAnsi="Times New Roman" w:cs="Times New Roman"/>
                <w:color w:val="00B050"/>
                <w:sz w:val="24"/>
                <w:szCs w:val="24"/>
              </w:rPr>
              <w:br/>
            </w:r>
          </w:p>
          <w:p w14:paraId="657849B5"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8c</w:t>
            </w:r>
          </w:p>
          <w:p w14:paraId="52B08A95"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r w:rsidRPr="000928F2">
              <w:rPr>
                <w:rFonts w:ascii="Times New Roman" w:hAnsi="Times New Roman" w:cs="Times New Roman"/>
                <w:color w:val="00B050"/>
                <w:sz w:val="24"/>
                <w:szCs w:val="24"/>
              </w:rPr>
              <w:br/>
            </w:r>
          </w:p>
          <w:p w14:paraId="59C14A32"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lastRenderedPageBreak/>
              <w:t>8d</w:t>
            </w:r>
          </w:p>
        </w:tc>
        <w:tc>
          <w:tcPr>
            <w:tcW w:w="0" w:type="auto"/>
            <w:tcMar>
              <w:top w:w="120" w:type="dxa"/>
              <w:left w:w="180" w:type="dxa"/>
              <w:bottom w:w="120" w:type="dxa"/>
              <w:right w:w="180" w:type="dxa"/>
            </w:tcMar>
            <w:vAlign w:val="center"/>
            <w:hideMark/>
          </w:tcPr>
          <w:p w14:paraId="674858B9"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lastRenderedPageBreak/>
              <w:t>Diagnostic methods (labs, imaging, cultures).</w:t>
            </w:r>
          </w:p>
          <w:p w14:paraId="5D809503"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p>
          <w:p w14:paraId="28E16BD5"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Diagnostic challenges (financial, language, cultural).</w:t>
            </w:r>
          </w:p>
          <w:p w14:paraId="6AF298C0"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p>
          <w:p w14:paraId="77DAFDCD"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Diagnostic reasoning (differential diagnoses).</w:t>
            </w:r>
          </w:p>
          <w:p w14:paraId="27478BA6"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p>
          <w:p w14:paraId="7EC5219D"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lastRenderedPageBreak/>
              <w:t>Prognostic characteristics where applicable.</w:t>
            </w:r>
          </w:p>
        </w:tc>
        <w:tc>
          <w:tcPr>
            <w:tcW w:w="0" w:type="auto"/>
            <w:tcMar>
              <w:top w:w="120" w:type="dxa"/>
              <w:left w:w="180" w:type="dxa"/>
              <w:bottom w:w="120" w:type="dxa"/>
              <w:right w:w="180" w:type="dxa"/>
            </w:tcMar>
            <w:vAlign w:val="center"/>
            <w:hideMark/>
          </w:tcPr>
          <w:p w14:paraId="6BA77AB8"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lastRenderedPageBreak/>
              <w:t>Yes</w:t>
            </w:r>
            <w:r w:rsidRPr="000928F2">
              <w:rPr>
                <w:rFonts w:ascii="Times New Roman" w:hAnsi="Times New Roman" w:cs="Times New Roman"/>
                <w:color w:val="00B050"/>
                <w:sz w:val="24"/>
                <w:szCs w:val="24"/>
              </w:rPr>
              <w:t xml:space="preserve"> – Detailed standard phenotypic biochemical identification protocols, Kirby-Bauer disk diffusion AST , complete blood counts, CRP, and liver function panels for all cases . </w:t>
            </w:r>
          </w:p>
          <w:p w14:paraId="131BDA42"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p>
          <w:p w14:paraId="2E90E1BB"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 xml:space="preserve">• </w:t>
            </w:r>
            <w:r w:rsidRPr="000928F2">
              <w:rPr>
                <w:rFonts w:ascii="Times New Roman" w:hAnsi="Times New Roman" w:cs="Times New Roman"/>
                <w:i/>
                <w:iCs/>
                <w:color w:val="00B050"/>
                <w:sz w:val="24"/>
                <w:szCs w:val="24"/>
              </w:rPr>
              <w:t>Challenges:</w:t>
            </w:r>
            <w:r w:rsidRPr="000928F2">
              <w:rPr>
                <w:rFonts w:ascii="Times New Roman" w:hAnsi="Times New Roman" w:cs="Times New Roman"/>
                <w:color w:val="00B050"/>
                <w:sz w:val="24"/>
                <w:szCs w:val="24"/>
              </w:rPr>
              <w:t xml:space="preserve"> Note that molecular/VITEK species-level sequencing </w:t>
            </w:r>
            <w:r w:rsidRPr="000928F2">
              <w:rPr>
                <w:rFonts w:ascii="Times New Roman" w:hAnsi="Times New Roman" w:cs="Times New Roman"/>
                <w:color w:val="00B050"/>
                <w:sz w:val="24"/>
                <w:szCs w:val="24"/>
              </w:rPr>
              <w:lastRenderedPageBreak/>
              <w:t xml:space="preserve">was unavailable due to study setting limitations . </w:t>
            </w:r>
          </w:p>
        </w:tc>
      </w:tr>
      <w:tr w:rsidR="003359E1" w:rsidRPr="000928F2" w14:paraId="0B1BAD68" w14:textId="77777777" w:rsidTr="00461CCB">
        <w:trPr>
          <w:tblCellSpacing w:w="15" w:type="dxa"/>
        </w:trPr>
        <w:tc>
          <w:tcPr>
            <w:tcW w:w="0" w:type="auto"/>
            <w:tcMar>
              <w:top w:w="120" w:type="dxa"/>
              <w:left w:w="180" w:type="dxa"/>
              <w:bottom w:w="120" w:type="dxa"/>
              <w:right w:w="180" w:type="dxa"/>
            </w:tcMar>
            <w:vAlign w:val="center"/>
            <w:hideMark/>
          </w:tcPr>
          <w:p w14:paraId="6CE76186"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lastRenderedPageBreak/>
              <w:t>Therapeutic interventions</w:t>
            </w:r>
          </w:p>
        </w:tc>
        <w:tc>
          <w:tcPr>
            <w:tcW w:w="0" w:type="auto"/>
            <w:tcMar>
              <w:top w:w="120" w:type="dxa"/>
              <w:left w:w="180" w:type="dxa"/>
              <w:bottom w:w="120" w:type="dxa"/>
              <w:right w:w="180" w:type="dxa"/>
            </w:tcMar>
            <w:vAlign w:val="center"/>
            <w:hideMark/>
          </w:tcPr>
          <w:p w14:paraId="03954C91"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9a</w:t>
            </w:r>
          </w:p>
          <w:p w14:paraId="11A705F5"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r w:rsidRPr="000928F2">
              <w:rPr>
                <w:rFonts w:ascii="Times New Roman" w:hAnsi="Times New Roman" w:cs="Times New Roman"/>
                <w:color w:val="00B050"/>
                <w:sz w:val="24"/>
                <w:szCs w:val="24"/>
              </w:rPr>
              <w:br/>
            </w:r>
          </w:p>
          <w:p w14:paraId="4F9C5315"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9b</w:t>
            </w:r>
          </w:p>
        </w:tc>
        <w:tc>
          <w:tcPr>
            <w:tcW w:w="0" w:type="auto"/>
            <w:tcMar>
              <w:top w:w="120" w:type="dxa"/>
              <w:left w:w="180" w:type="dxa"/>
              <w:bottom w:w="120" w:type="dxa"/>
              <w:right w:w="180" w:type="dxa"/>
            </w:tcMar>
            <w:vAlign w:val="center"/>
            <w:hideMark/>
          </w:tcPr>
          <w:p w14:paraId="3B2C269E"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Types of therapeutic interventions (pharmacologic, surgical, supportive).</w:t>
            </w:r>
          </w:p>
          <w:p w14:paraId="27D25B02"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p>
          <w:p w14:paraId="4BFA2CE0"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Administration of interventions (dosage, strength, duration).</w:t>
            </w:r>
          </w:p>
        </w:tc>
        <w:tc>
          <w:tcPr>
            <w:tcW w:w="0" w:type="auto"/>
            <w:tcMar>
              <w:top w:w="120" w:type="dxa"/>
              <w:left w:w="180" w:type="dxa"/>
              <w:bottom w:w="120" w:type="dxa"/>
              <w:right w:w="180" w:type="dxa"/>
            </w:tcMar>
            <w:vAlign w:val="center"/>
            <w:hideMark/>
          </w:tcPr>
          <w:p w14:paraId="57985C59"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t>Yes</w:t>
            </w:r>
            <w:r w:rsidRPr="000928F2">
              <w:rPr>
                <w:rFonts w:ascii="Times New Roman" w:hAnsi="Times New Roman" w:cs="Times New Roman"/>
                <w:color w:val="00B050"/>
                <w:sz w:val="24"/>
                <w:szCs w:val="24"/>
              </w:rPr>
              <w:t xml:space="preserve"> – Empiric regimens detailed (PIT + AK for neonates; VAN + MER for adults). Supportive measures (caffeine citrate, CPAP, mechanical ventilation, FFP/RBC transfusions, glycemic controls, and exploratory laparotomy surgery for Case 7) are thoroughly explicitly documented . </w:t>
            </w:r>
          </w:p>
        </w:tc>
      </w:tr>
      <w:tr w:rsidR="003359E1" w:rsidRPr="000928F2" w14:paraId="0B90D262" w14:textId="77777777" w:rsidTr="00461CCB">
        <w:trPr>
          <w:tblCellSpacing w:w="15" w:type="dxa"/>
        </w:trPr>
        <w:tc>
          <w:tcPr>
            <w:tcW w:w="0" w:type="auto"/>
            <w:tcMar>
              <w:top w:w="120" w:type="dxa"/>
              <w:left w:w="180" w:type="dxa"/>
              <w:bottom w:w="120" w:type="dxa"/>
              <w:right w:w="180" w:type="dxa"/>
            </w:tcMar>
            <w:vAlign w:val="center"/>
            <w:hideMark/>
          </w:tcPr>
          <w:p w14:paraId="3FD837E9"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t>Follow-up and outcomes</w:t>
            </w:r>
          </w:p>
        </w:tc>
        <w:tc>
          <w:tcPr>
            <w:tcW w:w="0" w:type="auto"/>
            <w:tcMar>
              <w:top w:w="120" w:type="dxa"/>
              <w:left w:w="180" w:type="dxa"/>
              <w:bottom w:w="120" w:type="dxa"/>
              <w:right w:w="180" w:type="dxa"/>
            </w:tcMar>
            <w:vAlign w:val="center"/>
            <w:hideMark/>
          </w:tcPr>
          <w:p w14:paraId="64E5CA45"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10a</w:t>
            </w:r>
          </w:p>
          <w:p w14:paraId="5E8DB718"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r w:rsidRPr="000928F2">
              <w:rPr>
                <w:rFonts w:ascii="Times New Roman" w:hAnsi="Times New Roman" w:cs="Times New Roman"/>
                <w:color w:val="00B050"/>
                <w:sz w:val="24"/>
                <w:szCs w:val="24"/>
              </w:rPr>
              <w:br/>
            </w:r>
          </w:p>
          <w:p w14:paraId="7DB6017C"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10b</w:t>
            </w:r>
          </w:p>
          <w:p w14:paraId="4A63F638"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r w:rsidRPr="000928F2">
              <w:rPr>
                <w:rFonts w:ascii="Times New Roman" w:hAnsi="Times New Roman" w:cs="Times New Roman"/>
                <w:color w:val="00B050"/>
                <w:sz w:val="24"/>
                <w:szCs w:val="24"/>
              </w:rPr>
              <w:br/>
            </w:r>
          </w:p>
          <w:p w14:paraId="77E9AC11"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10c</w:t>
            </w:r>
          </w:p>
          <w:p w14:paraId="5A7AED54"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r w:rsidRPr="000928F2">
              <w:rPr>
                <w:rFonts w:ascii="Times New Roman" w:hAnsi="Times New Roman" w:cs="Times New Roman"/>
                <w:color w:val="00B050"/>
                <w:sz w:val="24"/>
                <w:szCs w:val="24"/>
              </w:rPr>
              <w:br/>
            </w:r>
          </w:p>
          <w:p w14:paraId="38EF91BF"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10d</w:t>
            </w:r>
          </w:p>
        </w:tc>
        <w:tc>
          <w:tcPr>
            <w:tcW w:w="0" w:type="auto"/>
            <w:tcMar>
              <w:top w:w="120" w:type="dxa"/>
              <w:left w:w="180" w:type="dxa"/>
              <w:bottom w:w="120" w:type="dxa"/>
              <w:right w:w="180" w:type="dxa"/>
            </w:tcMar>
            <w:vAlign w:val="center"/>
            <w:hideMark/>
          </w:tcPr>
          <w:p w14:paraId="59B72B3F"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Clinician and patient-assessed outcomes.</w:t>
            </w:r>
          </w:p>
          <w:p w14:paraId="6302E813"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p>
          <w:p w14:paraId="018E1917"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Important follow-up diagnostic test results.</w:t>
            </w:r>
          </w:p>
          <w:p w14:paraId="43654852"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p>
          <w:p w14:paraId="1F9437C7"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Intervention adherence and tolerability.</w:t>
            </w:r>
          </w:p>
          <w:p w14:paraId="142C7EE6"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p>
          <w:p w14:paraId="0A0CFA7A"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Adverse or unanticipated events.</w:t>
            </w:r>
          </w:p>
        </w:tc>
        <w:tc>
          <w:tcPr>
            <w:tcW w:w="0" w:type="auto"/>
            <w:tcMar>
              <w:top w:w="120" w:type="dxa"/>
              <w:left w:w="180" w:type="dxa"/>
              <w:bottom w:w="120" w:type="dxa"/>
              <w:right w:w="180" w:type="dxa"/>
            </w:tcMar>
            <w:vAlign w:val="center"/>
            <w:hideMark/>
          </w:tcPr>
          <w:p w14:paraId="2EF1C149"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t>Yes</w:t>
            </w:r>
            <w:r w:rsidRPr="000928F2">
              <w:rPr>
                <w:rFonts w:ascii="Times New Roman" w:hAnsi="Times New Roman" w:cs="Times New Roman"/>
                <w:color w:val="00B050"/>
                <w:sz w:val="24"/>
                <w:szCs w:val="24"/>
              </w:rPr>
              <w:t xml:space="preserve"> – Complete resolution and discharge status captured for 6 patients . Case 7 explicitly documents the patient leaving against medical advice (LAMA) due to financial limitations. Negative repeat blood cultures are documented for prolonged stays (Case 5). </w:t>
            </w:r>
          </w:p>
        </w:tc>
      </w:tr>
      <w:tr w:rsidR="003359E1" w:rsidRPr="000928F2" w14:paraId="2AC44F4A" w14:textId="77777777" w:rsidTr="00461CCB">
        <w:trPr>
          <w:tblCellSpacing w:w="15" w:type="dxa"/>
        </w:trPr>
        <w:tc>
          <w:tcPr>
            <w:tcW w:w="0" w:type="auto"/>
            <w:tcMar>
              <w:top w:w="120" w:type="dxa"/>
              <w:left w:w="180" w:type="dxa"/>
              <w:bottom w:w="120" w:type="dxa"/>
              <w:right w:w="180" w:type="dxa"/>
            </w:tcMar>
            <w:vAlign w:val="center"/>
            <w:hideMark/>
          </w:tcPr>
          <w:p w14:paraId="4DE3AA4E"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t>Discussion</w:t>
            </w:r>
          </w:p>
        </w:tc>
        <w:tc>
          <w:tcPr>
            <w:tcW w:w="0" w:type="auto"/>
            <w:tcMar>
              <w:top w:w="120" w:type="dxa"/>
              <w:left w:w="180" w:type="dxa"/>
              <w:bottom w:w="120" w:type="dxa"/>
              <w:right w:w="180" w:type="dxa"/>
            </w:tcMar>
            <w:vAlign w:val="center"/>
            <w:hideMark/>
          </w:tcPr>
          <w:p w14:paraId="32094EB9"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11a</w:t>
            </w:r>
          </w:p>
          <w:p w14:paraId="2A1DE7A0"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r w:rsidRPr="000928F2">
              <w:rPr>
                <w:rFonts w:ascii="Times New Roman" w:hAnsi="Times New Roman" w:cs="Times New Roman"/>
                <w:color w:val="00B050"/>
                <w:sz w:val="24"/>
                <w:szCs w:val="24"/>
              </w:rPr>
              <w:br/>
            </w:r>
          </w:p>
          <w:p w14:paraId="584BA57D"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lastRenderedPageBreak/>
              <w:t>11b</w:t>
            </w:r>
          </w:p>
          <w:p w14:paraId="6918875F"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r w:rsidRPr="000928F2">
              <w:rPr>
                <w:rFonts w:ascii="Times New Roman" w:hAnsi="Times New Roman" w:cs="Times New Roman"/>
                <w:color w:val="00B050"/>
                <w:sz w:val="24"/>
                <w:szCs w:val="24"/>
              </w:rPr>
              <w:br/>
            </w:r>
          </w:p>
          <w:p w14:paraId="6D0E34FB"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11c</w:t>
            </w:r>
          </w:p>
          <w:p w14:paraId="5513697C"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r w:rsidRPr="000928F2">
              <w:rPr>
                <w:rFonts w:ascii="Times New Roman" w:hAnsi="Times New Roman" w:cs="Times New Roman"/>
                <w:color w:val="00B050"/>
                <w:sz w:val="24"/>
                <w:szCs w:val="24"/>
              </w:rPr>
              <w:br/>
            </w:r>
          </w:p>
          <w:p w14:paraId="64C28DE4"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11d</w:t>
            </w:r>
          </w:p>
        </w:tc>
        <w:tc>
          <w:tcPr>
            <w:tcW w:w="0" w:type="auto"/>
            <w:tcMar>
              <w:top w:w="120" w:type="dxa"/>
              <w:left w:w="180" w:type="dxa"/>
              <w:bottom w:w="120" w:type="dxa"/>
              <w:right w:w="180" w:type="dxa"/>
            </w:tcMar>
            <w:vAlign w:val="center"/>
            <w:hideMark/>
          </w:tcPr>
          <w:p w14:paraId="16CA477C"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lastRenderedPageBreak/>
              <w:t>Strengths and limitations of this case report.</w:t>
            </w:r>
          </w:p>
          <w:p w14:paraId="692529D9"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p>
          <w:p w14:paraId="51C366D0"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lastRenderedPageBreak/>
              <w:t>Discussion of the relevant medical literature.</w:t>
            </w:r>
          </w:p>
          <w:p w14:paraId="504C1280"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p>
          <w:p w14:paraId="116EA9A5"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The rationale for your conclusions.</w:t>
            </w:r>
          </w:p>
          <w:p w14:paraId="5D6EDD0E"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p>
          <w:p w14:paraId="0123522F"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The primary "take-away" lessons.</w:t>
            </w:r>
          </w:p>
        </w:tc>
        <w:tc>
          <w:tcPr>
            <w:tcW w:w="0" w:type="auto"/>
            <w:tcMar>
              <w:top w:w="120" w:type="dxa"/>
              <w:left w:w="180" w:type="dxa"/>
              <w:bottom w:w="120" w:type="dxa"/>
              <w:right w:w="180" w:type="dxa"/>
            </w:tcMar>
            <w:vAlign w:val="center"/>
            <w:hideMark/>
          </w:tcPr>
          <w:p w14:paraId="43147E5C"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lastRenderedPageBreak/>
              <w:t>Yes</w:t>
            </w:r>
            <w:r w:rsidRPr="000928F2">
              <w:rPr>
                <w:rFonts w:ascii="Times New Roman" w:hAnsi="Times New Roman" w:cs="Times New Roman"/>
                <w:color w:val="00B050"/>
                <w:sz w:val="24"/>
                <w:szCs w:val="24"/>
              </w:rPr>
              <w:t xml:space="preserve"> – </w:t>
            </w:r>
            <w:r w:rsidRPr="000928F2">
              <w:rPr>
                <w:rFonts w:ascii="Times New Roman" w:hAnsi="Times New Roman" w:cs="Times New Roman"/>
                <w:i/>
                <w:iCs/>
                <w:color w:val="00B050"/>
                <w:sz w:val="24"/>
                <w:szCs w:val="24"/>
              </w:rPr>
              <w:t>Discussion section</w:t>
            </w:r>
            <w:r w:rsidRPr="000928F2">
              <w:rPr>
                <w:rFonts w:ascii="Times New Roman" w:hAnsi="Times New Roman" w:cs="Times New Roman"/>
                <w:color w:val="00B050"/>
                <w:sz w:val="24"/>
                <w:szCs w:val="24"/>
              </w:rPr>
              <w:t xml:space="preserve"> reviews historical cohort datasets, risks of NICU outbreaks, and </w:t>
            </w:r>
            <w:r w:rsidRPr="000928F2">
              <w:rPr>
                <w:rFonts w:ascii="Times New Roman" w:hAnsi="Times New Roman" w:cs="Times New Roman"/>
                <w:color w:val="00B050"/>
                <w:sz w:val="24"/>
                <w:szCs w:val="24"/>
              </w:rPr>
              <w:lastRenderedPageBreak/>
              <w:t xml:space="preserve">diabetic/surgical predispositions . </w:t>
            </w:r>
          </w:p>
          <w:p w14:paraId="04406C7D"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p>
          <w:p w14:paraId="368EA6EA"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 xml:space="preserve">• </w:t>
            </w:r>
            <w:r w:rsidRPr="000928F2">
              <w:rPr>
                <w:rFonts w:ascii="Times New Roman" w:hAnsi="Times New Roman" w:cs="Times New Roman"/>
                <w:i/>
                <w:iCs/>
                <w:color w:val="00B050"/>
                <w:sz w:val="24"/>
                <w:szCs w:val="24"/>
              </w:rPr>
              <w:t>Limitations:</w:t>
            </w:r>
            <w:r w:rsidRPr="000928F2">
              <w:rPr>
                <w:rFonts w:ascii="Times New Roman" w:hAnsi="Times New Roman" w:cs="Times New Roman"/>
                <w:color w:val="00B050"/>
                <w:sz w:val="24"/>
                <w:szCs w:val="24"/>
              </w:rPr>
              <w:t xml:space="preserve"> Lack of molecular species-level genotyping (</w:t>
            </w:r>
            <w:r w:rsidRPr="000928F2">
              <w:rPr>
                <w:rFonts w:ascii="Times New Roman" w:hAnsi="Times New Roman" w:cs="Times New Roman"/>
                <w:i/>
                <w:iCs/>
                <w:color w:val="00B050"/>
                <w:sz w:val="24"/>
                <w:szCs w:val="24"/>
              </w:rPr>
              <w:t>16S rRNA</w:t>
            </w:r>
            <w:r w:rsidRPr="000928F2">
              <w:rPr>
                <w:rFonts w:ascii="Times New Roman" w:hAnsi="Times New Roman" w:cs="Times New Roman"/>
                <w:color w:val="00B050"/>
                <w:sz w:val="24"/>
                <w:szCs w:val="24"/>
              </w:rPr>
              <w:t xml:space="preserve">, </w:t>
            </w:r>
            <w:r w:rsidRPr="000928F2">
              <w:rPr>
                <w:rFonts w:ascii="Times New Roman" w:hAnsi="Times New Roman" w:cs="Times New Roman"/>
                <w:i/>
                <w:iCs/>
                <w:color w:val="00B050"/>
                <w:sz w:val="24"/>
                <w:szCs w:val="24"/>
              </w:rPr>
              <w:t>MALDI-TOF</w:t>
            </w:r>
            <w:r w:rsidRPr="000928F2">
              <w:rPr>
                <w:rFonts w:ascii="Times New Roman" w:hAnsi="Times New Roman" w:cs="Times New Roman"/>
                <w:color w:val="00B050"/>
                <w:sz w:val="24"/>
                <w:szCs w:val="24"/>
              </w:rPr>
              <w:t xml:space="preserve">) explicitly noted . </w:t>
            </w:r>
          </w:p>
          <w:p w14:paraId="19A63EFE"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br/>
            </w:r>
          </w:p>
          <w:p w14:paraId="19CB63E7"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 xml:space="preserve">• </w:t>
            </w:r>
            <w:r w:rsidRPr="000928F2">
              <w:rPr>
                <w:rFonts w:ascii="Times New Roman" w:hAnsi="Times New Roman" w:cs="Times New Roman"/>
                <w:i/>
                <w:iCs/>
                <w:color w:val="00B050"/>
                <w:sz w:val="24"/>
                <w:szCs w:val="24"/>
              </w:rPr>
              <w:t>Take-away:</w:t>
            </w:r>
            <w:r w:rsidRPr="000928F2">
              <w:rPr>
                <w:rFonts w:ascii="Times New Roman" w:hAnsi="Times New Roman" w:cs="Times New Roman"/>
                <w:color w:val="00B050"/>
                <w:sz w:val="24"/>
                <w:szCs w:val="24"/>
              </w:rPr>
              <w:t xml:space="preserve"> Elevated inflammatory markers combined with isolated </w:t>
            </w:r>
            <w:r w:rsidRPr="000928F2">
              <w:rPr>
                <w:rFonts w:ascii="Times New Roman" w:hAnsi="Times New Roman" w:cs="Times New Roman"/>
                <w:i/>
                <w:iCs/>
                <w:color w:val="00B050"/>
                <w:sz w:val="24"/>
                <w:szCs w:val="24"/>
              </w:rPr>
              <w:t>Bacillus</w:t>
            </w:r>
            <w:r w:rsidRPr="000928F2">
              <w:rPr>
                <w:rFonts w:ascii="Times New Roman" w:hAnsi="Times New Roman" w:cs="Times New Roman"/>
                <w:color w:val="00B050"/>
                <w:sz w:val="24"/>
                <w:szCs w:val="24"/>
              </w:rPr>
              <w:t xml:space="preserve"> growth demand clinical respect rather than automatic contaminant dismissal . </w:t>
            </w:r>
          </w:p>
        </w:tc>
      </w:tr>
      <w:tr w:rsidR="003359E1" w:rsidRPr="000928F2" w14:paraId="78A331E6" w14:textId="77777777" w:rsidTr="00461CCB">
        <w:trPr>
          <w:tblCellSpacing w:w="15" w:type="dxa"/>
        </w:trPr>
        <w:tc>
          <w:tcPr>
            <w:tcW w:w="0" w:type="auto"/>
            <w:tcMar>
              <w:top w:w="120" w:type="dxa"/>
              <w:left w:w="180" w:type="dxa"/>
              <w:bottom w:w="120" w:type="dxa"/>
              <w:right w:w="180" w:type="dxa"/>
            </w:tcMar>
            <w:vAlign w:val="center"/>
            <w:hideMark/>
          </w:tcPr>
          <w:p w14:paraId="48229077"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lastRenderedPageBreak/>
              <w:t>Patient perspective</w:t>
            </w:r>
          </w:p>
        </w:tc>
        <w:tc>
          <w:tcPr>
            <w:tcW w:w="0" w:type="auto"/>
            <w:tcMar>
              <w:top w:w="120" w:type="dxa"/>
              <w:left w:w="180" w:type="dxa"/>
              <w:bottom w:w="120" w:type="dxa"/>
              <w:right w:w="180" w:type="dxa"/>
            </w:tcMar>
            <w:vAlign w:val="center"/>
            <w:hideMark/>
          </w:tcPr>
          <w:p w14:paraId="710D031D"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12</w:t>
            </w:r>
          </w:p>
        </w:tc>
        <w:tc>
          <w:tcPr>
            <w:tcW w:w="0" w:type="auto"/>
            <w:tcMar>
              <w:top w:w="120" w:type="dxa"/>
              <w:left w:w="180" w:type="dxa"/>
              <w:bottom w:w="120" w:type="dxa"/>
              <w:right w:w="180" w:type="dxa"/>
            </w:tcMar>
            <w:vAlign w:val="center"/>
            <w:hideMark/>
          </w:tcPr>
          <w:p w14:paraId="1B3D603B"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The patient should share their perspective on the treatments they received.</w:t>
            </w:r>
          </w:p>
        </w:tc>
        <w:tc>
          <w:tcPr>
            <w:tcW w:w="0" w:type="auto"/>
            <w:tcMar>
              <w:top w:w="120" w:type="dxa"/>
              <w:left w:w="180" w:type="dxa"/>
              <w:bottom w:w="120" w:type="dxa"/>
              <w:right w:w="180" w:type="dxa"/>
            </w:tcMar>
            <w:vAlign w:val="center"/>
            <w:hideMark/>
          </w:tcPr>
          <w:p w14:paraId="1CA1721B"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t>Not Applicable / No</w:t>
            </w:r>
            <w:r w:rsidRPr="000928F2">
              <w:rPr>
                <w:rFonts w:ascii="Times New Roman" w:hAnsi="Times New Roman" w:cs="Times New Roman"/>
                <w:color w:val="00B050"/>
                <w:sz w:val="24"/>
                <w:szCs w:val="24"/>
              </w:rPr>
              <w:t xml:space="preserve"> – As a retrospective review of de-identified records spanning up to seven years prior, direct patient self-assessments were not recorded. </w:t>
            </w:r>
          </w:p>
        </w:tc>
      </w:tr>
      <w:tr w:rsidR="003359E1" w:rsidRPr="000928F2" w14:paraId="00952809" w14:textId="77777777" w:rsidTr="00461CCB">
        <w:trPr>
          <w:tblCellSpacing w:w="15" w:type="dxa"/>
        </w:trPr>
        <w:tc>
          <w:tcPr>
            <w:tcW w:w="0" w:type="auto"/>
            <w:tcMar>
              <w:top w:w="120" w:type="dxa"/>
              <w:left w:w="180" w:type="dxa"/>
              <w:bottom w:w="120" w:type="dxa"/>
              <w:right w:w="180" w:type="dxa"/>
            </w:tcMar>
            <w:vAlign w:val="center"/>
            <w:hideMark/>
          </w:tcPr>
          <w:p w14:paraId="27BE3852"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t>Informed consent</w:t>
            </w:r>
          </w:p>
        </w:tc>
        <w:tc>
          <w:tcPr>
            <w:tcW w:w="0" w:type="auto"/>
            <w:tcMar>
              <w:top w:w="120" w:type="dxa"/>
              <w:left w:w="180" w:type="dxa"/>
              <w:bottom w:w="120" w:type="dxa"/>
              <w:right w:w="180" w:type="dxa"/>
            </w:tcMar>
            <w:vAlign w:val="center"/>
            <w:hideMark/>
          </w:tcPr>
          <w:p w14:paraId="47836DB1"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13</w:t>
            </w:r>
          </w:p>
        </w:tc>
        <w:tc>
          <w:tcPr>
            <w:tcW w:w="0" w:type="auto"/>
            <w:tcMar>
              <w:top w:w="120" w:type="dxa"/>
              <w:left w:w="180" w:type="dxa"/>
              <w:bottom w:w="120" w:type="dxa"/>
              <w:right w:w="180" w:type="dxa"/>
            </w:tcMar>
            <w:vAlign w:val="center"/>
            <w:hideMark/>
          </w:tcPr>
          <w:p w14:paraId="1813F938"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color w:val="00B050"/>
                <w:sz w:val="24"/>
                <w:szCs w:val="24"/>
              </w:rPr>
              <w:t>Did the patient (or proxy) provide informed consent?</w:t>
            </w:r>
          </w:p>
        </w:tc>
        <w:tc>
          <w:tcPr>
            <w:tcW w:w="0" w:type="auto"/>
            <w:tcMar>
              <w:top w:w="120" w:type="dxa"/>
              <w:left w:w="180" w:type="dxa"/>
              <w:bottom w:w="120" w:type="dxa"/>
              <w:right w:w="180" w:type="dxa"/>
            </w:tcMar>
            <w:vAlign w:val="center"/>
            <w:hideMark/>
          </w:tcPr>
          <w:p w14:paraId="514C8B9F" w14:textId="77777777" w:rsidR="003359E1" w:rsidRPr="000928F2" w:rsidRDefault="003359E1" w:rsidP="00461CCB">
            <w:pPr>
              <w:rPr>
                <w:rFonts w:ascii="Times New Roman" w:hAnsi="Times New Roman" w:cs="Times New Roman"/>
                <w:color w:val="00B050"/>
                <w:sz w:val="24"/>
                <w:szCs w:val="24"/>
              </w:rPr>
            </w:pPr>
            <w:r w:rsidRPr="000928F2">
              <w:rPr>
                <w:rFonts w:ascii="Times New Roman" w:hAnsi="Times New Roman" w:cs="Times New Roman"/>
                <w:b/>
                <w:bCs/>
                <w:color w:val="00B050"/>
                <w:sz w:val="24"/>
                <w:szCs w:val="24"/>
              </w:rPr>
              <w:t>Yes</w:t>
            </w:r>
            <w:r w:rsidRPr="000928F2">
              <w:rPr>
                <w:rFonts w:ascii="Times New Roman" w:hAnsi="Times New Roman" w:cs="Times New Roman"/>
                <w:color w:val="00B050"/>
                <w:sz w:val="24"/>
                <w:szCs w:val="24"/>
              </w:rPr>
              <w:t xml:space="preserve"> – Stated explicitly under </w:t>
            </w:r>
            <w:r w:rsidRPr="000928F2">
              <w:rPr>
                <w:rFonts w:ascii="Times New Roman" w:hAnsi="Times New Roman" w:cs="Times New Roman"/>
                <w:i/>
                <w:iCs/>
                <w:color w:val="00B050"/>
                <w:sz w:val="24"/>
                <w:szCs w:val="24"/>
              </w:rPr>
              <w:t>Ethics and Consent to Participate</w:t>
            </w:r>
            <w:r w:rsidRPr="000928F2">
              <w:rPr>
                <w:rFonts w:ascii="Times New Roman" w:hAnsi="Times New Roman" w:cs="Times New Roman"/>
                <w:color w:val="00B050"/>
                <w:sz w:val="24"/>
                <w:szCs w:val="24"/>
              </w:rPr>
              <w:t xml:space="preserve"> and </w:t>
            </w:r>
            <w:r w:rsidRPr="000928F2">
              <w:rPr>
                <w:rFonts w:ascii="Times New Roman" w:hAnsi="Times New Roman" w:cs="Times New Roman"/>
                <w:i/>
                <w:iCs/>
                <w:color w:val="00B050"/>
                <w:sz w:val="24"/>
                <w:szCs w:val="24"/>
              </w:rPr>
              <w:t>Consent to Publish</w:t>
            </w:r>
            <w:r w:rsidRPr="000928F2">
              <w:rPr>
                <w:rFonts w:ascii="Times New Roman" w:hAnsi="Times New Roman" w:cs="Times New Roman"/>
                <w:color w:val="00B050"/>
                <w:sz w:val="24"/>
                <w:szCs w:val="24"/>
              </w:rPr>
              <w:t xml:space="preserve"> . Written consent was obtained from adult participants and legal guardians for the minor patients. Formal institutional waiver was applied to historical </w:t>
            </w:r>
            <w:r w:rsidRPr="000928F2">
              <w:rPr>
                <w:rFonts w:ascii="Times New Roman" w:hAnsi="Times New Roman" w:cs="Times New Roman"/>
                <w:color w:val="00B050"/>
                <w:sz w:val="24"/>
                <w:szCs w:val="24"/>
              </w:rPr>
              <w:lastRenderedPageBreak/>
              <w:t xml:space="preserve">record collection where appropriate. </w:t>
            </w:r>
          </w:p>
        </w:tc>
      </w:tr>
    </w:tbl>
    <w:p w14:paraId="752D8981" w14:textId="77777777" w:rsidR="003359E1" w:rsidRPr="000928F2" w:rsidRDefault="003359E1" w:rsidP="003359E1">
      <w:pPr>
        <w:rPr>
          <w:rFonts w:ascii="Times New Roman" w:hAnsi="Times New Roman" w:cs="Times New Roman"/>
          <w:color w:val="00B050"/>
          <w:sz w:val="24"/>
          <w:szCs w:val="24"/>
        </w:rPr>
      </w:pPr>
    </w:p>
    <w:p w14:paraId="6F010875" w14:textId="77777777" w:rsidR="003359E1" w:rsidRPr="00F87695" w:rsidRDefault="003359E1" w:rsidP="003359E1">
      <w:pPr>
        <w:rPr>
          <w:rFonts w:ascii="Times New Roman" w:hAnsi="Times New Roman" w:cs="Times New Roman"/>
          <w:b/>
          <w:bCs/>
          <w:sz w:val="24"/>
          <w:szCs w:val="24"/>
        </w:rPr>
      </w:pPr>
    </w:p>
    <w:p w14:paraId="503DBE7A" w14:textId="77777777" w:rsidR="00EB4A2D" w:rsidRDefault="00EB4A2D"/>
    <w:sectPr w:rsidR="00EB4A2D" w:rsidSect="003359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9E1"/>
    <w:rsid w:val="001D3053"/>
    <w:rsid w:val="00285945"/>
    <w:rsid w:val="002C7D54"/>
    <w:rsid w:val="0033371E"/>
    <w:rsid w:val="003359E1"/>
    <w:rsid w:val="005C0D39"/>
    <w:rsid w:val="0070406C"/>
    <w:rsid w:val="00724754"/>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A95A7"/>
  <w15:chartTrackingRefBased/>
  <w15:docId w15:val="{CBED662D-C491-4B5B-B4D5-97CB6E8F7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9E1"/>
    <w:pPr>
      <w:spacing w:line="259" w:lineRule="auto"/>
    </w:pPr>
    <w:rPr>
      <w:sz w:val="22"/>
      <w:szCs w:val="22"/>
    </w:rPr>
  </w:style>
  <w:style w:type="paragraph" w:styleId="Heading1">
    <w:name w:val="heading 1"/>
    <w:basedOn w:val="Normal"/>
    <w:next w:val="Normal"/>
    <w:link w:val="Heading1Char"/>
    <w:uiPriority w:val="9"/>
    <w:qFormat/>
    <w:rsid w:val="003359E1"/>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59E1"/>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59E1"/>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59E1"/>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3359E1"/>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3359E1"/>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3359E1"/>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3359E1"/>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3359E1"/>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59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59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59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59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59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59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59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59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59E1"/>
    <w:rPr>
      <w:rFonts w:eastAsiaTheme="majorEastAsia" w:cstheme="majorBidi"/>
      <w:color w:val="272727" w:themeColor="text1" w:themeTint="D8"/>
    </w:rPr>
  </w:style>
  <w:style w:type="paragraph" w:styleId="Title">
    <w:name w:val="Title"/>
    <w:basedOn w:val="Normal"/>
    <w:next w:val="Normal"/>
    <w:link w:val="TitleChar"/>
    <w:uiPriority w:val="10"/>
    <w:qFormat/>
    <w:rsid w:val="003359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59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59E1"/>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59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59E1"/>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3359E1"/>
    <w:rPr>
      <w:i/>
      <w:iCs/>
      <w:color w:val="404040" w:themeColor="text1" w:themeTint="BF"/>
    </w:rPr>
  </w:style>
  <w:style w:type="paragraph" w:styleId="ListParagraph">
    <w:name w:val="List Paragraph"/>
    <w:basedOn w:val="Normal"/>
    <w:uiPriority w:val="34"/>
    <w:qFormat/>
    <w:rsid w:val="003359E1"/>
    <w:pPr>
      <w:spacing w:line="278" w:lineRule="auto"/>
      <w:ind w:left="720"/>
      <w:contextualSpacing/>
    </w:pPr>
    <w:rPr>
      <w:sz w:val="24"/>
      <w:szCs w:val="24"/>
    </w:rPr>
  </w:style>
  <w:style w:type="character" w:styleId="IntenseEmphasis">
    <w:name w:val="Intense Emphasis"/>
    <w:basedOn w:val="DefaultParagraphFont"/>
    <w:uiPriority w:val="21"/>
    <w:qFormat/>
    <w:rsid w:val="003359E1"/>
    <w:rPr>
      <w:i/>
      <w:iCs/>
      <w:color w:val="0F4761" w:themeColor="accent1" w:themeShade="BF"/>
    </w:rPr>
  </w:style>
  <w:style w:type="paragraph" w:styleId="IntenseQuote">
    <w:name w:val="Intense Quote"/>
    <w:basedOn w:val="Normal"/>
    <w:next w:val="Normal"/>
    <w:link w:val="IntenseQuoteChar"/>
    <w:uiPriority w:val="30"/>
    <w:qFormat/>
    <w:rsid w:val="003359E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3359E1"/>
    <w:rPr>
      <w:i/>
      <w:iCs/>
      <w:color w:val="0F4761" w:themeColor="accent1" w:themeShade="BF"/>
    </w:rPr>
  </w:style>
  <w:style w:type="character" w:styleId="IntenseReference">
    <w:name w:val="Intense Reference"/>
    <w:basedOn w:val="DefaultParagraphFont"/>
    <w:uiPriority w:val="32"/>
    <w:qFormat/>
    <w:rsid w:val="003359E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859</Words>
  <Characters>4901</Characters>
  <Application>Microsoft Office Word</Application>
  <DocSecurity>0</DocSecurity>
  <Lines>40</Lines>
  <Paragraphs>11</Paragraphs>
  <ScaleCrop>false</ScaleCrop>
  <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2026-07-09T12:35:00Z</dcterms:created>
  <dcterms:modified xsi:type="dcterms:W3CDTF">2026-07-09T12:35:00Z</dcterms:modified>
</cp:coreProperties>
</file>