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29B73D" w14:textId="77777777" w:rsidR="00676DB5" w:rsidRDefault="00BF6DCE">
      <w:pPr>
        <w:jc w:val="left"/>
        <w:rPr>
          <w:rFonts w:ascii="Times New Roman" w:hAnsi="Times New Roman" w:cs="Times New Roman"/>
          <w:b/>
          <w:bCs/>
          <w:sz w:val="28"/>
          <w:szCs w:val="28"/>
        </w:rPr>
      </w:pPr>
      <w:r>
        <w:rPr>
          <w:rFonts w:ascii="Times New Roman" w:hAnsi="Times New Roman" w:cs="Times New Roman"/>
          <w:b/>
          <w:bCs/>
          <w:sz w:val="22"/>
        </w:rPr>
        <w:t xml:space="preserve">Supplementary </w:t>
      </w:r>
      <w:r>
        <w:rPr>
          <w:rFonts w:ascii="Times New Roman" w:hAnsi="Times New Roman" w:cs="Times New Roman" w:hint="eastAsia"/>
          <w:b/>
          <w:bCs/>
          <w:sz w:val="22"/>
        </w:rPr>
        <w:t>I</w:t>
      </w:r>
      <w:r>
        <w:rPr>
          <w:rFonts w:ascii="Times New Roman" w:hAnsi="Times New Roman" w:cs="Times New Roman"/>
          <w:b/>
          <w:bCs/>
          <w:sz w:val="22"/>
        </w:rPr>
        <w:t>nformation</w:t>
      </w:r>
    </w:p>
    <w:p w14:paraId="4029B73E" w14:textId="77777777" w:rsidR="00676DB5" w:rsidRDefault="00BF6DCE">
      <w:pPr>
        <w:spacing w:before="240" w:after="240"/>
        <w:rPr>
          <w:rFonts w:ascii="Times New Roman" w:hAnsi="Times New Roman" w:cs="Times New Roman"/>
          <w:sz w:val="24"/>
          <w:szCs w:val="24"/>
        </w:rPr>
      </w:pPr>
      <w:r>
        <w:rPr>
          <w:rFonts w:ascii="Times New Roman" w:hAnsi="Times New Roman" w:cs="Times New Roman" w:hint="eastAsia"/>
          <w:b/>
          <w:bCs/>
          <w:sz w:val="32"/>
          <w:szCs w:val="32"/>
        </w:rPr>
        <w:t>Active Reverse Bias Protection for Perovskite Solar Cells Under Variable Illumination via Integrated Bypass Diodes</w:t>
      </w:r>
    </w:p>
    <w:p w14:paraId="4029B73F" w14:textId="77777777" w:rsidR="00676DB5" w:rsidRDefault="00BF6DCE">
      <w:pPr>
        <w:spacing w:before="240" w:after="240" w:line="360" w:lineRule="auto"/>
        <w:rPr>
          <w:rFonts w:ascii="Times New Roman" w:hAnsi="Times New Roman" w:cs="Times New Roman"/>
          <w:b/>
          <w:bCs/>
          <w:sz w:val="28"/>
          <w:szCs w:val="28"/>
        </w:rPr>
      </w:pPr>
      <w:r>
        <w:rPr>
          <w:rFonts w:ascii="Times New Roman" w:hAnsi="Times New Roman" w:cs="Times New Roman"/>
          <w:b/>
          <w:bCs/>
          <w:sz w:val="28"/>
          <w:szCs w:val="28"/>
        </w:rPr>
        <w:t>Supplementary Methods</w:t>
      </w:r>
    </w:p>
    <w:p w14:paraId="4029B740" w14:textId="77777777" w:rsidR="00676DB5" w:rsidRDefault="00BF6DCE">
      <w:pPr>
        <w:spacing w:before="240" w:line="360" w:lineRule="auto"/>
        <w:rPr>
          <w:rFonts w:ascii="Times New Roman" w:hAnsi="Times New Roman" w:cs="Times New Roman"/>
          <w:b/>
          <w:bCs/>
          <w:sz w:val="24"/>
          <w:szCs w:val="24"/>
        </w:rPr>
      </w:pPr>
      <w:r>
        <w:rPr>
          <w:rFonts w:ascii="Times New Roman" w:hAnsi="Times New Roman" w:cs="Times New Roman"/>
          <w:b/>
          <w:bCs/>
          <w:sz w:val="24"/>
          <w:szCs w:val="24"/>
        </w:rPr>
        <w:t>Materials</w:t>
      </w:r>
    </w:p>
    <w:p w14:paraId="4029B741" w14:textId="77777777" w:rsidR="00676DB5" w:rsidRDefault="00BF6DCE">
      <w:pPr>
        <w:spacing w:line="360" w:lineRule="auto"/>
        <w:rPr>
          <w:rFonts w:ascii="Times New Roman" w:hAnsi="Times New Roman" w:cs="Times New Roman"/>
          <w:sz w:val="22"/>
        </w:rPr>
      </w:pPr>
      <w:proofErr w:type="spellStart"/>
      <w:r>
        <w:rPr>
          <w:rFonts w:ascii="Times New Roman" w:hAnsi="Times New Roman" w:cs="Times New Roman"/>
          <w:sz w:val="22"/>
        </w:rPr>
        <w:t>Formamidinium</w:t>
      </w:r>
      <w:proofErr w:type="spellEnd"/>
      <w:r>
        <w:rPr>
          <w:rFonts w:ascii="Times New Roman" w:hAnsi="Times New Roman" w:cs="Times New Roman"/>
          <w:sz w:val="22"/>
        </w:rPr>
        <w:t xml:space="preserve"> iodide (FAI, 99.9%), methylammonium iodide (MAI, 99.9%), methylammonium Chloride (</w:t>
      </w:r>
      <w:proofErr w:type="spellStart"/>
      <w:r>
        <w:rPr>
          <w:rFonts w:ascii="Times New Roman" w:hAnsi="Times New Roman" w:cs="Times New Roman"/>
          <w:sz w:val="22"/>
        </w:rPr>
        <w:t>MACl</w:t>
      </w:r>
      <w:proofErr w:type="spellEnd"/>
      <w:r>
        <w:rPr>
          <w:rFonts w:ascii="Times New Roman" w:hAnsi="Times New Roman" w:cs="Times New Roman"/>
          <w:sz w:val="22"/>
        </w:rPr>
        <w:t>, 99.9%) Cesium iodide (</w:t>
      </w:r>
      <w:proofErr w:type="spellStart"/>
      <w:r>
        <w:rPr>
          <w:rFonts w:ascii="Times New Roman" w:hAnsi="Times New Roman" w:cs="Times New Roman"/>
          <w:sz w:val="22"/>
        </w:rPr>
        <w:t>CsI</w:t>
      </w:r>
      <w:proofErr w:type="spellEnd"/>
      <w:r>
        <w:rPr>
          <w:rFonts w:ascii="Times New Roman" w:hAnsi="Times New Roman" w:cs="Times New Roman"/>
          <w:sz w:val="22"/>
        </w:rPr>
        <w:t>, 99.9%), Lead iodide (PbI</w:t>
      </w:r>
      <w:r>
        <w:rPr>
          <w:rFonts w:ascii="Times New Roman" w:hAnsi="Times New Roman" w:cs="Times New Roman"/>
          <w:sz w:val="22"/>
          <w:vertAlign w:val="subscript"/>
        </w:rPr>
        <w:t>2</w:t>
      </w:r>
      <w:r>
        <w:rPr>
          <w:rFonts w:ascii="Times New Roman" w:hAnsi="Times New Roman" w:cs="Times New Roman"/>
          <w:sz w:val="22"/>
        </w:rPr>
        <w:t xml:space="preserve">, 99.999%), </w:t>
      </w:r>
      <w:proofErr w:type="spellStart"/>
      <w:r>
        <w:rPr>
          <w:rFonts w:ascii="Times New Roman" w:hAnsi="Times New Roman" w:cs="Times New Roman"/>
          <w:sz w:val="22"/>
        </w:rPr>
        <w:t>Phenethylammonium</w:t>
      </w:r>
      <w:proofErr w:type="spellEnd"/>
      <w:r>
        <w:rPr>
          <w:rFonts w:ascii="Times New Roman" w:hAnsi="Times New Roman" w:cs="Times New Roman"/>
          <w:sz w:val="22"/>
        </w:rPr>
        <w:t xml:space="preserve"> chloride (</w:t>
      </w:r>
      <w:proofErr w:type="spellStart"/>
      <w:r>
        <w:rPr>
          <w:rFonts w:ascii="Times New Roman" w:hAnsi="Times New Roman" w:cs="Times New Roman"/>
          <w:sz w:val="22"/>
        </w:rPr>
        <w:t>PEACl</w:t>
      </w:r>
      <w:proofErr w:type="spellEnd"/>
      <w:r>
        <w:rPr>
          <w:rFonts w:ascii="Times New Roman" w:hAnsi="Times New Roman" w:cs="Times New Roman"/>
          <w:sz w:val="22"/>
        </w:rPr>
        <w:t>, 99.9%)</w:t>
      </w:r>
      <w:r>
        <w:rPr>
          <w:rFonts w:ascii="Times New Roman" w:hAnsi="Times New Roman" w:cs="Times New Roman" w:hint="eastAsia"/>
          <w:sz w:val="22"/>
        </w:rPr>
        <w:t>,</w:t>
      </w:r>
      <w:r>
        <w:rPr>
          <w:rFonts w:ascii="Times New Roman" w:hAnsi="Times New Roman" w:cs="Times New Roman"/>
          <w:sz w:val="22"/>
        </w:rPr>
        <w:t xml:space="preserve"> [4-(3,6-dimethyl-9H-carbazole-9-yl)butyl] phosphonic acid(Me-4PAC, 99.9%) and 2,2',7,7'-tetra(N, N-di-tolyl)</w:t>
      </w:r>
      <w:proofErr w:type="spellStart"/>
      <w:r>
        <w:rPr>
          <w:rFonts w:ascii="Times New Roman" w:hAnsi="Times New Roman" w:cs="Times New Roman"/>
          <w:sz w:val="22"/>
        </w:rPr>
        <w:t>aMino</w:t>
      </w:r>
      <w:proofErr w:type="spellEnd"/>
      <w:r>
        <w:rPr>
          <w:rFonts w:ascii="Times New Roman" w:hAnsi="Times New Roman" w:cs="Times New Roman"/>
          <w:sz w:val="22"/>
        </w:rPr>
        <w:t>-spiro-</w:t>
      </w:r>
      <w:proofErr w:type="spellStart"/>
      <w:r>
        <w:rPr>
          <w:rFonts w:ascii="Times New Roman" w:hAnsi="Times New Roman" w:cs="Times New Roman"/>
          <w:sz w:val="22"/>
        </w:rPr>
        <w:t>bifluor</w:t>
      </w:r>
      <w:proofErr w:type="spellEnd"/>
      <w:r>
        <w:rPr>
          <w:rFonts w:ascii="Times New Roman" w:hAnsi="Times New Roman" w:cs="Times New Roman"/>
          <w:sz w:val="22"/>
        </w:rPr>
        <w:t xml:space="preserve"> (Spiro-TTB, 99.5%) were purchased from Xi’an Polymer Light Technology Corp. MoO</w:t>
      </w:r>
      <w:r>
        <w:rPr>
          <w:rFonts w:ascii="Times New Roman" w:hAnsi="Times New Roman" w:cs="Times New Roman"/>
          <w:sz w:val="22"/>
          <w:vertAlign w:val="subscript"/>
        </w:rPr>
        <w:t>3</w:t>
      </w:r>
      <w:r>
        <w:rPr>
          <w:rFonts w:ascii="Times New Roman" w:hAnsi="Times New Roman" w:cs="Times New Roman"/>
          <w:sz w:val="22"/>
        </w:rPr>
        <w:t xml:space="preserve"> was purchased from Aladin. Tin (IV) oxide (SnO</w:t>
      </w:r>
      <w:r>
        <w:rPr>
          <w:rFonts w:ascii="Times New Roman" w:hAnsi="Times New Roman" w:cs="Times New Roman"/>
          <w:sz w:val="22"/>
          <w:vertAlign w:val="subscript"/>
        </w:rPr>
        <w:t>2)</w:t>
      </w:r>
      <w:r>
        <w:rPr>
          <w:rFonts w:ascii="Times New Roman" w:hAnsi="Times New Roman" w:cs="Times New Roman"/>
          <w:sz w:val="22"/>
        </w:rPr>
        <w:t xml:space="preserve"> colloid solution (15 wt.%) was purchased from Alfa–</w:t>
      </w:r>
      <w:proofErr w:type="spellStart"/>
      <w:r>
        <w:rPr>
          <w:rFonts w:ascii="Times New Roman" w:hAnsi="Times New Roman" w:cs="Times New Roman"/>
          <w:sz w:val="22"/>
        </w:rPr>
        <w:t>Aesar</w:t>
      </w:r>
      <w:proofErr w:type="spellEnd"/>
      <w:r>
        <w:rPr>
          <w:rFonts w:ascii="Times New Roman" w:hAnsi="Times New Roman" w:cs="Times New Roman"/>
          <w:sz w:val="22"/>
        </w:rPr>
        <w:t xml:space="preserve">. </w:t>
      </w:r>
      <w:proofErr w:type="spellStart"/>
      <w:r>
        <w:rPr>
          <w:rFonts w:ascii="Times New Roman" w:hAnsi="Times New Roman" w:cs="Times New Roman"/>
          <w:sz w:val="22"/>
        </w:rPr>
        <w:t>NiO</w:t>
      </w:r>
      <w:r>
        <w:rPr>
          <w:rFonts w:ascii="Times New Roman" w:hAnsi="Times New Roman" w:cs="Times New Roman"/>
          <w:sz w:val="22"/>
          <w:vertAlign w:val="subscript"/>
        </w:rPr>
        <w:t>X</w:t>
      </w:r>
      <w:proofErr w:type="spellEnd"/>
      <w:r>
        <w:rPr>
          <w:rFonts w:ascii="Times New Roman" w:hAnsi="Times New Roman" w:cs="Times New Roman"/>
          <w:sz w:val="22"/>
        </w:rPr>
        <w:t xml:space="preserve"> nanoparticles, Fullerene (C60, 99.9%), and 2,9-dimethyl-4,7- diphenyl-1,10-phenanthroline (BCP, 98%), were procured from Advanced Election Technology. Chlorobenzene (CB, anhydrous, 99.8%), N,N-dimethylformamide (DMF, anhydrous, 99.8%), dimethyl sulfoxide (DMSO, anhydrous, ≥99.9%), isopropyl alcohol (IPA, 99.8%) and ethyl alcohol (anhydrous, 99.5%) were purchased from Sigma-Aldrich. 4,5-Dichloro-2-methylimidazole were purchased from </w:t>
      </w:r>
      <w:proofErr w:type="spellStart"/>
      <w:r>
        <w:rPr>
          <w:rFonts w:ascii="Times New Roman" w:hAnsi="Times New Roman" w:cs="Times New Roman"/>
          <w:sz w:val="22"/>
        </w:rPr>
        <w:t>Shanghaiyuanye</w:t>
      </w:r>
      <w:proofErr w:type="spellEnd"/>
      <w:r>
        <w:rPr>
          <w:rFonts w:ascii="Times New Roman" w:hAnsi="Times New Roman" w:cs="Times New Roman"/>
          <w:sz w:val="22"/>
        </w:rPr>
        <w:t xml:space="preserve"> Bio-Technology Co., Ltd. All materials used directly aft</w:t>
      </w:r>
      <w:r>
        <w:rPr>
          <w:rFonts w:ascii="Times New Roman" w:hAnsi="Times New Roman" w:cs="Times New Roman"/>
          <w:sz w:val="22"/>
        </w:rPr>
        <w:t>er purchase without further processing.</w:t>
      </w:r>
    </w:p>
    <w:p w14:paraId="4029B742" w14:textId="77777777" w:rsidR="00676DB5" w:rsidRDefault="00BF6DCE">
      <w:pPr>
        <w:spacing w:before="240" w:line="360" w:lineRule="auto"/>
        <w:rPr>
          <w:rFonts w:ascii="Times New Roman" w:hAnsi="Times New Roman" w:cs="Times New Roman"/>
          <w:b/>
          <w:bCs/>
          <w:sz w:val="24"/>
          <w:szCs w:val="24"/>
        </w:rPr>
      </w:pPr>
      <w:r>
        <w:rPr>
          <w:rFonts w:ascii="Times New Roman" w:hAnsi="Times New Roman" w:cs="Times New Roman"/>
          <w:b/>
          <w:bCs/>
          <w:sz w:val="24"/>
          <w:szCs w:val="24"/>
        </w:rPr>
        <w:t>Device fabrication</w:t>
      </w:r>
    </w:p>
    <w:p w14:paraId="4029B743" w14:textId="77777777" w:rsidR="00676DB5" w:rsidRDefault="00BF6DCE">
      <w:pPr>
        <w:spacing w:line="360" w:lineRule="auto"/>
        <w:rPr>
          <w:rFonts w:ascii="Times New Roman" w:hAnsi="Times New Roman" w:cs="Times New Roman"/>
          <w:sz w:val="22"/>
        </w:rPr>
      </w:pPr>
      <w:r>
        <w:rPr>
          <w:rFonts w:ascii="Times New Roman" w:hAnsi="Times New Roman" w:cs="Times New Roman"/>
          <w:b/>
          <w:bCs/>
          <w:sz w:val="22"/>
        </w:rPr>
        <w:t>For the 1.5 M Cs</w:t>
      </w:r>
      <w:r>
        <w:rPr>
          <w:rFonts w:ascii="Times New Roman" w:hAnsi="Times New Roman" w:cs="Times New Roman"/>
          <w:b/>
          <w:bCs/>
          <w:sz w:val="22"/>
          <w:vertAlign w:val="subscript"/>
        </w:rPr>
        <w:t>0.05</w:t>
      </w:r>
      <w:r>
        <w:rPr>
          <w:rFonts w:ascii="Times New Roman" w:hAnsi="Times New Roman" w:cs="Times New Roman"/>
          <w:b/>
          <w:bCs/>
          <w:sz w:val="22"/>
        </w:rPr>
        <w:t>FA</w:t>
      </w:r>
      <w:r>
        <w:rPr>
          <w:rFonts w:ascii="Times New Roman" w:hAnsi="Times New Roman" w:cs="Times New Roman"/>
          <w:b/>
          <w:bCs/>
          <w:sz w:val="22"/>
          <w:vertAlign w:val="subscript"/>
        </w:rPr>
        <w:t>0.85</w:t>
      </w:r>
      <w:r>
        <w:rPr>
          <w:rFonts w:ascii="Times New Roman" w:hAnsi="Times New Roman" w:cs="Times New Roman"/>
          <w:b/>
          <w:bCs/>
          <w:sz w:val="22"/>
        </w:rPr>
        <w:t>MA</w:t>
      </w:r>
      <w:r>
        <w:rPr>
          <w:rFonts w:ascii="Times New Roman" w:hAnsi="Times New Roman" w:cs="Times New Roman"/>
          <w:b/>
          <w:bCs/>
          <w:sz w:val="22"/>
          <w:vertAlign w:val="subscript"/>
        </w:rPr>
        <w:t>0.1</w:t>
      </w:r>
      <w:r>
        <w:rPr>
          <w:rFonts w:ascii="Times New Roman" w:hAnsi="Times New Roman" w:cs="Times New Roman"/>
          <w:b/>
          <w:bCs/>
          <w:sz w:val="22"/>
        </w:rPr>
        <w:t>PbI</w:t>
      </w:r>
      <w:r>
        <w:rPr>
          <w:rFonts w:ascii="Times New Roman" w:hAnsi="Times New Roman" w:cs="Times New Roman"/>
          <w:b/>
          <w:bCs/>
          <w:sz w:val="22"/>
          <w:vertAlign w:val="subscript"/>
        </w:rPr>
        <w:t>3</w:t>
      </w:r>
      <w:r>
        <w:rPr>
          <w:rFonts w:ascii="Times New Roman" w:hAnsi="Times New Roman" w:cs="Times New Roman"/>
          <w:b/>
          <w:bCs/>
          <w:sz w:val="22"/>
        </w:rPr>
        <w:t xml:space="preserve"> perovskite solution,</w:t>
      </w:r>
      <w:r>
        <w:rPr>
          <w:rFonts w:ascii="Times New Roman" w:hAnsi="Times New Roman" w:cs="Times New Roman"/>
          <w:sz w:val="22"/>
        </w:rPr>
        <w:t xml:space="preserve"> it was dissolved by mixing </w:t>
      </w:r>
      <w:proofErr w:type="spellStart"/>
      <w:r>
        <w:rPr>
          <w:rFonts w:ascii="Times New Roman" w:hAnsi="Times New Roman" w:cs="Times New Roman"/>
          <w:sz w:val="22"/>
        </w:rPr>
        <w:t>CsI</w:t>
      </w:r>
      <w:proofErr w:type="spellEnd"/>
      <w:r>
        <w:rPr>
          <w:rFonts w:ascii="Times New Roman" w:hAnsi="Times New Roman" w:cs="Times New Roman"/>
          <w:sz w:val="22"/>
        </w:rPr>
        <w:t xml:space="preserve"> (19.5 mg), FAI (219.26 mg), MAI (23.85 mg), PbI</w:t>
      </w:r>
      <w:r>
        <w:rPr>
          <w:rFonts w:ascii="Times New Roman" w:hAnsi="Times New Roman" w:cs="Times New Roman"/>
          <w:sz w:val="22"/>
          <w:vertAlign w:val="subscript"/>
        </w:rPr>
        <w:t>2</w:t>
      </w:r>
      <w:r>
        <w:rPr>
          <w:rFonts w:ascii="Times New Roman" w:hAnsi="Times New Roman" w:cs="Times New Roman"/>
          <w:sz w:val="22"/>
        </w:rPr>
        <w:t xml:space="preserve"> (753.76 mg, 9% excess) and </w:t>
      </w:r>
      <w:proofErr w:type="spellStart"/>
      <w:r>
        <w:rPr>
          <w:rFonts w:ascii="Times New Roman" w:hAnsi="Times New Roman" w:cs="Times New Roman"/>
          <w:sz w:val="22"/>
        </w:rPr>
        <w:t>MACl</w:t>
      </w:r>
      <w:proofErr w:type="spellEnd"/>
      <w:r>
        <w:rPr>
          <w:rFonts w:ascii="Times New Roman" w:hAnsi="Times New Roman" w:cs="Times New Roman"/>
          <w:sz w:val="22"/>
        </w:rPr>
        <w:t xml:space="preserve"> (12.15 mg, with a molar ratio of 12%) in 1 ml of a DMF:DMSO mixed solvent (v/v=4:1). Then stirred at room temperature for 2 hours.</w:t>
      </w:r>
    </w:p>
    <w:p w14:paraId="4029B744" w14:textId="77777777" w:rsidR="00676DB5" w:rsidRDefault="00BF6DCE">
      <w:pPr>
        <w:spacing w:line="360" w:lineRule="auto"/>
        <w:rPr>
          <w:rFonts w:ascii="Times New Roman" w:hAnsi="Times New Roman" w:cs="Times New Roman"/>
          <w:sz w:val="22"/>
        </w:rPr>
      </w:pPr>
      <w:r>
        <w:rPr>
          <w:rFonts w:ascii="Times New Roman" w:hAnsi="Times New Roman" w:cs="Times New Roman"/>
          <w:b/>
          <w:bCs/>
          <w:sz w:val="22"/>
        </w:rPr>
        <w:t>For device W/O IBD,</w:t>
      </w:r>
      <w:r>
        <w:rPr>
          <w:rFonts w:ascii="Times New Roman" w:hAnsi="Times New Roman" w:cs="Times New Roman"/>
          <w:sz w:val="22"/>
        </w:rPr>
        <w:t xml:space="preserve"> the ITO glass (24.5 mm×24.5 mm, 7-8 Ω sq⁻¹) was ultrasonically cleaned in deionized water with alkaline glass cleaner, deionized water, isopropanol, and ethanol for 20 minutes each. It was then dried with a nitrogen gun and treated with ultraviolet ozone for 15 minutes. The </w:t>
      </w:r>
      <w:proofErr w:type="spellStart"/>
      <w:r>
        <w:rPr>
          <w:rFonts w:ascii="Times New Roman" w:hAnsi="Times New Roman" w:cs="Times New Roman"/>
          <w:sz w:val="22"/>
        </w:rPr>
        <w:t>NiO</w:t>
      </w:r>
      <w:r>
        <w:rPr>
          <w:rFonts w:ascii="Times New Roman" w:hAnsi="Times New Roman" w:cs="Times New Roman"/>
          <w:sz w:val="22"/>
          <w:vertAlign w:val="subscript"/>
        </w:rPr>
        <w:t>X</w:t>
      </w:r>
      <w:proofErr w:type="spellEnd"/>
      <w:r>
        <w:rPr>
          <w:rFonts w:ascii="Times New Roman" w:hAnsi="Times New Roman" w:cs="Times New Roman"/>
          <w:sz w:val="22"/>
        </w:rPr>
        <w:t xml:space="preserve"> dispersion was sonicated in water for 10 minutes and filtered through a </w:t>
      </w:r>
      <w:r>
        <w:rPr>
          <w:rFonts w:ascii="Times New Roman" w:hAnsi="Times New Roman" w:cs="Times New Roman"/>
          <w:sz w:val="22"/>
        </w:rPr>
        <w:lastRenderedPageBreak/>
        <w:t xml:space="preserve">0.22-μm PES membrane before use. 80 </w:t>
      </w:r>
      <w:proofErr w:type="spellStart"/>
      <w:r>
        <w:rPr>
          <w:rFonts w:ascii="Times New Roman" w:hAnsi="Times New Roman" w:cs="Times New Roman"/>
          <w:sz w:val="22"/>
        </w:rPr>
        <w:t>μl</w:t>
      </w:r>
      <w:proofErr w:type="spellEnd"/>
      <w:r>
        <w:rPr>
          <w:rFonts w:ascii="Times New Roman" w:hAnsi="Times New Roman" w:cs="Times New Roman"/>
          <w:sz w:val="22"/>
        </w:rPr>
        <w:t xml:space="preserve"> of this dispersion was spin-coated onto the ITO at 2000 rpm for 30 s and then annealed at 150 °C for 30 minutes. Immedia</w:t>
      </w:r>
      <w:r>
        <w:rPr>
          <w:rFonts w:ascii="Times New Roman" w:hAnsi="Times New Roman" w:cs="Times New Roman"/>
          <w:sz w:val="22"/>
        </w:rPr>
        <w:t xml:space="preserve">tely after that, it was transferred into a nitrogen-filled glove box. 100 </w:t>
      </w:r>
      <w:proofErr w:type="spellStart"/>
      <w:r>
        <w:rPr>
          <w:rFonts w:ascii="Times New Roman" w:hAnsi="Times New Roman" w:cs="Times New Roman"/>
          <w:sz w:val="22"/>
        </w:rPr>
        <w:t>μl</w:t>
      </w:r>
      <w:proofErr w:type="spellEnd"/>
      <w:r>
        <w:rPr>
          <w:rFonts w:ascii="Times New Roman" w:hAnsi="Times New Roman" w:cs="Times New Roman"/>
          <w:sz w:val="22"/>
        </w:rPr>
        <w:t xml:space="preserve"> of the Me-4PACz solution (0.5 mg/ml in ethanol) was spin-coated at 3000 rpm for 30 s and annealed at 100 °C. Then, 80 </w:t>
      </w:r>
      <w:proofErr w:type="spellStart"/>
      <w:r>
        <w:rPr>
          <w:rFonts w:ascii="Times New Roman" w:hAnsi="Times New Roman" w:cs="Times New Roman"/>
          <w:sz w:val="22"/>
        </w:rPr>
        <w:t>μl</w:t>
      </w:r>
      <w:proofErr w:type="spellEnd"/>
      <w:r>
        <w:rPr>
          <w:rFonts w:ascii="Times New Roman" w:hAnsi="Times New Roman" w:cs="Times New Roman"/>
          <w:sz w:val="22"/>
        </w:rPr>
        <w:t xml:space="preserve"> of 4,5-D-2-MI solution (0.5 mg/ml) was spin-coated at 4000 rpm for 30 s and annealed at 70 °C for 10 minutes. The perovskite solution as prepared was then spin-coated at 1000 rpm for 10 s and then at 4000 rpm for 40 s. 160 </w:t>
      </w:r>
      <w:proofErr w:type="spellStart"/>
      <w:r>
        <w:rPr>
          <w:rFonts w:ascii="Times New Roman" w:hAnsi="Times New Roman" w:cs="Times New Roman"/>
          <w:sz w:val="22"/>
        </w:rPr>
        <w:t>μl</w:t>
      </w:r>
      <w:proofErr w:type="spellEnd"/>
      <w:r>
        <w:rPr>
          <w:rFonts w:ascii="Times New Roman" w:hAnsi="Times New Roman" w:cs="Times New Roman"/>
          <w:sz w:val="22"/>
        </w:rPr>
        <w:t xml:space="preserve"> antisolvent (CB) was rapidly and steadily dropped at 5 s before the end of spin-coating </w:t>
      </w:r>
      <w:r>
        <w:rPr>
          <w:rFonts w:ascii="Times New Roman" w:hAnsi="Times New Roman" w:cs="Times New Roman"/>
          <w:sz w:val="22"/>
        </w:rPr>
        <w:t xml:space="preserve">and subsequently annealed at 100 °C for 30 minutes. </w:t>
      </w:r>
      <w:proofErr w:type="spellStart"/>
      <w:r>
        <w:rPr>
          <w:rFonts w:ascii="Times New Roman" w:hAnsi="Times New Roman" w:cs="Times New Roman"/>
          <w:sz w:val="22"/>
        </w:rPr>
        <w:t>PEACl</w:t>
      </w:r>
      <w:proofErr w:type="spellEnd"/>
      <w:r>
        <w:rPr>
          <w:rFonts w:ascii="Times New Roman" w:hAnsi="Times New Roman" w:cs="Times New Roman"/>
          <w:sz w:val="22"/>
        </w:rPr>
        <w:t xml:space="preserve"> (0.5 mg/ml) was dissolved in a mixed IPA:DMSO (99:1) and spin-coated at 5000 rpm for 30 s, annealed at 100 °C for 10 minutes. Then, 25 nm C60 and 6 nm BCP were successively deposited by evaporation under a vacuum of 10</w:t>
      </w:r>
      <w:r>
        <w:rPr>
          <w:rFonts w:ascii="Times New Roman" w:hAnsi="Times New Roman" w:cs="Times New Roman"/>
          <w:sz w:val="22"/>
          <w:vertAlign w:val="superscript"/>
        </w:rPr>
        <w:t>-5</w:t>
      </w:r>
      <w:r>
        <w:rPr>
          <w:rFonts w:ascii="Times New Roman" w:hAnsi="Times New Roman" w:cs="Times New Roman"/>
          <w:sz w:val="22"/>
        </w:rPr>
        <w:t xml:space="preserve"> Pa, and 120 nm Ag was evaporated under a vacuum below 10</w:t>
      </w:r>
      <w:r>
        <w:rPr>
          <w:rFonts w:ascii="Times New Roman" w:hAnsi="Times New Roman" w:cs="Times New Roman"/>
          <w:sz w:val="22"/>
          <w:vertAlign w:val="superscript"/>
        </w:rPr>
        <w:t>-5</w:t>
      </w:r>
      <w:r>
        <w:rPr>
          <w:rFonts w:ascii="Times New Roman" w:hAnsi="Times New Roman" w:cs="Times New Roman"/>
          <w:sz w:val="22"/>
        </w:rPr>
        <w:t xml:space="preserve"> Pa.</w:t>
      </w:r>
    </w:p>
    <w:p w14:paraId="4029B745" w14:textId="77777777" w:rsidR="00676DB5" w:rsidRDefault="00BF6DCE">
      <w:pPr>
        <w:spacing w:line="360" w:lineRule="auto"/>
        <w:rPr>
          <w:rFonts w:ascii="Times New Roman" w:hAnsi="Times New Roman" w:cs="Times New Roman"/>
          <w:sz w:val="22"/>
        </w:rPr>
      </w:pPr>
      <w:r>
        <w:rPr>
          <w:rFonts w:ascii="Times New Roman" w:hAnsi="Times New Roman" w:cs="Times New Roman"/>
          <w:b/>
          <w:bCs/>
          <w:sz w:val="22"/>
        </w:rPr>
        <w:t>For device with IBD,</w:t>
      </w:r>
      <w:r>
        <w:rPr>
          <w:rFonts w:ascii="Times New Roman" w:hAnsi="Times New Roman" w:cs="Times New Roman"/>
          <w:sz w:val="22"/>
        </w:rPr>
        <w:t xml:space="preserve"> before </w:t>
      </w:r>
      <w:proofErr w:type="spellStart"/>
      <w:r>
        <w:rPr>
          <w:rFonts w:ascii="Times New Roman" w:hAnsi="Times New Roman" w:cs="Times New Roman"/>
          <w:sz w:val="22"/>
        </w:rPr>
        <w:t>NiOx</w:t>
      </w:r>
      <w:proofErr w:type="spellEnd"/>
      <w:r>
        <w:rPr>
          <w:rFonts w:ascii="Times New Roman" w:hAnsi="Times New Roman" w:cs="Times New Roman"/>
          <w:sz w:val="22"/>
        </w:rPr>
        <w:t xml:space="preserve"> deposition a 3M 7413D tape was used to cover the main solar cell area. 100 </w:t>
      </w:r>
      <w:proofErr w:type="spellStart"/>
      <w:r>
        <w:rPr>
          <w:rFonts w:ascii="Times New Roman" w:hAnsi="Times New Roman" w:cs="Times New Roman"/>
          <w:sz w:val="22"/>
        </w:rPr>
        <w:t>μL</w:t>
      </w:r>
      <w:proofErr w:type="spellEnd"/>
      <w:r>
        <w:rPr>
          <w:rFonts w:ascii="Times New Roman" w:hAnsi="Times New Roman" w:cs="Times New Roman"/>
          <w:sz w:val="22"/>
        </w:rPr>
        <w:t xml:space="preserve"> of diluted SnO</w:t>
      </w:r>
      <w:r>
        <w:rPr>
          <w:rFonts w:ascii="Times New Roman" w:hAnsi="Times New Roman" w:cs="Times New Roman"/>
          <w:sz w:val="22"/>
          <w:vertAlign w:val="subscript"/>
        </w:rPr>
        <w:t>2</w:t>
      </w:r>
      <w:r>
        <w:rPr>
          <w:rFonts w:ascii="Times New Roman" w:hAnsi="Times New Roman" w:cs="Times New Roman"/>
          <w:sz w:val="22"/>
        </w:rPr>
        <w:t xml:space="preserve"> solution (3 wt.%) was spin-coated at 3000 rpm for 30 s and annealed at 150°C for 30 min. The tape was removed after cooling to room temperature, and the substrate was treated with UV-ozone for 5 min. Similarly, a new 3M 7413D tape was applied to cover the bypass diode zone. 80 </w:t>
      </w:r>
      <w:proofErr w:type="spellStart"/>
      <w:r>
        <w:rPr>
          <w:rFonts w:ascii="Times New Roman" w:hAnsi="Times New Roman" w:cs="Times New Roman"/>
          <w:sz w:val="22"/>
        </w:rPr>
        <w:t>μL</w:t>
      </w:r>
      <w:proofErr w:type="spellEnd"/>
      <w:r>
        <w:rPr>
          <w:rFonts w:ascii="Times New Roman" w:hAnsi="Times New Roman" w:cs="Times New Roman"/>
          <w:sz w:val="22"/>
        </w:rPr>
        <w:t xml:space="preserve"> of </w:t>
      </w:r>
      <w:proofErr w:type="spellStart"/>
      <w:r>
        <w:rPr>
          <w:rFonts w:ascii="Times New Roman" w:hAnsi="Times New Roman" w:cs="Times New Roman"/>
          <w:sz w:val="22"/>
        </w:rPr>
        <w:t>NiO</w:t>
      </w:r>
      <w:r>
        <w:rPr>
          <w:rFonts w:ascii="Times New Roman" w:hAnsi="Times New Roman" w:cs="Times New Roman"/>
          <w:sz w:val="22"/>
          <w:vertAlign w:val="subscript"/>
        </w:rPr>
        <w:t>x</w:t>
      </w:r>
      <w:proofErr w:type="spellEnd"/>
      <w:r>
        <w:rPr>
          <w:rFonts w:ascii="Times New Roman" w:hAnsi="Times New Roman" w:cs="Times New Roman"/>
          <w:sz w:val="22"/>
        </w:rPr>
        <w:t xml:space="preserve"> dispersion as prepared above was spin-coated at 2000 rpm for 30 s, annealed at 150°C for 30 min, removed the tape an</w:t>
      </w:r>
      <w:r>
        <w:rPr>
          <w:rFonts w:ascii="Times New Roman" w:hAnsi="Times New Roman" w:cs="Times New Roman"/>
          <w:sz w:val="22"/>
        </w:rPr>
        <w:t>d treated with UV-ozone for 5 min after cooling. Then, Me-4PACz/4,5-D-2-MI/Perovskite/</w:t>
      </w:r>
      <w:proofErr w:type="spellStart"/>
      <w:r>
        <w:rPr>
          <w:rFonts w:ascii="Times New Roman" w:hAnsi="Times New Roman" w:cs="Times New Roman"/>
          <w:sz w:val="22"/>
        </w:rPr>
        <w:t>PEACl</w:t>
      </w:r>
      <w:proofErr w:type="spellEnd"/>
      <w:r>
        <w:rPr>
          <w:rFonts w:ascii="Times New Roman" w:hAnsi="Times New Roman" w:cs="Times New Roman"/>
          <w:sz w:val="22"/>
        </w:rPr>
        <w:t xml:space="preserve"> were deposited in the same sequential steps and process. 25 nm C60 and 6 nm BCP were </w:t>
      </w:r>
      <w:proofErr w:type="spellStart"/>
      <w:r>
        <w:rPr>
          <w:rFonts w:ascii="Times New Roman" w:hAnsi="Times New Roman" w:cs="Times New Roman"/>
          <w:sz w:val="22"/>
        </w:rPr>
        <w:t>desposited</w:t>
      </w:r>
      <w:proofErr w:type="spellEnd"/>
      <w:r>
        <w:rPr>
          <w:rFonts w:ascii="Times New Roman" w:hAnsi="Times New Roman" w:cs="Times New Roman"/>
          <w:sz w:val="22"/>
        </w:rPr>
        <w:t xml:space="preserve"> using a shadow mask (25 mm×25 mm) with a hollowed-out rectangle (20 mm×18 mm, as shown in Fig. 6) to define the main cell region. Similarly, 10 nm Spiro-TTB and 6 nm MoO</w:t>
      </w:r>
      <w:r>
        <w:rPr>
          <w:rFonts w:ascii="Times New Roman" w:hAnsi="Times New Roman" w:cs="Times New Roman" w:hint="eastAsia"/>
          <w:sz w:val="22"/>
          <w:vertAlign w:val="subscript"/>
        </w:rPr>
        <w:t>3</w:t>
      </w:r>
      <w:r>
        <w:rPr>
          <w:rFonts w:ascii="Times New Roman" w:hAnsi="Times New Roman" w:cs="Times New Roman"/>
          <w:sz w:val="22"/>
        </w:rPr>
        <w:t xml:space="preserve"> were deposited using a complementary shadow mask (25 mm×25 mm) with a hollowed-out rectangle (20 mm×7 </w:t>
      </w:r>
      <w:proofErr w:type="spellStart"/>
      <w:r>
        <w:rPr>
          <w:rFonts w:ascii="Times New Roman" w:hAnsi="Times New Roman" w:cs="Times New Roman"/>
          <w:sz w:val="22"/>
        </w:rPr>
        <w:t>mm,as</w:t>
      </w:r>
      <w:proofErr w:type="spellEnd"/>
      <w:r>
        <w:rPr>
          <w:rFonts w:ascii="Times New Roman" w:hAnsi="Times New Roman" w:cs="Times New Roman"/>
          <w:sz w:val="22"/>
        </w:rPr>
        <w:t xml:space="preserve"> shown in Fig. 6) to define the bypass diode r</w:t>
      </w:r>
      <w:r>
        <w:rPr>
          <w:rFonts w:ascii="Times New Roman" w:hAnsi="Times New Roman" w:cs="Times New Roman"/>
          <w:sz w:val="22"/>
        </w:rPr>
        <w:t>egion. And 120 nm Ag was evaporated under a vacuum below 10</w:t>
      </w:r>
      <w:r>
        <w:rPr>
          <w:rFonts w:ascii="Times New Roman" w:hAnsi="Times New Roman" w:cs="Times New Roman"/>
          <w:sz w:val="22"/>
          <w:vertAlign w:val="superscript"/>
        </w:rPr>
        <w:t>-5</w:t>
      </w:r>
      <w:r>
        <w:rPr>
          <w:rFonts w:ascii="Times New Roman" w:hAnsi="Times New Roman" w:cs="Times New Roman"/>
          <w:sz w:val="22"/>
        </w:rPr>
        <w:t xml:space="preserve"> Pa.</w:t>
      </w:r>
    </w:p>
    <w:p w14:paraId="4029B746" w14:textId="77777777" w:rsidR="00676DB5" w:rsidRDefault="00BF6DCE">
      <w:pPr>
        <w:spacing w:before="240" w:line="360" w:lineRule="auto"/>
        <w:rPr>
          <w:rFonts w:ascii="Times New Roman" w:hAnsi="Times New Roman" w:cs="Times New Roman"/>
          <w:b/>
          <w:bCs/>
          <w:sz w:val="24"/>
          <w:szCs w:val="24"/>
        </w:rPr>
      </w:pPr>
      <w:r>
        <w:rPr>
          <w:rFonts w:ascii="Times New Roman" w:hAnsi="Times New Roman" w:cs="Times New Roman"/>
          <w:b/>
          <w:bCs/>
          <w:sz w:val="24"/>
          <w:szCs w:val="24"/>
        </w:rPr>
        <w:t>Characterization</w:t>
      </w:r>
    </w:p>
    <w:p w14:paraId="4029B747" w14:textId="358EEE49" w:rsidR="00676DB5" w:rsidRDefault="00BF6DCE">
      <w:pPr>
        <w:spacing w:line="360" w:lineRule="auto"/>
        <w:rPr>
          <w:rFonts w:ascii="Times New Roman" w:hAnsi="Times New Roman" w:cs="Times New Roman"/>
          <w:sz w:val="22"/>
        </w:rPr>
      </w:pPr>
      <w:r>
        <w:rPr>
          <w:rFonts w:ascii="Times New Roman" w:hAnsi="Times New Roman" w:cs="Times New Roman"/>
          <w:b/>
          <w:bCs/>
          <w:i/>
          <w:iCs/>
          <w:sz w:val="22"/>
        </w:rPr>
        <w:t>J-V</w:t>
      </w:r>
      <w:r>
        <w:rPr>
          <w:rFonts w:ascii="Times New Roman" w:hAnsi="Times New Roman" w:cs="Times New Roman"/>
          <w:b/>
          <w:bCs/>
          <w:sz w:val="22"/>
        </w:rPr>
        <w:t xml:space="preserve"> measurement. </w:t>
      </w:r>
      <w:r>
        <w:rPr>
          <w:rFonts w:ascii="Times New Roman" w:hAnsi="Times New Roman" w:cs="Times New Roman"/>
          <w:sz w:val="22"/>
        </w:rPr>
        <w:t xml:space="preserve">The </w:t>
      </w:r>
      <w:r>
        <w:rPr>
          <w:rFonts w:ascii="Times New Roman" w:hAnsi="Times New Roman" w:cs="Times New Roman"/>
          <w:i/>
          <w:iCs/>
          <w:sz w:val="22"/>
        </w:rPr>
        <w:t>J-V</w:t>
      </w:r>
      <w:r>
        <w:rPr>
          <w:rFonts w:ascii="Times New Roman" w:hAnsi="Times New Roman" w:cs="Times New Roman"/>
          <w:sz w:val="22"/>
        </w:rPr>
        <w:t xml:space="preserve"> curves of PSCs were measured by Xenon lamp-based solar simulator and digital source meter (Keithley 2901A). The light intensity was calibrated to 1/0.8/0.6/0.4/0.2-sun (100/80/60/40/20 </w:t>
      </w:r>
      <w:proofErr w:type="spellStart"/>
      <w:r>
        <w:rPr>
          <w:rFonts w:ascii="Times New Roman" w:hAnsi="Times New Roman" w:cs="Times New Roman"/>
          <w:sz w:val="22"/>
        </w:rPr>
        <w:t>mW</w:t>
      </w:r>
      <w:proofErr w:type="spellEnd"/>
      <w:r>
        <w:rPr>
          <w:rFonts w:ascii="Times New Roman" w:hAnsi="Times New Roman" w:cs="Times New Roman"/>
          <w:sz w:val="22"/>
        </w:rPr>
        <w:t xml:space="preserve"> cm</w:t>
      </w:r>
      <w:r>
        <w:rPr>
          <w:rFonts w:ascii="Times New Roman" w:hAnsi="Times New Roman" w:cs="Times New Roman"/>
          <w:sz w:val="22"/>
          <w:vertAlign w:val="superscript"/>
        </w:rPr>
        <w:t>-2</w:t>
      </w:r>
      <w:r>
        <w:rPr>
          <w:rFonts w:ascii="Times New Roman" w:hAnsi="Times New Roman" w:cs="Times New Roman"/>
          <w:sz w:val="22"/>
        </w:rPr>
        <w:t xml:space="preserve">) light by using a silicon reference cell </w:t>
      </w:r>
      <w:r>
        <w:rPr>
          <w:rFonts w:ascii="Times New Roman" w:hAnsi="Times New Roman" w:cs="Times New Roman"/>
          <w:sz w:val="22"/>
        </w:rPr>
        <w:lastRenderedPageBreak/>
        <w:t>(</w:t>
      </w:r>
      <w:proofErr w:type="spellStart"/>
      <w:r>
        <w:rPr>
          <w:rFonts w:ascii="Times New Roman" w:hAnsi="Times New Roman" w:cs="Times New Roman"/>
          <w:sz w:val="22"/>
        </w:rPr>
        <w:t>Enlitech</w:t>
      </w:r>
      <w:proofErr w:type="spellEnd"/>
      <w:r>
        <w:rPr>
          <w:rFonts w:ascii="Times New Roman" w:hAnsi="Times New Roman" w:cs="Times New Roman"/>
          <w:sz w:val="22"/>
        </w:rPr>
        <w:t xml:space="preserve"> SRC-00620). Samples masked with an active area of 0.07 cm². Scans were performed in a N₂-filled glovebox with a voltage range of -0.1 V to 1.3 V (step size = 0.02 V) for forward and reverse scans. Dark reverse</w:t>
      </w:r>
      <w:r w:rsidR="001B03D1">
        <w:rPr>
          <w:rFonts w:ascii="Times New Roman" w:hAnsi="Times New Roman" w:cs="Times New Roman" w:hint="eastAsia"/>
          <w:sz w:val="22"/>
        </w:rPr>
        <w:t xml:space="preserve"> </w:t>
      </w:r>
      <w:r>
        <w:rPr>
          <w:rFonts w:ascii="Times New Roman" w:hAnsi="Times New Roman" w:cs="Times New Roman"/>
          <w:sz w:val="22"/>
        </w:rPr>
        <w:t>bias J-V measurements were conducted from 1.3 V to -8 V (step size = 0.02 V) after pre-biasing at 0 V for 10 min.</w:t>
      </w:r>
    </w:p>
    <w:p w14:paraId="4029B748" w14:textId="77777777" w:rsidR="00676DB5" w:rsidRDefault="00BF6DCE">
      <w:pPr>
        <w:spacing w:line="360" w:lineRule="auto"/>
        <w:rPr>
          <w:rFonts w:ascii="Times New Roman" w:hAnsi="Times New Roman" w:cs="Times New Roman"/>
          <w:sz w:val="22"/>
        </w:rPr>
      </w:pPr>
      <w:r>
        <w:rPr>
          <w:rFonts w:ascii="Times New Roman" w:hAnsi="Times New Roman" w:cs="Times New Roman"/>
          <w:b/>
          <w:bCs/>
          <w:sz w:val="22"/>
        </w:rPr>
        <w:t xml:space="preserve">Reverse bias stability measurements. </w:t>
      </w:r>
      <w:r>
        <w:rPr>
          <w:rFonts w:ascii="Times New Roman" w:hAnsi="Times New Roman" w:cs="Times New Roman"/>
          <w:sz w:val="22"/>
        </w:rPr>
        <w:t xml:space="preserve">Short/long-term reverse bias stability of </w:t>
      </w:r>
      <w:proofErr w:type="spellStart"/>
      <w:r>
        <w:rPr>
          <w:rFonts w:ascii="Times New Roman" w:hAnsi="Times New Roman" w:cs="Times New Roman"/>
          <w:sz w:val="22"/>
        </w:rPr>
        <w:t>unencapusulated</w:t>
      </w:r>
      <w:proofErr w:type="spellEnd"/>
      <w:r>
        <w:rPr>
          <w:rFonts w:ascii="Times New Roman" w:hAnsi="Times New Roman" w:cs="Times New Roman"/>
          <w:sz w:val="22"/>
        </w:rPr>
        <w:t xml:space="preserve"> perovskite solar cells were measured by using digital source meter (PURI2400-8Q). Short-term reverse bias stability was evaluated by recording I-T curves with the source meter under steady-state conditions (25</w:t>
      </w:r>
      <w:r>
        <w:rPr>
          <w:rFonts w:ascii="Times New Roman" w:hAnsi="Times New Roman" w:cs="Times New Roman" w:hint="eastAsia"/>
          <w:sz w:val="22"/>
        </w:rPr>
        <w:t xml:space="preserve"> </w:t>
      </w:r>
      <w:r>
        <w:rPr>
          <w:rFonts w:ascii="Times New Roman" w:hAnsi="Times New Roman" w:cs="Times New Roman"/>
          <w:sz w:val="22"/>
        </w:rPr>
        <w:t>°C, N₂ atmosphere) at reverse biases of -1 V to -5 V. Long-term reverse bias stability of unencapsulated devices were biased at -5 V or -0.12 A in a N</w:t>
      </w:r>
      <w:r>
        <w:rPr>
          <w:rFonts w:ascii="Times New Roman" w:hAnsi="Times New Roman" w:cs="Times New Roman"/>
          <w:sz w:val="22"/>
          <w:vertAlign w:val="subscript"/>
        </w:rPr>
        <w:t>2</w:t>
      </w:r>
      <w:r>
        <w:rPr>
          <w:rFonts w:ascii="Times New Roman" w:hAnsi="Times New Roman" w:cs="Times New Roman"/>
          <w:sz w:val="22"/>
        </w:rPr>
        <w:t xml:space="preserve">-filled glovebox (25 ℃) for 150 hours. Periodic </w:t>
      </w:r>
      <w:r>
        <w:rPr>
          <w:rFonts w:ascii="Times New Roman" w:hAnsi="Times New Roman" w:cs="Times New Roman"/>
          <w:i/>
          <w:iCs/>
          <w:sz w:val="22"/>
        </w:rPr>
        <w:t>J-V</w:t>
      </w:r>
      <w:r>
        <w:rPr>
          <w:rFonts w:ascii="Times New Roman" w:hAnsi="Times New Roman" w:cs="Times New Roman"/>
          <w:sz w:val="22"/>
        </w:rPr>
        <w:t xml:space="preserve"> measurements were conducted to track PCE </w:t>
      </w:r>
      <w:r>
        <w:rPr>
          <w:rFonts w:ascii="Times New Roman" w:hAnsi="Times New Roman" w:cs="Times New Roman"/>
          <w:sz w:val="22"/>
        </w:rPr>
        <w:t>retention. Maximum Power Point Tracking (MPPT) tests were performed in an environmental chamber (25 ℃, N</w:t>
      </w:r>
      <w:r>
        <w:rPr>
          <w:rFonts w:ascii="Times New Roman" w:hAnsi="Times New Roman" w:cs="Times New Roman"/>
          <w:sz w:val="22"/>
          <w:vertAlign w:val="subscript"/>
        </w:rPr>
        <w:t>2</w:t>
      </w:r>
      <w:r>
        <w:rPr>
          <w:rFonts w:ascii="Times New Roman" w:hAnsi="Times New Roman" w:cs="Times New Roman"/>
          <w:sz w:val="22"/>
        </w:rPr>
        <w:t xml:space="preserve"> atmosphere) under 1-sun LED illumination (100 mW·cm</w:t>
      </w:r>
      <w:r>
        <w:rPr>
          <w:rFonts w:ascii="Times New Roman" w:hAnsi="Times New Roman" w:cs="Times New Roman"/>
          <w:sz w:val="22"/>
          <w:vertAlign w:val="superscript"/>
        </w:rPr>
        <w:t>-2</w:t>
      </w:r>
      <w:r>
        <w:rPr>
          <w:rFonts w:ascii="Times New Roman" w:hAnsi="Times New Roman" w:cs="Times New Roman"/>
          <w:sz w:val="22"/>
        </w:rPr>
        <w:t>) using a PURI solar simulator.</w:t>
      </w:r>
    </w:p>
    <w:p w14:paraId="4029B749" w14:textId="77777777" w:rsidR="00676DB5" w:rsidRDefault="00BF6DCE">
      <w:pPr>
        <w:spacing w:line="360" w:lineRule="auto"/>
        <w:rPr>
          <w:rFonts w:ascii="Times New Roman" w:hAnsi="Times New Roman" w:cs="Times New Roman"/>
          <w:sz w:val="22"/>
        </w:rPr>
      </w:pPr>
      <w:r>
        <w:rPr>
          <w:rFonts w:ascii="Times New Roman" w:hAnsi="Times New Roman" w:cs="Times New Roman"/>
          <w:b/>
          <w:bCs/>
          <w:sz w:val="22"/>
        </w:rPr>
        <w:t xml:space="preserve">Film characterization. </w:t>
      </w:r>
      <w:r>
        <w:rPr>
          <w:rFonts w:ascii="Times New Roman" w:hAnsi="Times New Roman" w:cs="Times New Roman"/>
          <w:sz w:val="22"/>
        </w:rPr>
        <w:t xml:space="preserve">Scanning electron microscopy (SEM), energy-dispersive spectroscopy (EDS) images of perovskite films were obtained using Gemini SEM 300. Ag element distribution was highlighted to analyze electrode migration. X-ray photoelectron spectroscopy (XPS) measurements were performed using a </w:t>
      </w:r>
      <w:proofErr w:type="spellStart"/>
      <w:r>
        <w:rPr>
          <w:rFonts w:ascii="Times New Roman" w:hAnsi="Times New Roman" w:cs="Times New Roman"/>
          <w:sz w:val="22"/>
        </w:rPr>
        <w:t>ThermoVG</w:t>
      </w:r>
      <w:proofErr w:type="spellEnd"/>
      <w:r>
        <w:rPr>
          <w:rFonts w:ascii="Times New Roman" w:hAnsi="Times New Roman" w:cs="Times New Roman"/>
          <w:sz w:val="22"/>
        </w:rPr>
        <w:t xml:space="preserve"> Scientific ESCALAB 250 X-ray photoelectron spectrometer with a monochromatic Al (Kα) (1,486.6 eV) X-ray source. X-ray diffraction (XRD) is completed by Rigaku </w:t>
      </w:r>
      <w:proofErr w:type="spellStart"/>
      <w:r>
        <w:rPr>
          <w:rFonts w:ascii="Times New Roman" w:hAnsi="Times New Roman" w:cs="Times New Roman"/>
          <w:sz w:val="22"/>
        </w:rPr>
        <w:t>Smartlab</w:t>
      </w:r>
      <w:proofErr w:type="spellEnd"/>
      <w:r>
        <w:rPr>
          <w:rFonts w:ascii="Times New Roman" w:hAnsi="Times New Roman" w:cs="Times New Roman"/>
          <w:sz w:val="22"/>
        </w:rPr>
        <w:t xml:space="preserve"> diffraction meter equipped with Cu K-α radiation sou</w:t>
      </w:r>
      <w:r>
        <w:rPr>
          <w:rFonts w:ascii="Times New Roman" w:hAnsi="Times New Roman" w:cs="Times New Roman"/>
          <w:sz w:val="22"/>
        </w:rPr>
        <w:t>rce (λ = 1.5405å). Top-view optical microscope images were obtained using a Leica DVM6A microscope to observe electrode corrosion and surface morphology changes. TOF-SIMS depth profiles were conducted using a 30 keV Bi</w:t>
      </w:r>
      <w:r>
        <w:rPr>
          <w:rFonts w:ascii="Times New Roman" w:hAnsi="Times New Roman" w:cs="Times New Roman"/>
          <w:sz w:val="22"/>
          <w:vertAlign w:val="subscript"/>
        </w:rPr>
        <w:t>3</w:t>
      </w:r>
      <w:r>
        <w:rPr>
          <w:rFonts w:ascii="Times New Roman" w:hAnsi="Times New Roman" w:cs="Times New Roman"/>
          <w:sz w:val="22"/>
          <w:vertAlign w:val="superscript"/>
        </w:rPr>
        <w:t>+</w:t>
      </w:r>
      <w:r>
        <w:rPr>
          <w:rFonts w:ascii="Times New Roman" w:hAnsi="Times New Roman" w:cs="Times New Roman"/>
          <w:sz w:val="22"/>
        </w:rPr>
        <w:t xml:space="preserve"> primary ion beam (0.49 </w:t>
      </w:r>
      <w:proofErr w:type="spellStart"/>
      <w:r>
        <w:rPr>
          <w:rFonts w:ascii="Times New Roman" w:hAnsi="Times New Roman" w:cs="Times New Roman"/>
          <w:sz w:val="22"/>
        </w:rPr>
        <w:t>pA</w:t>
      </w:r>
      <w:proofErr w:type="spellEnd"/>
      <w:r>
        <w:rPr>
          <w:rFonts w:ascii="Times New Roman" w:hAnsi="Times New Roman" w:cs="Times New Roman"/>
          <w:sz w:val="22"/>
        </w:rPr>
        <w:t>, 100 × 100 μm</w:t>
      </w:r>
      <w:r>
        <w:rPr>
          <w:rFonts w:ascii="Times New Roman" w:hAnsi="Times New Roman" w:cs="Times New Roman"/>
          <w:sz w:val="22"/>
          <w:vertAlign w:val="superscript"/>
        </w:rPr>
        <w:t>2</w:t>
      </w:r>
      <w:r>
        <w:rPr>
          <w:rFonts w:ascii="Times New Roman" w:hAnsi="Times New Roman" w:cs="Times New Roman"/>
          <w:sz w:val="22"/>
        </w:rPr>
        <w:t xml:space="preserve">), and equipped with a 1 keV ion beam (120 </w:t>
      </w:r>
      <w:proofErr w:type="spellStart"/>
      <w:r>
        <w:rPr>
          <w:rFonts w:ascii="Times New Roman" w:hAnsi="Times New Roman" w:cs="Times New Roman"/>
          <w:sz w:val="22"/>
        </w:rPr>
        <w:t>nA</w:t>
      </w:r>
      <w:proofErr w:type="spellEnd"/>
      <w:r>
        <w:rPr>
          <w:rFonts w:ascii="Times New Roman" w:hAnsi="Times New Roman" w:cs="Times New Roman"/>
          <w:sz w:val="22"/>
        </w:rPr>
        <w:t>, 300 × 300 μm</w:t>
      </w:r>
      <w:r>
        <w:rPr>
          <w:rFonts w:ascii="Times New Roman" w:hAnsi="Times New Roman" w:cs="Times New Roman"/>
          <w:sz w:val="22"/>
          <w:vertAlign w:val="superscript"/>
        </w:rPr>
        <w:t>2</w:t>
      </w:r>
      <w:r>
        <w:rPr>
          <w:rFonts w:ascii="Times New Roman" w:hAnsi="Times New Roman" w:cs="Times New Roman"/>
          <w:sz w:val="22"/>
        </w:rPr>
        <w:t>) for sputtering.</w:t>
      </w:r>
    </w:p>
    <w:p w14:paraId="4029B74A" w14:textId="77777777" w:rsidR="00676DB5" w:rsidRDefault="00676DB5">
      <w:pPr>
        <w:spacing w:line="360" w:lineRule="auto"/>
        <w:rPr>
          <w:rFonts w:ascii="Times New Roman" w:hAnsi="Times New Roman" w:cs="Times New Roman"/>
          <w:szCs w:val="21"/>
        </w:rPr>
      </w:pPr>
    </w:p>
    <w:p w14:paraId="4029B74B" w14:textId="77777777" w:rsidR="00676DB5" w:rsidRDefault="00BF6DCE">
      <w:pPr>
        <w:widowControl/>
        <w:jc w:val="left"/>
        <w:rPr>
          <w:rFonts w:ascii="Times New Roman" w:hAnsi="Times New Roman" w:cs="Times New Roman"/>
          <w:b/>
          <w:bCs/>
          <w:sz w:val="24"/>
          <w:szCs w:val="24"/>
        </w:rPr>
      </w:pPr>
      <w:r>
        <w:rPr>
          <w:rFonts w:ascii="Times New Roman" w:hAnsi="Times New Roman" w:cs="Times New Roman"/>
          <w:b/>
          <w:bCs/>
          <w:sz w:val="24"/>
          <w:szCs w:val="24"/>
        </w:rPr>
        <w:br w:type="page"/>
      </w:r>
    </w:p>
    <w:p w14:paraId="4029B74C" w14:textId="77777777" w:rsidR="00676DB5" w:rsidRDefault="00BF6DCE">
      <w:pPr>
        <w:spacing w:before="240"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Simulation</w:t>
      </w:r>
    </w:p>
    <w:p w14:paraId="4029B74D" w14:textId="77777777" w:rsidR="00676DB5" w:rsidRDefault="00BF6DCE">
      <w:pPr>
        <w:spacing w:line="360" w:lineRule="auto"/>
        <w:rPr>
          <w:rFonts w:ascii="Times New Roman" w:hAnsi="Times New Roman" w:cs="Times New Roman"/>
          <w:sz w:val="22"/>
        </w:rPr>
      </w:pPr>
      <w:r>
        <w:rPr>
          <w:rFonts w:ascii="Times New Roman" w:hAnsi="Times New Roman" w:cs="Times New Roman"/>
          <w:b/>
          <w:bCs/>
          <w:sz w:val="22"/>
        </w:rPr>
        <w:t xml:space="preserve">Numerical ionic-electronic device simulation. </w:t>
      </w:r>
      <w:r>
        <w:rPr>
          <w:rFonts w:ascii="Times New Roman" w:hAnsi="Times New Roman" w:cs="Times New Roman"/>
          <w:sz w:val="22"/>
        </w:rPr>
        <w:t>A one-dimensional drift–diffusion model was implemented in COMSOL Multiphysics to capture electrical behavior of the perovskite solar cells. The electron and hole transport were governed by the standard semiconductor equations, including the Poisson equation and carrier continuity equations. Photogeneration within the perovskite absorber was treated using an effective uniform generation rate, derived from the experimentally relevant short-circuit current density and scaled by the incident light intensity, w</w:t>
      </w:r>
      <w:r>
        <w:rPr>
          <w:rFonts w:ascii="Times New Roman" w:hAnsi="Times New Roman" w:cs="Times New Roman"/>
          <w:sz w:val="22"/>
        </w:rPr>
        <w:t>hich defined as:</w:t>
      </w:r>
    </w:p>
    <w:p w14:paraId="4029B74E" w14:textId="77777777" w:rsidR="00676DB5" w:rsidRDefault="00BF6DCE">
      <w:pPr>
        <w:spacing w:line="360" w:lineRule="auto"/>
        <w:jc w:val="center"/>
        <w:rPr>
          <w:rFonts w:ascii="Times New Roman" w:hAnsi="Times New Roman" w:cs="Times New Roman"/>
          <w:sz w:val="22"/>
          <w:szCs w:val="24"/>
        </w:rPr>
      </w:pPr>
      <w:r>
        <w:rPr>
          <w:rFonts w:ascii="Times New Roman" w:hAnsi="Times New Roman" w:cs="Times New Roman"/>
          <w:noProof/>
          <w:sz w:val="22"/>
          <w:szCs w:val="24"/>
        </w:rPr>
        <w:drawing>
          <wp:inline distT="0" distB="0" distL="114300" distR="114300" wp14:anchorId="4029B883" wp14:editId="4029B884">
            <wp:extent cx="1395095" cy="349885"/>
            <wp:effectExtent l="0" t="0" r="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5"/>
                    <a:srcRect t="8624"/>
                    <a:stretch>
                      <a:fillRect/>
                    </a:stretch>
                  </pic:blipFill>
                  <pic:spPr>
                    <a:xfrm>
                      <a:off x="0" y="0"/>
                      <a:ext cx="1395095" cy="349885"/>
                    </a:xfrm>
                    <a:prstGeom prst="rect">
                      <a:avLst/>
                    </a:prstGeom>
                    <a:noFill/>
                    <a:ln>
                      <a:noFill/>
                    </a:ln>
                  </pic:spPr>
                </pic:pic>
              </a:graphicData>
            </a:graphic>
          </wp:inline>
        </w:drawing>
      </w:r>
    </w:p>
    <w:p w14:paraId="4029B74F" w14:textId="77777777" w:rsidR="00676DB5" w:rsidRDefault="00BF6DCE">
      <w:pPr>
        <w:spacing w:line="360" w:lineRule="auto"/>
        <w:rPr>
          <w:rFonts w:ascii="Times New Roman" w:hAnsi="Times New Roman" w:cs="Times New Roman"/>
          <w:sz w:val="22"/>
        </w:rPr>
      </w:pPr>
      <w:r>
        <w:rPr>
          <w:rFonts w:ascii="Times New Roman" w:hAnsi="Times New Roman" w:cs="Times New Roman"/>
          <w:sz w:val="22"/>
        </w:rPr>
        <w:t xml:space="preserve">where </w:t>
      </w:r>
      <w:r>
        <w:rPr>
          <w:rFonts w:ascii="Times New Roman" w:hAnsi="Times New Roman" w:cs="Times New Roman"/>
          <w:i/>
          <w:iCs/>
          <w:sz w:val="22"/>
        </w:rPr>
        <w:t>J</w:t>
      </w:r>
      <w:r>
        <w:rPr>
          <w:rFonts w:ascii="Times New Roman" w:hAnsi="Times New Roman" w:cs="Times New Roman"/>
          <w:i/>
          <w:iCs/>
          <w:sz w:val="22"/>
          <w:vertAlign w:val="subscript"/>
        </w:rPr>
        <w:t>SC</w:t>
      </w:r>
      <w:r>
        <w:rPr>
          <w:rFonts w:ascii="Times New Roman" w:hAnsi="Times New Roman" w:cs="Times New Roman"/>
          <w:sz w:val="22"/>
        </w:rPr>
        <w:t xml:space="preserve"> is the short-circuit current density under 1 sun illumination, q is the elementary charge, </w:t>
      </w:r>
      <w:proofErr w:type="spellStart"/>
      <w:r>
        <w:rPr>
          <w:rFonts w:ascii="Times New Roman" w:hAnsi="Times New Roman" w:cs="Times New Roman"/>
          <w:i/>
          <w:iCs/>
          <w:sz w:val="22"/>
        </w:rPr>
        <w:t>t</w:t>
      </w:r>
      <w:r>
        <w:rPr>
          <w:rFonts w:ascii="Times New Roman" w:hAnsi="Times New Roman" w:cs="Times New Roman"/>
          <w:i/>
          <w:iCs/>
          <w:sz w:val="22"/>
          <w:vertAlign w:val="subscript"/>
        </w:rPr>
        <w:t>pero</w:t>
      </w:r>
      <w:proofErr w:type="spellEnd"/>
      <w:r>
        <w:rPr>
          <w:rFonts w:ascii="Times New Roman" w:hAnsi="Times New Roman" w:cs="Times New Roman"/>
          <w:sz w:val="22"/>
        </w:rPr>
        <w:t xml:space="preserve"> is the perovskite thickness, and </w:t>
      </w:r>
      <w:proofErr w:type="spellStart"/>
      <w:r>
        <w:rPr>
          <w:rFonts w:ascii="Times New Roman" w:hAnsi="Times New Roman" w:cs="Times New Roman"/>
          <w:i/>
          <w:iCs/>
          <w:sz w:val="22"/>
        </w:rPr>
        <w:t>CLight</w:t>
      </w:r>
      <w:proofErr w:type="spellEnd"/>
      <w:r>
        <w:rPr>
          <w:rFonts w:ascii="Times New Roman" w:hAnsi="Times New Roman" w:cs="Times New Roman"/>
          <w:sz w:val="22"/>
        </w:rPr>
        <w:t> is a scaling factor representing the illumination intensity (0-1 sun).</w:t>
      </w:r>
    </w:p>
    <w:p w14:paraId="4029B750" w14:textId="77777777" w:rsidR="00676DB5" w:rsidRDefault="00BF6DCE">
      <w:pPr>
        <w:spacing w:line="360" w:lineRule="auto"/>
        <w:rPr>
          <w:rFonts w:ascii="Times New Roman" w:hAnsi="Times New Roman" w:cs="Times New Roman"/>
          <w:sz w:val="22"/>
        </w:rPr>
      </w:pPr>
      <w:r>
        <w:rPr>
          <w:rFonts w:ascii="Times New Roman" w:hAnsi="Times New Roman" w:cs="Times New Roman"/>
          <w:sz w:val="22"/>
        </w:rPr>
        <w:t>Ionic migration was incorporated by introducing an additional continuity equation within the coefficient-form PDE framework, accounting for field-driven drift and diffusion of mobile ionic species. The concentrations of mobile cations and anions were assumed to be 10</w:t>
      </w:r>
      <w:r>
        <w:rPr>
          <w:rFonts w:ascii="Times New Roman" w:hAnsi="Times New Roman" w:cs="Times New Roman"/>
          <w:sz w:val="22"/>
          <w:vertAlign w:val="superscript"/>
        </w:rPr>
        <w:t>17</w:t>
      </w:r>
      <w:r>
        <w:rPr>
          <w:rFonts w:ascii="Times New Roman" w:hAnsi="Times New Roman" w:cs="Times New Roman"/>
          <w:sz w:val="22"/>
        </w:rPr>
        <w:t xml:space="preserve"> cm</w:t>
      </w:r>
      <w:r>
        <w:rPr>
          <w:rFonts w:ascii="Times New Roman" w:hAnsi="Times New Roman" w:cs="Times New Roman"/>
          <w:sz w:val="22"/>
          <w:vertAlign w:val="superscript"/>
        </w:rPr>
        <w:t>-3</w:t>
      </w:r>
      <w:r>
        <w:rPr>
          <w:rFonts w:ascii="Times New Roman" w:hAnsi="Times New Roman" w:cs="Times New Roman"/>
          <w:sz w:val="22"/>
        </w:rPr>
        <w:t>.The anion diffusivity was fixed at 10</w:t>
      </w:r>
      <w:r>
        <w:rPr>
          <w:rFonts w:ascii="Times New Roman" w:hAnsi="Times New Roman" w:cs="Times New Roman"/>
          <w:sz w:val="22"/>
          <w:vertAlign w:val="superscript"/>
        </w:rPr>
        <w:t>13</w:t>
      </w:r>
      <w:r>
        <w:rPr>
          <w:rFonts w:ascii="Times New Roman" w:hAnsi="Times New Roman" w:cs="Times New Roman"/>
          <w:sz w:val="22"/>
        </w:rPr>
        <w:t xml:space="preserve"> cm</w:t>
      </w:r>
      <w:r>
        <w:rPr>
          <w:rFonts w:ascii="Times New Roman" w:hAnsi="Times New Roman" w:cs="Times New Roman"/>
          <w:sz w:val="22"/>
          <w:vertAlign w:val="superscript"/>
        </w:rPr>
        <w:t>2</w:t>
      </w:r>
      <w:r>
        <w:rPr>
          <w:rFonts w:ascii="Times New Roman" w:hAnsi="Times New Roman" w:cs="Times New Roman"/>
          <w:sz w:val="22"/>
        </w:rPr>
        <w:t>/s, whereas the cation diffusivity was defined as a light-intensity-dependent parameter:</w:t>
      </w:r>
    </w:p>
    <w:p w14:paraId="4029B751" w14:textId="77777777" w:rsidR="00676DB5" w:rsidRDefault="00BF6DCE">
      <w:pPr>
        <w:spacing w:line="360" w:lineRule="auto"/>
        <w:jc w:val="center"/>
        <w:rPr>
          <w:rFonts w:ascii="Times New Roman" w:hAnsi="Times New Roman" w:cs="Times New Roman"/>
          <w:sz w:val="22"/>
          <w:szCs w:val="24"/>
        </w:rPr>
      </w:pPr>
      <w:r>
        <w:rPr>
          <w:rFonts w:ascii="Times New Roman" w:hAnsi="Times New Roman" w:cs="Times New Roman"/>
          <w:noProof/>
          <w:sz w:val="22"/>
          <w:szCs w:val="24"/>
        </w:rPr>
        <w:drawing>
          <wp:inline distT="0" distB="0" distL="114300" distR="114300" wp14:anchorId="4029B885" wp14:editId="4029B886">
            <wp:extent cx="1791970" cy="374650"/>
            <wp:effectExtent l="0" t="0" r="8255" b="635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6"/>
                    <a:stretch>
                      <a:fillRect/>
                    </a:stretch>
                  </pic:blipFill>
                  <pic:spPr>
                    <a:xfrm>
                      <a:off x="0" y="0"/>
                      <a:ext cx="1791970" cy="374650"/>
                    </a:xfrm>
                    <a:prstGeom prst="rect">
                      <a:avLst/>
                    </a:prstGeom>
                    <a:noFill/>
                    <a:ln>
                      <a:noFill/>
                    </a:ln>
                  </pic:spPr>
                </pic:pic>
              </a:graphicData>
            </a:graphic>
          </wp:inline>
        </w:drawing>
      </w:r>
    </w:p>
    <w:p w14:paraId="4029B752" w14:textId="77777777" w:rsidR="00676DB5" w:rsidRDefault="00BF6DCE">
      <w:pPr>
        <w:spacing w:line="360" w:lineRule="auto"/>
        <w:rPr>
          <w:rFonts w:ascii="Times New Roman" w:hAnsi="Times New Roman" w:cs="Times New Roman"/>
          <w:sz w:val="22"/>
        </w:rPr>
      </w:pPr>
      <w:r>
        <w:rPr>
          <w:rFonts w:ascii="Times New Roman" w:hAnsi="Times New Roman" w:cs="Times New Roman"/>
          <w:sz w:val="22"/>
        </w:rPr>
        <w:t>to capture the photo-assisted ion migration proposed by Henzel et al.</w:t>
      </w:r>
      <w:r>
        <w:rPr>
          <w:rFonts w:ascii="Times New Roman" w:hAnsi="Times New Roman" w:cs="Times New Roman"/>
          <w:sz w:val="22"/>
        </w:rPr>
        <w:fldChar w:fldCharType="begin"/>
      </w:r>
      <w:r>
        <w:rPr>
          <w:rFonts w:ascii="Times New Roman" w:hAnsi="Times New Roman" w:cs="Times New Roman" w:hint="eastAsia"/>
          <w:sz w:val="22"/>
        </w:rPr>
        <w:instrText xml:space="preserve"> ADDIN EN.CITE &lt;EndNote&gt;&lt;Cite&gt;&lt;Author&gt;Henzel&lt;/Author&gt;&lt;Year&gt;2025&lt;/Year&gt;&lt;RecNum&gt;29&lt;/RecNum&gt;&lt;DisplayText&gt;&lt;style face="superscript"&gt;1&lt;/style&gt;&lt;/DisplayText&gt;&lt;record&gt;&lt;rec-number&gt;29&lt;/rec-number&gt;&lt;foreign-keys&gt;&lt;key app="EN" db-id="wax05raw0dp0sde5sszvt5f3tzpff5xteaxz" timestamp="1770279802"&gt;29&lt;/key&gt;&lt;/foreign-keys&gt;&lt;ref-type name="Journal Article"&gt;17&lt;/ref-type&gt;&lt;contributors&gt;&lt;authors&gt;&lt;author&gt;Henzel, Jonathan&lt;/author&gt;&lt;author&gt;Bakker, Klaas&lt;/author&gt;&lt;author&gt;Veenstra, Sjoerd&lt;/author&gt;&lt;author&gt;Isabella, Olindo&lt;/author&gt;&lt;author&gt;M</w:instrText>
      </w:r>
      <w:r>
        <w:rPr>
          <w:rFonts w:ascii="Times New Roman" w:hAnsi="Times New Roman" w:cs="Times New Roman" w:hint="eastAsia"/>
          <w:sz w:val="22"/>
        </w:rPr>
        <w:instrText>azzarella, Luana&lt;/author&gt;&lt;author&gt;Weeber, Arthur&lt;/author&gt;&lt;author&gt;Theelen, Mirjam&lt;/author&gt;&lt;/authors&gt;&lt;/contributors&gt;&lt;titles&gt;&lt;title&gt;The impact of low-intensity illumination on the reverse bias behavior of perovskite solar cells&lt;/title&gt;&lt;secondary-title&gt;Journal of Materials Chemistry A&lt;/secondary-title&gt;&lt;/titles&gt;&lt;periodical&gt;&lt;full-title&gt;Journal of Materials Chemistry A&lt;/full-title&gt;&lt;/periodical&gt;&lt;pages&gt;31755-31769&lt;/pages&gt;&lt;volume&gt;13&lt;/volume&gt;&lt;number&gt;37&lt;/number&gt;&lt;dates&gt;&lt;year&gt;2025&lt;/year&gt;&lt;/dates&gt;&lt;publisher&gt;The Royal Societ</w:instrText>
      </w:r>
      <w:r>
        <w:rPr>
          <w:rFonts w:ascii="Times New Roman" w:hAnsi="Times New Roman" w:cs="Times New Roman" w:hint="eastAsia"/>
          <w:sz w:val="22"/>
        </w:rPr>
        <w:instrText>y of Chemistry&lt;/publisher&gt;&lt;isbn&gt;2050-7488&lt;/isbn&gt;&lt;work-type&gt;10.1039/D5TA04100G&lt;/work-type&gt;&lt;urls&gt;&lt;related-urls&gt;&lt;url&gt;http://dx.doi.org/10.1039/D5TA04100G&lt;/url&gt;&lt;/related-urls&gt;&lt;/urls&gt;&lt;electronic-resource-num&gt;10.1039/D5TA04100G&lt;/electronic-resource-num&gt;&lt;/record&gt;&lt;/Cite&gt;&lt;/EndNote&gt;</w:instrText>
      </w:r>
      <w:r>
        <w:rPr>
          <w:rFonts w:ascii="Times New Roman" w:hAnsi="Times New Roman" w:cs="Times New Roman"/>
          <w:sz w:val="22"/>
        </w:rPr>
        <w:fldChar w:fldCharType="separate"/>
      </w:r>
      <w:r>
        <w:rPr>
          <w:rFonts w:ascii="Times New Roman" w:hAnsi="Times New Roman" w:cs="Times New Roman" w:hint="eastAsia"/>
          <w:sz w:val="22"/>
          <w:vertAlign w:val="superscript"/>
        </w:rPr>
        <w:t>1</w:t>
      </w:r>
      <w:r>
        <w:rPr>
          <w:rFonts w:ascii="Times New Roman" w:hAnsi="Times New Roman" w:cs="Times New Roman"/>
          <w:sz w:val="22"/>
        </w:rPr>
        <w:fldChar w:fldCharType="end"/>
      </w:r>
    </w:p>
    <w:p w14:paraId="4029B753" w14:textId="77777777" w:rsidR="00676DB5" w:rsidRDefault="00BF6DCE">
      <w:pPr>
        <w:spacing w:line="360" w:lineRule="auto"/>
        <w:rPr>
          <w:rFonts w:ascii="Times New Roman" w:hAnsi="Times New Roman" w:cs="Times New Roman"/>
          <w:sz w:val="22"/>
        </w:rPr>
      </w:pPr>
      <w:r>
        <w:rPr>
          <w:rFonts w:ascii="Times New Roman" w:hAnsi="Times New Roman" w:cs="Times New Roman"/>
          <w:sz w:val="22"/>
        </w:rPr>
        <w:t>To account for the absence of explicit transport layers and interfacial passivation in the simplified structure, surface recombination was introduced at the perovskite interfaces. The corresponding trap densities were adjusted to reproduce experimentally relevant open-circuit voltage, effectively capturing the impact of interfacial recombination losses.</w:t>
      </w:r>
    </w:p>
    <w:p w14:paraId="4029B754" w14:textId="77777777" w:rsidR="00676DB5" w:rsidRDefault="00BF6DCE">
      <w:pPr>
        <w:spacing w:line="360" w:lineRule="auto"/>
        <w:rPr>
          <w:rFonts w:ascii="Times New Roman" w:hAnsi="Times New Roman" w:cs="Times New Roman"/>
          <w:sz w:val="22"/>
        </w:rPr>
      </w:pPr>
      <w:r>
        <w:rPr>
          <w:rFonts w:ascii="Times New Roman" w:hAnsi="Times New Roman" w:cs="Times New Roman"/>
          <w:sz w:val="22"/>
        </w:rPr>
        <w:t>Zener breakdown was implemented at the heterojunction between the perovskite absorber and the electron transport layer (C60), following the approach proposed by Bao et al.</w:t>
      </w:r>
      <w:r>
        <w:rPr>
          <w:rFonts w:ascii="Times New Roman" w:hAnsi="Times New Roman" w:cs="Times New Roman"/>
          <w:sz w:val="22"/>
        </w:rPr>
        <w:fldChar w:fldCharType="begin"/>
      </w:r>
      <w:r>
        <w:rPr>
          <w:rFonts w:ascii="Times New Roman" w:hAnsi="Times New Roman" w:cs="Times New Roman" w:hint="eastAsia"/>
          <w:sz w:val="22"/>
        </w:rPr>
        <w:instrText xml:space="preserve"> ADDIN EN.CITE &lt;EndNote&gt;&lt;Cite&gt;&lt;Author&gt;Bao&lt;/Author&gt;&lt;Year&gt;2025&lt;/Year&gt;&lt;RecNum&gt;54&lt;/RecNum&gt;&lt;DisplayText&gt;&lt;style face="superscript"&gt;2&lt;/style&gt;&lt;/DisplayText&gt;&lt;record&gt;&lt;rec-number&gt;54&lt;/rec-number&gt;&lt;foreign-keys&gt;&lt;key app="EN" db-id="wax05raw0dp0sde5sszvt5f3tzpff5xteaxz" timestamp="1775190297"&gt;54&lt;/key&gt;&lt;/foreign-keys&gt;&lt;ref-type name="Journal Article"&gt;17&lt;/ref-type&gt;&lt;contributors&gt;&lt;authors&gt;&lt;author&gt;Bao, Yining&lt;/author&gt;&lt;author&gt;Ma, Tianshu&lt;/author&gt;&lt;author&gt;Zhang, Yuqi&lt;/author&gt;&lt;author&gt;Shi, Luolei&lt;/author&gt;&lt;author&gt;Qin, Linling&lt;/author&gt;</w:instrText>
      </w:r>
      <w:r>
        <w:rPr>
          <w:rFonts w:ascii="Times New Roman" w:hAnsi="Times New Roman" w:cs="Times New Roman" w:hint="eastAsia"/>
          <w:sz w:val="22"/>
        </w:rPr>
        <w:instrText>&lt;author&gt;Cao, Guoyang&lt;/author&gt;&lt;author&gt;Wang, Changlei&lt;/author&gt;&lt;author&gt;Li, Xiaofeng&lt;/author&gt;&lt;author&gt;Yang, Zhenhai&lt;/author&gt;&lt;/authors&gt;&lt;/contributors&gt;&lt;titles&gt;&lt;title&gt;Reverse-Bias Breakdown Mechanisms and Mitigation Strategies in Perovskite Cells and Tandems&lt;/title&gt;&lt;secondary-title&gt;Advanced Functional Materials&lt;/secondary-title&gt;&lt;/titles&gt;&lt;periodical&gt;&lt;full-title&gt;Advanced Functional Materials&lt;/full-title&gt;&lt;/periodical&gt;&lt;pages&gt;e24250&lt;/pages&gt;&lt;volume&gt;n/a&lt;/volume&gt;&lt;number&gt;n/a&lt;/number&gt;&lt;keywords&gt;&lt;keyword&gt;opto-electro-ion simul</w:instrText>
      </w:r>
      <w:r>
        <w:rPr>
          <w:rFonts w:ascii="Times New Roman" w:hAnsi="Times New Roman" w:cs="Times New Roman" w:hint="eastAsia"/>
          <w:sz w:val="22"/>
        </w:rPr>
        <w:instrText>ation&lt;/keyword&gt;&lt;keyword&gt;perovskite solar cells&lt;/keyword&gt;&lt;keyword&gt;reverse bias breakdown&lt;/keyword&gt;&lt;keyword&gt;tandem photovoltaics&lt;/keyword&gt;&lt;/keywords&gt;&lt;dates&gt;&lt;year&gt;2025&lt;/year&gt;&lt;pub-dates&gt;&lt;date&gt;2025/12/05&lt;/date&gt;&lt;/pub-dates&gt;&lt;/dates&gt;&lt;publisher&gt;John Wiley &amp;amp; Sons, Ltd&lt;/publisher&gt;&lt;isbn&gt;1616-301X&lt;/isbn&gt;&lt;urls&gt;&lt;related-urls&gt;&lt;url&gt;https://doi.org/10.1002/adfm.202524250&lt;/url&gt;&lt;/related-urls&gt;&lt;/urls&gt;&lt;electronic-resource-num&gt;https://doi.org/10.1002/adfm.202524250&lt;/electronic-resource-num&gt;&lt;access-date&gt;2026/04/02&lt;/access-date</w:instrText>
      </w:r>
      <w:r>
        <w:rPr>
          <w:rFonts w:ascii="Times New Roman" w:hAnsi="Times New Roman" w:cs="Times New Roman" w:hint="eastAsia"/>
          <w:sz w:val="22"/>
        </w:rPr>
        <w:instrText>&gt;&lt;/record&gt;&lt;/Cite&gt;&lt;/EndNote&gt;</w:instrText>
      </w:r>
      <w:r>
        <w:rPr>
          <w:rFonts w:ascii="Times New Roman" w:hAnsi="Times New Roman" w:cs="Times New Roman"/>
          <w:sz w:val="22"/>
        </w:rPr>
        <w:fldChar w:fldCharType="separate"/>
      </w:r>
      <w:r>
        <w:rPr>
          <w:rFonts w:ascii="Times New Roman" w:hAnsi="Times New Roman" w:cs="Times New Roman" w:hint="eastAsia"/>
          <w:sz w:val="22"/>
          <w:vertAlign w:val="superscript"/>
        </w:rPr>
        <w:t>2</w:t>
      </w:r>
      <w:r>
        <w:rPr>
          <w:rFonts w:ascii="Times New Roman" w:hAnsi="Times New Roman" w:cs="Times New Roman"/>
          <w:sz w:val="22"/>
        </w:rPr>
        <w:fldChar w:fldCharType="end"/>
      </w:r>
      <w:r>
        <w:rPr>
          <w:rFonts w:ascii="Times New Roman" w:hAnsi="Times New Roman" w:cs="Times New Roman"/>
          <w:sz w:val="22"/>
        </w:rPr>
        <w:t xml:space="preserve"> The tunneling process is assumed to occur predominantly within the C60 region, where the electric field is strongly enhanced. The tunneling probability was described using the Wentzel-Kramers-</w:t>
      </w:r>
      <w:proofErr w:type="spellStart"/>
      <w:r>
        <w:rPr>
          <w:rFonts w:ascii="Times New Roman" w:hAnsi="Times New Roman" w:cs="Times New Roman"/>
          <w:sz w:val="22"/>
        </w:rPr>
        <w:t>Brillouinm</w:t>
      </w:r>
      <w:proofErr w:type="spellEnd"/>
      <w:r>
        <w:rPr>
          <w:rFonts w:ascii="Times New Roman" w:hAnsi="Times New Roman" w:cs="Times New Roman"/>
          <w:sz w:val="22"/>
        </w:rPr>
        <w:t xml:space="preserve"> approximation</w:t>
      </w:r>
      <w:r>
        <w:rPr>
          <w:rFonts w:ascii="Times New Roman" w:hAnsi="Times New Roman" w:cs="Times New Roman"/>
          <w:sz w:val="22"/>
        </w:rPr>
        <w:fldChar w:fldCharType="begin"/>
      </w:r>
      <w:r>
        <w:rPr>
          <w:rFonts w:ascii="Times New Roman" w:hAnsi="Times New Roman" w:cs="Times New Roman" w:hint="eastAsia"/>
          <w:sz w:val="22"/>
        </w:rPr>
        <w:instrText xml:space="preserve"> ADDIN EN.CITE &lt;EndNote&gt;&lt;Cite&gt;&lt;Author&gt;Bowring&lt;/Author&gt;&lt;Year&gt;2018&lt;/Year&gt;&lt;RecNum&gt;57&lt;/RecNum&gt;&lt;DisplayText&gt;&lt;style face="superscript"&gt;3&lt;/style&gt;&lt;/DisplayText&gt;&lt;record&gt;&lt;rec-number&gt;57&lt;/rec-number&gt;&lt;foreign-keys&gt;&lt;key app="EN" db-id="wax05raw0dp0sde5sszvt5f3tzpff5xteaxz" timestamp="1775190588"&gt;57&lt;/key&gt;&lt;/foreign-keys&gt;&lt;ref-type name="Journal Article"&gt;17&lt;/ref-type&gt;&lt;contributors&gt;&lt;authors&gt;&lt;author&gt;Bowring, Andrea R.&lt;/author&gt;&lt;author&gt;Bertoluzzi, Luca&lt;/author&gt;&lt;author&gt;O&amp;apos;Regan, Brian C.&lt;/author&gt;&lt;author&gt;McGehee, Michael D.&lt;/a</w:instrText>
      </w:r>
      <w:r>
        <w:rPr>
          <w:rFonts w:ascii="Times New Roman" w:hAnsi="Times New Roman" w:cs="Times New Roman" w:hint="eastAsia"/>
          <w:sz w:val="22"/>
        </w:rPr>
        <w:instrText>uthor&gt;&lt;/authors&gt;&lt;/contributors&gt;&lt;titles&gt;&lt;title&gt;Reverse Bias Behavior of Halide Perovskite Solar Cells&lt;/title&gt;&lt;secondary-title&gt;Advanced Energy Materials&lt;/secondary-title&gt;&lt;/titles&gt;&lt;periodical&gt;&lt;full-title&gt;Advanced Energy Materials&lt;/full-title&gt;&lt;/periodical&gt;&lt;pages&gt;1702365&lt;/pages&gt;&lt;volume&gt;8&lt;/volume&gt;&lt;number&gt;8&lt;/number&gt;&lt;keywords&gt;&lt;keyword&gt;drift</w:instrText>
      </w:r>
      <w:r>
        <w:rPr>
          <w:rFonts w:ascii="Times New Roman" w:hAnsi="Times New Roman" w:cs="Times New Roman" w:hint="eastAsia"/>
          <w:sz w:val="22"/>
        </w:rPr>
        <w:instrText>–</w:instrText>
      </w:r>
      <w:r>
        <w:rPr>
          <w:rFonts w:ascii="Times New Roman" w:hAnsi="Times New Roman" w:cs="Times New Roman" w:hint="eastAsia"/>
          <w:sz w:val="22"/>
        </w:rPr>
        <w:instrText>diffusion modeling&lt;/keyword&gt;&lt;keyword&gt;halide perovskites&lt;/keyword&gt;&lt;keyword&gt;ionic conduction&lt;/keyword&gt;&lt;keyword&gt;photovoltaics&lt;/keyword&gt;&lt;keyword&gt;reverse bias&lt;/keyword&gt;&lt;keyword&gt;stabi</w:instrText>
      </w:r>
      <w:r>
        <w:rPr>
          <w:rFonts w:ascii="Times New Roman" w:hAnsi="Times New Roman" w:cs="Times New Roman" w:hint="eastAsia"/>
          <w:sz w:val="22"/>
        </w:rPr>
        <w:instrText>lity&lt;/keyword&gt;&lt;/keywords&gt;&lt;dates&gt;&lt;year&gt;2018&lt;/year&gt;&lt;pub-dates&gt;&lt;date&gt;2018/03/01&lt;/date&gt;&lt;/pub-dates&gt;&lt;/dates&gt;&lt;publisher&gt;John Wiley &amp;amp; Sons, Ltd&lt;/publisher&gt;&lt;isbn&gt;1614-6832&lt;/isbn&gt;&lt;urls&gt;&lt;related-urls&gt;&lt;url&gt;https://doi.org/10.1002/aenm.201702365&lt;/url&gt;&lt;/related-urls&gt;&lt;/urls&gt;&lt;electronic-resource-num&gt;https://doi.org/10.1002/aenm.201702365&lt;/electronic-resource-num&gt;&lt;access-date&gt;2026/04/02&lt;/access-date&gt;&lt;/record&gt;&lt;/Cite&gt;&lt;/EndNote&gt;</w:instrText>
      </w:r>
      <w:r>
        <w:rPr>
          <w:rFonts w:ascii="Times New Roman" w:hAnsi="Times New Roman" w:cs="Times New Roman"/>
          <w:sz w:val="22"/>
        </w:rPr>
        <w:fldChar w:fldCharType="separate"/>
      </w:r>
      <w:r>
        <w:rPr>
          <w:rFonts w:ascii="Times New Roman" w:hAnsi="Times New Roman" w:cs="Times New Roman" w:hint="eastAsia"/>
          <w:sz w:val="22"/>
          <w:vertAlign w:val="superscript"/>
        </w:rPr>
        <w:t>3</w:t>
      </w:r>
      <w:r>
        <w:rPr>
          <w:rFonts w:ascii="Times New Roman" w:hAnsi="Times New Roman" w:cs="Times New Roman"/>
          <w:sz w:val="22"/>
        </w:rPr>
        <w:fldChar w:fldCharType="end"/>
      </w:r>
      <w:r>
        <w:rPr>
          <w:rFonts w:ascii="Times New Roman" w:hAnsi="Times New Roman" w:cs="Times New Roman"/>
          <w:sz w:val="22"/>
        </w:rPr>
        <w:t>, expressed as:</w:t>
      </w:r>
    </w:p>
    <w:p w14:paraId="4029B755" w14:textId="77777777" w:rsidR="00676DB5" w:rsidRDefault="00BF6DCE">
      <w:pPr>
        <w:spacing w:line="360" w:lineRule="auto"/>
        <w:jc w:val="center"/>
        <w:rPr>
          <w:rFonts w:ascii="Times New Roman" w:hAnsi="Times New Roman" w:cs="Times New Roman"/>
          <w:sz w:val="22"/>
          <w:szCs w:val="24"/>
        </w:rPr>
      </w:pPr>
      <w:r>
        <w:rPr>
          <w:rFonts w:ascii="Times New Roman" w:hAnsi="Times New Roman" w:cs="Times New Roman"/>
          <w:noProof/>
          <w:sz w:val="22"/>
          <w:szCs w:val="24"/>
        </w:rPr>
        <w:lastRenderedPageBreak/>
        <w:drawing>
          <wp:inline distT="0" distB="0" distL="114300" distR="114300" wp14:anchorId="4029B887" wp14:editId="4029B888">
            <wp:extent cx="1319530" cy="416560"/>
            <wp:effectExtent l="0" t="0" r="4445" b="254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7"/>
                    <a:stretch>
                      <a:fillRect/>
                    </a:stretch>
                  </pic:blipFill>
                  <pic:spPr>
                    <a:xfrm>
                      <a:off x="0" y="0"/>
                      <a:ext cx="1319530" cy="416560"/>
                    </a:xfrm>
                    <a:prstGeom prst="rect">
                      <a:avLst/>
                    </a:prstGeom>
                    <a:noFill/>
                    <a:ln>
                      <a:noFill/>
                    </a:ln>
                  </pic:spPr>
                </pic:pic>
              </a:graphicData>
            </a:graphic>
          </wp:inline>
        </w:drawing>
      </w:r>
    </w:p>
    <w:p w14:paraId="4029B756" w14:textId="77777777" w:rsidR="00676DB5" w:rsidRDefault="00BF6DCE">
      <w:pPr>
        <w:spacing w:line="360" w:lineRule="auto"/>
        <w:rPr>
          <w:rFonts w:ascii="Times New Roman" w:hAnsi="Times New Roman" w:cs="Times New Roman"/>
          <w:sz w:val="22"/>
        </w:rPr>
      </w:pPr>
      <w:r>
        <w:rPr>
          <w:rFonts w:ascii="Times New Roman" w:hAnsi="Times New Roman" w:cs="Times New Roman"/>
          <w:sz w:val="22"/>
        </w:rPr>
        <w:t xml:space="preserve">where </w:t>
      </w:r>
      <w:r>
        <w:rPr>
          <w:rFonts w:ascii="Times New Roman" w:hAnsi="Times New Roman" w:cs="Times New Roman"/>
          <w:i/>
          <w:iCs/>
          <w:sz w:val="22"/>
        </w:rPr>
        <w:t>m</w:t>
      </w:r>
      <w:r>
        <w:rPr>
          <w:rFonts w:ascii="Times New Roman" w:hAnsi="Times New Roman" w:cs="Times New Roman"/>
          <w:i/>
          <w:iCs/>
          <w:sz w:val="22"/>
          <w:vertAlign w:val="superscript"/>
        </w:rPr>
        <w:t>∗</w:t>
      </w:r>
      <w:r>
        <w:rPr>
          <w:rFonts w:ascii="Times New Roman" w:hAnsi="Times New Roman" w:cs="Times New Roman"/>
          <w:sz w:val="22"/>
        </w:rPr>
        <w:t xml:space="preserve"> is the effective carrier mass, </w:t>
      </w:r>
      <w:r>
        <w:rPr>
          <w:rFonts w:ascii="Times New Roman" w:hAnsi="Times New Roman" w:cs="Times New Roman"/>
          <w:i/>
          <w:iCs/>
          <w:sz w:val="22"/>
        </w:rPr>
        <w:t>ℏ</w:t>
      </w:r>
      <w:r>
        <w:rPr>
          <w:rFonts w:ascii="Times New Roman" w:hAnsi="Times New Roman" w:cs="Times New Roman"/>
          <w:sz w:val="22"/>
        </w:rPr>
        <w:t xml:space="preserve"> is the reduced Planck constant, </w:t>
      </w:r>
      <w:proofErr w:type="spellStart"/>
      <w:r>
        <w:rPr>
          <w:rFonts w:ascii="Times New Roman" w:hAnsi="Times New Roman" w:cs="Times New Roman"/>
          <w:i/>
          <w:iCs/>
          <w:sz w:val="22"/>
        </w:rPr>
        <w:t>E</w:t>
      </w:r>
      <w:r>
        <w:rPr>
          <w:rFonts w:ascii="Times New Roman" w:hAnsi="Times New Roman" w:cs="Times New Roman"/>
          <w:i/>
          <w:iCs/>
          <w:sz w:val="22"/>
          <w:vertAlign w:val="subscript"/>
        </w:rPr>
        <w:t>tun</w:t>
      </w:r>
      <w:proofErr w:type="spellEnd"/>
      <w:r>
        <w:rPr>
          <w:rFonts w:ascii="Times New Roman" w:hAnsi="Times New Roman" w:cs="Times New Roman"/>
          <w:sz w:val="22"/>
        </w:rPr>
        <w:t xml:space="preserve"> represents the effective tunneling barrier, and </w:t>
      </w:r>
      <w:r>
        <w:rPr>
          <w:rFonts w:ascii="Times New Roman" w:hAnsi="Times New Roman" w:cs="Times New Roman"/>
          <w:i/>
          <w:iCs/>
          <w:sz w:val="22"/>
        </w:rPr>
        <w:t>E</w:t>
      </w:r>
      <w:r>
        <w:rPr>
          <w:rFonts w:ascii="Times New Roman" w:hAnsi="Times New Roman" w:cs="Times New Roman"/>
          <w:sz w:val="22"/>
        </w:rPr>
        <w:t xml:space="preserve"> is the local electric field within the tunneling region.</w:t>
      </w:r>
    </w:p>
    <w:p w14:paraId="4029B757" w14:textId="77777777" w:rsidR="00676DB5" w:rsidRDefault="00BF6DCE">
      <w:pPr>
        <w:spacing w:line="360" w:lineRule="auto"/>
        <w:rPr>
          <w:rFonts w:ascii="Times New Roman" w:hAnsi="Times New Roman" w:cs="Times New Roman"/>
          <w:sz w:val="22"/>
          <w:szCs w:val="24"/>
        </w:rPr>
      </w:pPr>
      <w:r>
        <w:rPr>
          <w:rFonts w:ascii="Times New Roman" w:hAnsi="Times New Roman" w:cs="Times New Roman"/>
          <w:sz w:val="22"/>
        </w:rPr>
        <w:t>The associated tunneling current density was then expressed as:</w:t>
      </w:r>
    </w:p>
    <w:p w14:paraId="4029B758" w14:textId="77777777" w:rsidR="00676DB5" w:rsidRDefault="00BF6DCE">
      <w:pPr>
        <w:spacing w:line="360" w:lineRule="auto"/>
        <w:jc w:val="center"/>
        <w:rPr>
          <w:rFonts w:ascii="Times New Roman" w:hAnsi="Times New Roman" w:cs="Times New Roman"/>
          <w:sz w:val="22"/>
          <w:szCs w:val="24"/>
        </w:rPr>
      </w:pPr>
      <w:r>
        <w:rPr>
          <w:rFonts w:ascii="Times New Roman" w:hAnsi="Times New Roman" w:cs="Times New Roman"/>
          <w:noProof/>
          <w:sz w:val="22"/>
          <w:szCs w:val="24"/>
        </w:rPr>
        <w:drawing>
          <wp:inline distT="0" distB="0" distL="114300" distR="114300" wp14:anchorId="4029B889" wp14:editId="4029B88A">
            <wp:extent cx="1225550" cy="374015"/>
            <wp:effectExtent l="0" t="0" r="3175" b="698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8"/>
                    <a:stretch>
                      <a:fillRect/>
                    </a:stretch>
                  </pic:blipFill>
                  <pic:spPr>
                    <a:xfrm>
                      <a:off x="0" y="0"/>
                      <a:ext cx="1225550" cy="374015"/>
                    </a:xfrm>
                    <a:prstGeom prst="rect">
                      <a:avLst/>
                    </a:prstGeom>
                    <a:noFill/>
                    <a:ln>
                      <a:noFill/>
                    </a:ln>
                  </pic:spPr>
                </pic:pic>
              </a:graphicData>
            </a:graphic>
          </wp:inline>
        </w:drawing>
      </w:r>
    </w:p>
    <w:p w14:paraId="4029B759" w14:textId="77777777" w:rsidR="00676DB5" w:rsidRDefault="00BF6DCE">
      <w:pPr>
        <w:spacing w:line="360" w:lineRule="auto"/>
        <w:rPr>
          <w:rFonts w:ascii="Times New Roman" w:hAnsi="Times New Roman" w:cs="Times New Roman"/>
          <w:sz w:val="22"/>
        </w:rPr>
      </w:pPr>
      <w:r>
        <w:rPr>
          <w:rFonts w:ascii="Times New Roman" w:hAnsi="Times New Roman" w:cs="Times New Roman"/>
          <w:sz w:val="22"/>
        </w:rPr>
        <w:t xml:space="preserve">where </w:t>
      </w:r>
      <w:r>
        <w:rPr>
          <w:rFonts w:ascii="Times New Roman" w:hAnsi="Times New Roman" w:cs="Times New Roman"/>
          <w:i/>
          <w:iCs/>
          <w:sz w:val="22"/>
        </w:rPr>
        <w:t>k</w:t>
      </w:r>
      <w:r>
        <w:rPr>
          <w:rFonts w:ascii="Times New Roman" w:hAnsi="Times New Roman" w:cs="Times New Roman"/>
          <w:i/>
          <w:iCs/>
          <w:sz w:val="22"/>
          <w:vertAlign w:val="subscript"/>
        </w:rPr>
        <w:t>B</w:t>
      </w:r>
      <w:r>
        <w:rPr>
          <w:rFonts w:ascii="Times New Roman" w:hAnsi="Times New Roman" w:cs="Times New Roman"/>
          <w:sz w:val="22"/>
        </w:rPr>
        <w:t xml:space="preserve"> is the Boltzmann constant, </w:t>
      </w:r>
      <w:r>
        <w:rPr>
          <w:rFonts w:ascii="Times New Roman" w:hAnsi="Times New Roman" w:cs="Times New Roman"/>
          <w:i/>
          <w:iCs/>
          <w:sz w:val="22"/>
        </w:rPr>
        <w:t>T</w:t>
      </w:r>
      <w:r>
        <w:rPr>
          <w:rFonts w:ascii="Times New Roman" w:hAnsi="Times New Roman" w:cs="Times New Roman"/>
          <w:sz w:val="22"/>
        </w:rPr>
        <w:t xml:space="preserve"> is the temperature, and </w:t>
      </w:r>
      <w:r>
        <w:rPr>
          <w:rFonts w:ascii="Times New Roman" w:hAnsi="Times New Roman" w:cs="Times New Roman"/>
          <w:i/>
          <w:iCs/>
          <w:sz w:val="22"/>
        </w:rPr>
        <w:t>h</w:t>
      </w:r>
      <w:r>
        <w:rPr>
          <w:rFonts w:ascii="Times New Roman" w:hAnsi="Times New Roman" w:cs="Times New Roman"/>
          <w:sz w:val="22"/>
        </w:rPr>
        <w:t xml:space="preserve"> is Planck’s constant. </w:t>
      </w:r>
    </w:p>
    <w:p w14:paraId="4029B75A" w14:textId="77777777" w:rsidR="00676DB5" w:rsidRDefault="00BF6DCE">
      <w:pPr>
        <w:spacing w:line="360" w:lineRule="auto"/>
        <w:rPr>
          <w:rFonts w:ascii="Times New Roman" w:hAnsi="Times New Roman" w:cs="Times New Roman"/>
          <w:sz w:val="22"/>
        </w:rPr>
      </w:pPr>
      <w:r>
        <w:rPr>
          <w:rFonts w:ascii="Times New Roman" w:hAnsi="Times New Roman" w:cs="Times New Roman"/>
          <w:sz w:val="22"/>
        </w:rPr>
        <w:t>Zener breakdown was incorporated into the device model as an additional carrier generation term within the tunneling region:</w:t>
      </w:r>
    </w:p>
    <w:p w14:paraId="4029B75B"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noProof/>
          <w:sz w:val="22"/>
          <w:szCs w:val="24"/>
        </w:rPr>
        <w:drawing>
          <wp:inline distT="0" distB="0" distL="114300" distR="114300" wp14:anchorId="4029B88B" wp14:editId="4029B88C">
            <wp:extent cx="1096010" cy="396875"/>
            <wp:effectExtent l="0" t="0" r="8890" b="3175"/>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9"/>
                    <a:stretch>
                      <a:fillRect/>
                    </a:stretch>
                  </pic:blipFill>
                  <pic:spPr>
                    <a:xfrm>
                      <a:off x="0" y="0"/>
                      <a:ext cx="1096010" cy="396875"/>
                    </a:xfrm>
                    <a:prstGeom prst="rect">
                      <a:avLst/>
                    </a:prstGeom>
                    <a:noFill/>
                    <a:ln>
                      <a:noFill/>
                    </a:ln>
                  </pic:spPr>
                </pic:pic>
              </a:graphicData>
            </a:graphic>
          </wp:inline>
        </w:drawing>
      </w:r>
    </w:p>
    <w:p w14:paraId="4029B75C" w14:textId="77777777" w:rsidR="00676DB5" w:rsidRDefault="00BF6DCE">
      <w:pPr>
        <w:spacing w:after="240" w:line="360" w:lineRule="auto"/>
        <w:rPr>
          <w:rFonts w:ascii="Times New Roman" w:hAnsi="Times New Roman" w:cs="Times New Roman"/>
          <w:sz w:val="24"/>
          <w:szCs w:val="24"/>
        </w:rPr>
      </w:pPr>
      <w:r>
        <w:rPr>
          <w:rFonts w:ascii="Times New Roman" w:hAnsi="Times New Roman" w:cs="Times New Roman"/>
          <w:sz w:val="22"/>
        </w:rPr>
        <w:t xml:space="preserve">where </w:t>
      </w:r>
      <w:proofErr w:type="spellStart"/>
      <w:r>
        <w:rPr>
          <w:rFonts w:ascii="Times New Roman" w:hAnsi="Times New Roman" w:cs="Times New Roman"/>
          <w:i/>
          <w:iCs/>
          <w:sz w:val="22"/>
        </w:rPr>
        <w:t>t</w:t>
      </w:r>
      <w:r>
        <w:rPr>
          <w:rFonts w:ascii="Times New Roman" w:hAnsi="Times New Roman" w:cs="Times New Roman"/>
          <w:i/>
          <w:iCs/>
          <w:sz w:val="22"/>
          <w:vertAlign w:val="subscript"/>
        </w:rPr>
        <w:t>tun</w:t>
      </w:r>
      <w:proofErr w:type="spellEnd"/>
      <w:r>
        <w:rPr>
          <w:rFonts w:ascii="Times New Roman" w:hAnsi="Times New Roman" w:cs="Times New Roman"/>
          <w:sz w:val="22"/>
        </w:rPr>
        <w:t xml:space="preserve"> is the thickness of the tunneling region. </w:t>
      </w:r>
      <w:r>
        <w:rPr>
          <w:rFonts w:ascii="Times New Roman" w:hAnsi="Times New Roman" w:cs="Times New Roman"/>
          <w:sz w:val="24"/>
          <w:szCs w:val="24"/>
        </w:rPr>
        <w:t>Semiconductor parameters in COSMOL</w:t>
      </w:r>
      <w:r>
        <w:rPr>
          <w:rFonts w:ascii="Times New Roman" w:hAnsi="Times New Roman" w:cs="Times New Roman"/>
          <w:sz w:val="24"/>
          <w:szCs w:val="24"/>
        </w:rPr>
        <w:fldChar w:fldCharType="begin">
          <w:fldData xml:space="preserve">PEVuZE5vdGU+PENpdGU+PEF1dGhvcj5BeWRpbjwvQXV0aG9yPjxZZWFyPjIwMjE8L1llYXI+PFJl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</w:fldData>
        </w:fldChar>
      </w:r>
      <w:r>
        <w:rPr>
          <w:rFonts w:ascii="Times New Roman" w:hAnsi="Times New Roman" w:cs="Times New Roman" w:hint="eastAsia"/>
          <w:sz w:val="24"/>
          <w:szCs w:val="24"/>
        </w:rPr>
        <w:instrText xml:space="preserve"> ADDIN EN.CITE </w:instrText>
      </w:r>
      <w:r>
        <w:rPr>
          <w:rFonts w:ascii="Times New Roman" w:hAnsi="Times New Roman" w:cs="Times New Roman" w:hint="eastAsia"/>
          <w:sz w:val="24"/>
          <w:szCs w:val="24"/>
        </w:rPr>
        <w:fldChar w:fldCharType="begin">
          <w:fldData xml:space="preserve">PEVuZE5vdGU+PENpdGU+PEF1dGhvcj5BeWRpbjwvQXV0aG9yPjxZZWFyPjIwMjE8L1llYXI+PFJl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</w:fldData>
        </w:fldChar>
      </w:r>
      <w:r>
        <w:rPr>
          <w:rFonts w:ascii="Times New Roman" w:hAnsi="Times New Roman" w:cs="Times New Roman" w:hint="eastAsia"/>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hint="eastAsia"/>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hint="eastAsia"/>
          <w:sz w:val="24"/>
          <w:szCs w:val="24"/>
          <w:vertAlign w:val="superscript"/>
        </w:rPr>
        <w:t>2,4-9</w:t>
      </w:r>
      <w:r>
        <w:rPr>
          <w:rFonts w:ascii="Times New Roman" w:hAnsi="Times New Roman" w:cs="Times New Roman"/>
          <w:sz w:val="24"/>
          <w:szCs w:val="24"/>
        </w:rPr>
        <w:fldChar w:fldCharType="end"/>
      </w:r>
      <w:r>
        <w:rPr>
          <w:rFonts w:ascii="Times New Roman" w:hAnsi="Times New Roman" w:cs="Times New Roman" w:hint="eastAsia"/>
          <w:sz w:val="24"/>
          <w:szCs w:val="24"/>
        </w:rPr>
        <w:t>:</w:t>
      </w:r>
    </w:p>
    <w:tbl>
      <w:tblPr>
        <w:tblpPr w:leftFromText="180" w:rightFromText="180" w:vertAnchor="text" w:horzAnchor="page" w:tblpX="1389" w:tblpY="113"/>
        <w:tblOverlap w:val="never"/>
        <w:tblW w:w="53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4"/>
        <w:gridCol w:w="855"/>
        <w:gridCol w:w="1061"/>
        <w:gridCol w:w="658"/>
        <w:gridCol w:w="700"/>
        <w:gridCol w:w="855"/>
        <w:gridCol w:w="1063"/>
        <w:gridCol w:w="755"/>
      </w:tblGrid>
      <w:tr w:rsidR="00676DB5" w14:paraId="4029B765" w14:textId="77777777">
        <w:trPr>
          <w:trHeight w:val="426"/>
        </w:trPr>
        <w:tc>
          <w:tcPr>
            <w:tcW w:w="1706" w:type="pct"/>
            <w:tcBorders>
              <w:top w:val="single" w:sz="12" w:space="0" w:color="auto"/>
              <w:left w:val="nil"/>
              <w:bottom w:val="single" w:sz="12" w:space="0" w:color="auto"/>
              <w:right w:val="nil"/>
            </w:tcBorders>
            <w:vAlign w:val="center"/>
          </w:tcPr>
          <w:p w14:paraId="4029B75D" w14:textId="77777777" w:rsidR="00676DB5" w:rsidRDefault="00BF6DCE">
            <w:pPr>
              <w:adjustRightInd w:val="0"/>
              <w:snapToGrid w:val="0"/>
              <w:spacing w:line="360" w:lineRule="auto"/>
              <w:jc w:val="center"/>
              <w:rPr>
                <w:rFonts w:ascii="Times New Roman" w:hAnsi="Times New Roman" w:cs="Times New Roman"/>
                <w:sz w:val="20"/>
                <w:szCs w:val="20"/>
              </w:rPr>
            </w:pPr>
            <w:bookmarkStart w:id="0" w:name="_Hlk155027712"/>
            <w:bookmarkStart w:id="1" w:name="_Hlk162606003"/>
            <w:r>
              <w:rPr>
                <w:rFonts w:ascii="Times New Roman" w:hAnsi="Times New Roman" w:cs="Times New Roman"/>
                <w:sz w:val="20"/>
                <w:szCs w:val="20"/>
              </w:rPr>
              <w:t>Parameters</w:t>
            </w:r>
          </w:p>
        </w:tc>
        <w:tc>
          <w:tcPr>
            <w:tcW w:w="443" w:type="pct"/>
            <w:tcBorders>
              <w:top w:val="single" w:sz="12" w:space="0" w:color="auto"/>
              <w:left w:val="nil"/>
              <w:bottom w:val="single" w:sz="12" w:space="0" w:color="auto"/>
              <w:right w:val="nil"/>
            </w:tcBorders>
            <w:vAlign w:val="center"/>
          </w:tcPr>
          <w:p w14:paraId="4029B75E" w14:textId="77777777" w:rsidR="00676DB5" w:rsidRDefault="00BF6DCE">
            <w:pPr>
              <w:adjustRightInd w:val="0"/>
              <w:snapToGrid w:val="0"/>
              <w:spacing w:line="360" w:lineRule="auto"/>
              <w:jc w:val="center"/>
              <w:rPr>
                <w:rFonts w:ascii="Times New Roman" w:hAnsi="Times New Roman" w:cs="Times New Roman"/>
                <w:sz w:val="20"/>
                <w:szCs w:val="20"/>
              </w:rPr>
            </w:pPr>
            <w:proofErr w:type="spellStart"/>
            <w:r>
              <w:rPr>
                <w:rFonts w:ascii="Times New Roman" w:hAnsi="Times New Roman" w:cs="Times New Roman" w:hint="eastAsia"/>
                <w:sz w:val="20"/>
                <w:szCs w:val="20"/>
              </w:rPr>
              <w:t>NiO</w:t>
            </w:r>
            <w:r>
              <w:rPr>
                <w:rFonts w:ascii="Times New Roman" w:hAnsi="Times New Roman" w:cs="Times New Roman" w:hint="eastAsia"/>
                <w:sz w:val="20"/>
                <w:szCs w:val="20"/>
                <w:vertAlign w:val="subscript"/>
              </w:rPr>
              <w:t>x</w:t>
            </w:r>
            <w:proofErr w:type="spellEnd"/>
          </w:p>
        </w:tc>
        <w:tc>
          <w:tcPr>
            <w:tcW w:w="546" w:type="pct"/>
            <w:tcBorders>
              <w:top w:val="single" w:sz="12" w:space="0" w:color="auto"/>
              <w:left w:val="nil"/>
              <w:bottom w:val="single" w:sz="12" w:space="0" w:color="auto"/>
              <w:right w:val="nil"/>
            </w:tcBorders>
            <w:vAlign w:val="center"/>
          </w:tcPr>
          <w:p w14:paraId="4029B75F"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Perovskite</w:t>
            </w:r>
          </w:p>
        </w:tc>
        <w:tc>
          <w:tcPr>
            <w:tcW w:w="404" w:type="pct"/>
            <w:tcBorders>
              <w:top w:val="single" w:sz="12" w:space="0" w:color="auto"/>
              <w:left w:val="nil"/>
              <w:bottom w:val="single" w:sz="12" w:space="0" w:color="auto"/>
              <w:right w:val="nil"/>
            </w:tcBorders>
            <w:vAlign w:val="center"/>
          </w:tcPr>
          <w:p w14:paraId="4029B760"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C60</w:t>
            </w:r>
          </w:p>
        </w:tc>
        <w:tc>
          <w:tcPr>
            <w:tcW w:w="428" w:type="pct"/>
            <w:tcBorders>
              <w:top w:val="single" w:sz="12" w:space="0" w:color="auto"/>
              <w:left w:val="nil"/>
              <w:bottom w:val="single" w:sz="12" w:space="0" w:color="auto"/>
              <w:right w:val="nil"/>
            </w:tcBorders>
            <w:vAlign w:val="center"/>
          </w:tcPr>
          <w:p w14:paraId="4029B761"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BCP</w:t>
            </w:r>
          </w:p>
        </w:tc>
        <w:tc>
          <w:tcPr>
            <w:tcW w:w="443" w:type="pct"/>
            <w:tcBorders>
              <w:top w:val="single" w:sz="12" w:space="0" w:color="auto"/>
              <w:left w:val="nil"/>
              <w:bottom w:val="single" w:sz="12" w:space="0" w:color="auto"/>
              <w:right w:val="nil"/>
            </w:tcBorders>
            <w:vAlign w:val="center"/>
          </w:tcPr>
          <w:p w14:paraId="4029B762"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SnO</w:t>
            </w:r>
            <w:r>
              <w:rPr>
                <w:rFonts w:ascii="Times New Roman" w:hAnsi="Times New Roman" w:cs="Times New Roman" w:hint="eastAsia"/>
                <w:sz w:val="20"/>
                <w:szCs w:val="20"/>
                <w:vertAlign w:val="subscript"/>
              </w:rPr>
              <w:t>2</w:t>
            </w:r>
          </w:p>
        </w:tc>
        <w:tc>
          <w:tcPr>
            <w:tcW w:w="631" w:type="pct"/>
            <w:tcBorders>
              <w:top w:val="single" w:sz="12" w:space="0" w:color="auto"/>
              <w:left w:val="nil"/>
              <w:bottom w:val="single" w:sz="12" w:space="0" w:color="auto"/>
              <w:right w:val="nil"/>
            </w:tcBorders>
            <w:vAlign w:val="center"/>
          </w:tcPr>
          <w:p w14:paraId="4029B763"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Spiro-TTB</w:t>
            </w:r>
          </w:p>
        </w:tc>
        <w:tc>
          <w:tcPr>
            <w:tcW w:w="396" w:type="pct"/>
            <w:tcBorders>
              <w:top w:val="single" w:sz="12" w:space="0" w:color="auto"/>
              <w:left w:val="nil"/>
              <w:bottom w:val="single" w:sz="12" w:space="0" w:color="auto"/>
              <w:right w:val="nil"/>
            </w:tcBorders>
            <w:vAlign w:val="center"/>
          </w:tcPr>
          <w:p w14:paraId="4029B764"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MoO</w:t>
            </w:r>
            <w:r>
              <w:rPr>
                <w:rFonts w:ascii="Times New Roman" w:hAnsi="Times New Roman" w:cs="Times New Roman" w:hint="eastAsia"/>
                <w:sz w:val="20"/>
                <w:szCs w:val="20"/>
                <w:vertAlign w:val="subscript"/>
              </w:rPr>
              <w:t>3</w:t>
            </w:r>
          </w:p>
        </w:tc>
      </w:tr>
      <w:bookmarkEnd w:id="0"/>
      <w:tr w:rsidR="00676DB5" w14:paraId="4029B76E" w14:textId="77777777">
        <w:trPr>
          <w:trHeight w:val="357"/>
        </w:trPr>
        <w:tc>
          <w:tcPr>
            <w:tcW w:w="1706" w:type="pct"/>
            <w:tcBorders>
              <w:top w:val="single" w:sz="4" w:space="0" w:color="auto"/>
              <w:left w:val="nil"/>
              <w:bottom w:val="nil"/>
              <w:right w:val="nil"/>
            </w:tcBorders>
            <w:vAlign w:val="center"/>
          </w:tcPr>
          <w:p w14:paraId="4029B766" w14:textId="77777777" w:rsidR="00676DB5" w:rsidRDefault="00BF6DCE">
            <w:pPr>
              <w:widowControl/>
              <w:adjustRightInd w:val="0"/>
              <w:snapToGrid w:val="0"/>
              <w:spacing w:line="360" w:lineRule="auto"/>
              <w:jc w:val="left"/>
              <w:rPr>
                <w:rFonts w:ascii="Times New Roman" w:hAnsi="Times New Roman" w:cs="Times New Roman"/>
                <w:sz w:val="20"/>
                <w:szCs w:val="20"/>
              </w:rPr>
            </w:pPr>
            <w:r>
              <w:rPr>
                <w:rFonts w:ascii="Times New Roman" w:eastAsia="黑体" w:hAnsi="Times New Roman" w:cs="Times New Roman"/>
                <w:color w:val="000000"/>
                <w:kern w:val="0"/>
                <w:sz w:val="20"/>
                <w:szCs w:val="20"/>
                <w:lang w:bidi="ar"/>
              </w:rPr>
              <w:t xml:space="preserve">Thickness </w:t>
            </w:r>
            <w:r>
              <w:rPr>
                <w:rFonts w:ascii="Times New Roman" w:eastAsia="黑体" w:hAnsi="Times New Roman" w:cs="Times New Roman"/>
                <w:b/>
                <w:bCs/>
                <w:color w:val="000000"/>
                <w:kern w:val="0"/>
                <w:sz w:val="20"/>
                <w:szCs w:val="20"/>
                <w:lang w:bidi="ar"/>
              </w:rPr>
              <w:t>t (nm)</w:t>
            </w:r>
          </w:p>
        </w:tc>
        <w:tc>
          <w:tcPr>
            <w:tcW w:w="443" w:type="pct"/>
            <w:tcBorders>
              <w:top w:val="single" w:sz="4" w:space="0" w:color="auto"/>
              <w:left w:val="nil"/>
              <w:bottom w:val="nil"/>
              <w:right w:val="nil"/>
            </w:tcBorders>
            <w:vAlign w:val="center"/>
          </w:tcPr>
          <w:p w14:paraId="4029B767"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20</w:t>
            </w:r>
          </w:p>
        </w:tc>
        <w:tc>
          <w:tcPr>
            <w:tcW w:w="546" w:type="pct"/>
            <w:tcBorders>
              <w:top w:val="single" w:sz="4" w:space="0" w:color="auto"/>
              <w:left w:val="nil"/>
              <w:bottom w:val="nil"/>
              <w:right w:val="nil"/>
            </w:tcBorders>
            <w:vAlign w:val="center"/>
          </w:tcPr>
          <w:p w14:paraId="4029B768"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400</w:t>
            </w:r>
          </w:p>
        </w:tc>
        <w:tc>
          <w:tcPr>
            <w:tcW w:w="404" w:type="pct"/>
            <w:tcBorders>
              <w:top w:val="single" w:sz="4" w:space="0" w:color="auto"/>
              <w:left w:val="nil"/>
              <w:bottom w:val="nil"/>
              <w:right w:val="nil"/>
            </w:tcBorders>
            <w:vAlign w:val="center"/>
          </w:tcPr>
          <w:p w14:paraId="4029B769"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50</w:t>
            </w:r>
          </w:p>
        </w:tc>
        <w:tc>
          <w:tcPr>
            <w:tcW w:w="428" w:type="pct"/>
            <w:tcBorders>
              <w:top w:val="single" w:sz="4" w:space="0" w:color="auto"/>
              <w:left w:val="nil"/>
              <w:bottom w:val="nil"/>
              <w:right w:val="nil"/>
            </w:tcBorders>
            <w:vAlign w:val="center"/>
          </w:tcPr>
          <w:p w14:paraId="4029B76A"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20</w:t>
            </w:r>
          </w:p>
        </w:tc>
        <w:tc>
          <w:tcPr>
            <w:tcW w:w="443" w:type="pct"/>
            <w:tcBorders>
              <w:top w:val="single" w:sz="4" w:space="0" w:color="auto"/>
              <w:left w:val="nil"/>
              <w:bottom w:val="nil"/>
              <w:right w:val="nil"/>
            </w:tcBorders>
            <w:vAlign w:val="center"/>
          </w:tcPr>
          <w:p w14:paraId="4029B76B"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20</w:t>
            </w:r>
          </w:p>
        </w:tc>
        <w:tc>
          <w:tcPr>
            <w:tcW w:w="631" w:type="pct"/>
            <w:tcBorders>
              <w:top w:val="single" w:sz="4" w:space="0" w:color="auto"/>
              <w:left w:val="nil"/>
              <w:bottom w:val="nil"/>
              <w:right w:val="nil"/>
            </w:tcBorders>
            <w:vAlign w:val="center"/>
          </w:tcPr>
          <w:p w14:paraId="4029B76C"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50</w:t>
            </w:r>
          </w:p>
        </w:tc>
        <w:tc>
          <w:tcPr>
            <w:tcW w:w="396" w:type="pct"/>
            <w:tcBorders>
              <w:top w:val="single" w:sz="4" w:space="0" w:color="auto"/>
              <w:left w:val="nil"/>
              <w:bottom w:val="nil"/>
              <w:right w:val="nil"/>
            </w:tcBorders>
            <w:vAlign w:val="center"/>
          </w:tcPr>
          <w:p w14:paraId="4029B76D"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20</w:t>
            </w:r>
          </w:p>
        </w:tc>
      </w:tr>
      <w:tr w:rsidR="00676DB5" w14:paraId="4029B777" w14:textId="77777777">
        <w:trPr>
          <w:trHeight w:val="357"/>
        </w:trPr>
        <w:tc>
          <w:tcPr>
            <w:tcW w:w="1706" w:type="pct"/>
            <w:tcBorders>
              <w:top w:val="nil"/>
              <w:left w:val="nil"/>
              <w:bottom w:val="nil"/>
              <w:right w:val="nil"/>
            </w:tcBorders>
            <w:vAlign w:val="center"/>
          </w:tcPr>
          <w:p w14:paraId="4029B76F" w14:textId="77777777" w:rsidR="00676DB5" w:rsidRDefault="00BF6DCE">
            <w:pPr>
              <w:widowControl/>
              <w:adjustRightInd w:val="0"/>
              <w:snapToGrid w:val="0"/>
              <w:spacing w:line="360" w:lineRule="auto"/>
              <w:jc w:val="left"/>
              <w:rPr>
                <w:rFonts w:ascii="Times New Roman" w:hAnsi="Times New Roman" w:cs="Times New Roman"/>
                <w:sz w:val="20"/>
                <w:szCs w:val="20"/>
              </w:rPr>
            </w:pPr>
            <w:r>
              <w:rPr>
                <w:rFonts w:ascii="Times New Roman" w:eastAsia="黑体" w:hAnsi="Times New Roman" w:cs="Times New Roman"/>
                <w:color w:val="000000"/>
                <w:kern w:val="0"/>
                <w:sz w:val="20"/>
                <w:szCs w:val="20"/>
                <w:lang w:bidi="ar"/>
              </w:rPr>
              <w:t xml:space="preserve">Bandgap </w:t>
            </w:r>
            <w:r>
              <w:rPr>
                <w:rFonts w:ascii="Times New Roman" w:eastAsia="黑体" w:hAnsi="Times New Roman" w:cs="Times New Roman"/>
                <w:b/>
                <w:bCs/>
                <w:color w:val="000000"/>
                <w:kern w:val="0"/>
                <w:sz w:val="20"/>
                <w:szCs w:val="20"/>
                <w:lang w:bidi="ar"/>
              </w:rPr>
              <w:t>E</w:t>
            </w:r>
            <w:r>
              <w:rPr>
                <w:rFonts w:ascii="Times New Roman" w:eastAsia="黑体" w:hAnsi="Times New Roman" w:cs="Times New Roman"/>
                <w:b/>
                <w:bCs/>
                <w:color w:val="000000"/>
                <w:kern w:val="0"/>
                <w:sz w:val="20"/>
                <w:szCs w:val="20"/>
                <w:vertAlign w:val="subscript"/>
                <w:lang w:bidi="ar"/>
              </w:rPr>
              <w:t>g</w:t>
            </w:r>
            <w:r>
              <w:rPr>
                <w:rFonts w:ascii="Times New Roman" w:eastAsia="CharisSIL" w:hAnsi="Times New Roman" w:cs="Times New Roman"/>
                <w:b/>
                <w:bCs/>
                <w:color w:val="000000"/>
                <w:kern w:val="0"/>
                <w:sz w:val="20"/>
                <w:szCs w:val="20"/>
                <w:lang w:bidi="ar"/>
              </w:rPr>
              <w:t xml:space="preserve"> (eV)</w:t>
            </w:r>
          </w:p>
        </w:tc>
        <w:tc>
          <w:tcPr>
            <w:tcW w:w="443" w:type="pct"/>
            <w:tcBorders>
              <w:top w:val="nil"/>
              <w:left w:val="nil"/>
              <w:bottom w:val="nil"/>
              <w:right w:val="nil"/>
            </w:tcBorders>
            <w:vAlign w:val="center"/>
          </w:tcPr>
          <w:p w14:paraId="4029B770"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3.66</w:t>
            </w:r>
          </w:p>
        </w:tc>
        <w:tc>
          <w:tcPr>
            <w:tcW w:w="546" w:type="pct"/>
            <w:tcBorders>
              <w:top w:val="nil"/>
              <w:left w:val="nil"/>
              <w:bottom w:val="nil"/>
              <w:right w:val="nil"/>
            </w:tcBorders>
            <w:vAlign w:val="center"/>
          </w:tcPr>
          <w:p w14:paraId="4029B771"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1.53</w:t>
            </w:r>
          </w:p>
        </w:tc>
        <w:tc>
          <w:tcPr>
            <w:tcW w:w="404" w:type="pct"/>
            <w:tcBorders>
              <w:top w:val="nil"/>
              <w:left w:val="nil"/>
              <w:bottom w:val="nil"/>
              <w:right w:val="nil"/>
            </w:tcBorders>
            <w:vAlign w:val="center"/>
          </w:tcPr>
          <w:p w14:paraId="4029B772"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w:t>
            </w:r>
            <w:r>
              <w:rPr>
                <w:rFonts w:ascii="Times New Roman" w:hAnsi="Times New Roman" w:cs="Times New Roman"/>
                <w:sz w:val="20"/>
                <w:szCs w:val="20"/>
              </w:rPr>
              <w:t>.8</w:t>
            </w:r>
          </w:p>
        </w:tc>
        <w:tc>
          <w:tcPr>
            <w:tcW w:w="428" w:type="pct"/>
            <w:tcBorders>
              <w:top w:val="nil"/>
              <w:left w:val="nil"/>
              <w:bottom w:val="nil"/>
              <w:right w:val="nil"/>
            </w:tcBorders>
            <w:vAlign w:val="center"/>
          </w:tcPr>
          <w:p w14:paraId="4029B773"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3.5</w:t>
            </w:r>
          </w:p>
        </w:tc>
        <w:tc>
          <w:tcPr>
            <w:tcW w:w="443" w:type="pct"/>
            <w:tcBorders>
              <w:top w:val="nil"/>
              <w:left w:val="nil"/>
              <w:bottom w:val="nil"/>
              <w:right w:val="nil"/>
            </w:tcBorders>
            <w:vAlign w:val="center"/>
          </w:tcPr>
          <w:p w14:paraId="4029B774"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3.5</w:t>
            </w:r>
          </w:p>
        </w:tc>
        <w:tc>
          <w:tcPr>
            <w:tcW w:w="631" w:type="pct"/>
            <w:tcBorders>
              <w:top w:val="nil"/>
              <w:left w:val="nil"/>
              <w:bottom w:val="nil"/>
              <w:right w:val="nil"/>
            </w:tcBorders>
            <w:vAlign w:val="center"/>
          </w:tcPr>
          <w:p w14:paraId="4029B775"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3.44</w:t>
            </w:r>
          </w:p>
        </w:tc>
        <w:tc>
          <w:tcPr>
            <w:tcW w:w="396" w:type="pct"/>
            <w:tcBorders>
              <w:top w:val="nil"/>
              <w:left w:val="nil"/>
              <w:bottom w:val="nil"/>
              <w:right w:val="nil"/>
            </w:tcBorders>
            <w:vAlign w:val="center"/>
          </w:tcPr>
          <w:p w14:paraId="4029B776"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3</w:t>
            </w:r>
          </w:p>
        </w:tc>
      </w:tr>
      <w:tr w:rsidR="00676DB5" w14:paraId="4029B780" w14:textId="77777777">
        <w:trPr>
          <w:trHeight w:val="357"/>
        </w:trPr>
        <w:tc>
          <w:tcPr>
            <w:tcW w:w="1706" w:type="pct"/>
            <w:tcBorders>
              <w:top w:val="nil"/>
              <w:left w:val="nil"/>
              <w:bottom w:val="nil"/>
              <w:right w:val="nil"/>
            </w:tcBorders>
            <w:vAlign w:val="center"/>
          </w:tcPr>
          <w:p w14:paraId="4029B778" w14:textId="77777777" w:rsidR="00676DB5" w:rsidRDefault="00BF6DCE">
            <w:pPr>
              <w:widowControl/>
              <w:adjustRightInd w:val="0"/>
              <w:snapToGrid w:val="0"/>
              <w:spacing w:line="360" w:lineRule="auto"/>
              <w:jc w:val="left"/>
              <w:rPr>
                <w:rFonts w:ascii="Times New Roman" w:hAnsi="Times New Roman" w:cs="Times New Roman"/>
                <w:sz w:val="20"/>
                <w:szCs w:val="20"/>
              </w:rPr>
            </w:pPr>
            <w:r>
              <w:rPr>
                <w:rFonts w:ascii="Times New Roman" w:eastAsia="黑体" w:hAnsi="Times New Roman" w:cs="Times New Roman"/>
                <w:color w:val="000000"/>
                <w:kern w:val="0"/>
                <w:sz w:val="20"/>
                <w:szCs w:val="20"/>
                <w:lang w:bidi="ar"/>
              </w:rPr>
              <w:t>Electron affinity</w:t>
            </w:r>
            <w:r>
              <w:rPr>
                <w:rFonts w:ascii="Times New Roman" w:eastAsia="黑体" w:hAnsi="Times New Roman" w:cs="Times New Roman" w:hint="eastAsia"/>
                <w:color w:val="000000"/>
                <w:kern w:val="0"/>
                <w:sz w:val="20"/>
                <w:szCs w:val="20"/>
                <w:lang w:bidi="ar"/>
              </w:rPr>
              <w:t xml:space="preserve"> </w:t>
            </w:r>
            <w:r>
              <w:rPr>
                <w:rFonts w:ascii="Times New Roman" w:eastAsia="黑体" w:hAnsi="Times New Roman" w:cs="Times New Roman"/>
                <w:b/>
                <w:bCs/>
                <w:color w:val="000000"/>
                <w:kern w:val="0"/>
                <w:sz w:val="20"/>
                <w:szCs w:val="20"/>
                <w:lang w:bidi="ar"/>
              </w:rPr>
              <w:t>χ</w:t>
            </w:r>
            <w:r>
              <w:rPr>
                <w:rFonts w:ascii="Times New Roman" w:eastAsia="黑体" w:hAnsi="Times New Roman" w:cs="Times New Roman"/>
                <w:color w:val="000000"/>
                <w:kern w:val="0"/>
                <w:sz w:val="20"/>
                <w:szCs w:val="20"/>
                <w:lang w:bidi="ar"/>
              </w:rPr>
              <w:t xml:space="preserve"> </w:t>
            </w:r>
            <w:r>
              <w:rPr>
                <w:rFonts w:ascii="Times New Roman" w:eastAsia="黑体" w:hAnsi="Times New Roman" w:cs="Times New Roman"/>
                <w:b/>
                <w:bCs/>
                <w:color w:val="000000"/>
                <w:kern w:val="0"/>
                <w:sz w:val="20"/>
                <w:szCs w:val="20"/>
                <w:lang w:bidi="ar"/>
              </w:rPr>
              <w:t>(eV)</w:t>
            </w:r>
          </w:p>
        </w:tc>
        <w:tc>
          <w:tcPr>
            <w:tcW w:w="443" w:type="pct"/>
            <w:tcBorders>
              <w:top w:val="nil"/>
              <w:left w:val="nil"/>
              <w:bottom w:val="nil"/>
              <w:right w:val="nil"/>
            </w:tcBorders>
            <w:vAlign w:val="center"/>
          </w:tcPr>
          <w:p w14:paraId="4029B779"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sz w:val="20"/>
                <w:szCs w:val="20"/>
              </w:rPr>
              <w:t>1</w:t>
            </w:r>
            <w:r>
              <w:rPr>
                <w:rFonts w:ascii="Times New Roman" w:hAnsi="Times New Roman" w:cs="Times New Roman" w:hint="eastAsia"/>
                <w:sz w:val="20"/>
                <w:szCs w:val="20"/>
              </w:rPr>
              <w:t>.9</w:t>
            </w:r>
          </w:p>
        </w:tc>
        <w:tc>
          <w:tcPr>
            <w:tcW w:w="546" w:type="pct"/>
            <w:tcBorders>
              <w:top w:val="nil"/>
              <w:left w:val="nil"/>
              <w:bottom w:val="nil"/>
              <w:right w:val="nil"/>
            </w:tcBorders>
            <w:vAlign w:val="center"/>
          </w:tcPr>
          <w:p w14:paraId="4029B77A"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4.25</w:t>
            </w:r>
          </w:p>
        </w:tc>
        <w:tc>
          <w:tcPr>
            <w:tcW w:w="404" w:type="pct"/>
            <w:tcBorders>
              <w:top w:val="nil"/>
              <w:left w:val="nil"/>
              <w:bottom w:val="nil"/>
              <w:right w:val="nil"/>
            </w:tcBorders>
            <w:vAlign w:val="center"/>
          </w:tcPr>
          <w:p w14:paraId="4029B77B"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4.2</w:t>
            </w:r>
          </w:p>
        </w:tc>
        <w:tc>
          <w:tcPr>
            <w:tcW w:w="428" w:type="pct"/>
            <w:tcBorders>
              <w:top w:val="nil"/>
              <w:left w:val="nil"/>
              <w:bottom w:val="nil"/>
              <w:right w:val="nil"/>
            </w:tcBorders>
            <w:vAlign w:val="center"/>
          </w:tcPr>
          <w:p w14:paraId="4029B77C"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4.1</w:t>
            </w:r>
          </w:p>
        </w:tc>
        <w:tc>
          <w:tcPr>
            <w:tcW w:w="443" w:type="pct"/>
            <w:tcBorders>
              <w:top w:val="nil"/>
              <w:left w:val="nil"/>
              <w:bottom w:val="nil"/>
              <w:right w:val="nil"/>
            </w:tcBorders>
            <w:vAlign w:val="center"/>
          </w:tcPr>
          <w:p w14:paraId="4029B77D"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3.9</w:t>
            </w:r>
          </w:p>
        </w:tc>
        <w:tc>
          <w:tcPr>
            <w:tcW w:w="631" w:type="pct"/>
            <w:tcBorders>
              <w:top w:val="nil"/>
              <w:left w:val="nil"/>
              <w:bottom w:val="nil"/>
              <w:right w:val="nil"/>
            </w:tcBorders>
            <w:vAlign w:val="center"/>
          </w:tcPr>
          <w:p w14:paraId="4029B77E"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2.22</w:t>
            </w:r>
          </w:p>
        </w:tc>
        <w:tc>
          <w:tcPr>
            <w:tcW w:w="396" w:type="pct"/>
            <w:tcBorders>
              <w:top w:val="nil"/>
              <w:left w:val="nil"/>
              <w:bottom w:val="nil"/>
              <w:right w:val="nil"/>
            </w:tcBorders>
            <w:vAlign w:val="center"/>
          </w:tcPr>
          <w:p w14:paraId="4029B77F"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2.5</w:t>
            </w:r>
          </w:p>
        </w:tc>
      </w:tr>
      <w:tr w:rsidR="00676DB5" w14:paraId="4029B789" w14:textId="77777777">
        <w:trPr>
          <w:trHeight w:val="357"/>
        </w:trPr>
        <w:tc>
          <w:tcPr>
            <w:tcW w:w="1706" w:type="pct"/>
            <w:tcBorders>
              <w:top w:val="nil"/>
              <w:left w:val="nil"/>
              <w:bottom w:val="nil"/>
              <w:right w:val="nil"/>
            </w:tcBorders>
            <w:vAlign w:val="center"/>
          </w:tcPr>
          <w:p w14:paraId="4029B781" w14:textId="77777777" w:rsidR="00676DB5" w:rsidRDefault="00BF6DCE">
            <w:pPr>
              <w:widowControl/>
              <w:adjustRightInd w:val="0"/>
              <w:snapToGrid w:val="0"/>
              <w:spacing w:line="360" w:lineRule="auto"/>
              <w:jc w:val="left"/>
              <w:rPr>
                <w:rFonts w:ascii="Times New Roman" w:hAnsi="Times New Roman" w:cs="Times New Roman"/>
                <w:sz w:val="20"/>
                <w:szCs w:val="20"/>
              </w:rPr>
            </w:pPr>
            <w:r>
              <w:rPr>
                <w:rFonts w:ascii="Times New Roman" w:eastAsia="STIX-Regular" w:hAnsi="Times New Roman" w:cs="Times New Roman"/>
                <w:color w:val="000000"/>
                <w:kern w:val="0"/>
                <w:sz w:val="20"/>
                <w:szCs w:val="20"/>
                <w:lang w:bidi="ar"/>
              </w:rPr>
              <w:t xml:space="preserve">Relative permittivity </w:t>
            </w:r>
            <w:proofErr w:type="spellStart"/>
            <w:r>
              <w:rPr>
                <w:rFonts w:ascii="Times New Roman" w:eastAsia="STIX-Regular" w:hAnsi="Times New Roman" w:cs="Times New Roman"/>
                <w:b/>
                <w:bCs/>
                <w:color w:val="000000"/>
                <w:kern w:val="0"/>
                <w:sz w:val="20"/>
                <w:szCs w:val="20"/>
                <w:lang w:bidi="ar"/>
              </w:rPr>
              <w:t>ε</w:t>
            </w:r>
            <w:r>
              <w:rPr>
                <w:rFonts w:ascii="Times New Roman" w:eastAsia="STIX-Regular" w:hAnsi="Times New Roman" w:cs="Times New Roman"/>
                <w:b/>
                <w:bCs/>
                <w:color w:val="000000"/>
                <w:kern w:val="0"/>
                <w:sz w:val="20"/>
                <w:szCs w:val="20"/>
                <w:vertAlign w:val="subscript"/>
                <w:lang w:bidi="ar"/>
              </w:rPr>
              <w:t>r</w:t>
            </w:r>
            <w:proofErr w:type="spellEnd"/>
          </w:p>
        </w:tc>
        <w:tc>
          <w:tcPr>
            <w:tcW w:w="443" w:type="pct"/>
            <w:tcBorders>
              <w:top w:val="nil"/>
              <w:left w:val="nil"/>
              <w:bottom w:val="nil"/>
              <w:right w:val="nil"/>
            </w:tcBorders>
            <w:vAlign w:val="center"/>
          </w:tcPr>
          <w:p w14:paraId="4029B782"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12</w:t>
            </w:r>
          </w:p>
        </w:tc>
        <w:tc>
          <w:tcPr>
            <w:tcW w:w="546" w:type="pct"/>
            <w:tcBorders>
              <w:top w:val="nil"/>
              <w:left w:val="nil"/>
              <w:bottom w:val="nil"/>
              <w:right w:val="nil"/>
            </w:tcBorders>
            <w:vAlign w:val="center"/>
          </w:tcPr>
          <w:p w14:paraId="4029B783"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24.2</w:t>
            </w:r>
          </w:p>
        </w:tc>
        <w:tc>
          <w:tcPr>
            <w:tcW w:w="404" w:type="pct"/>
            <w:tcBorders>
              <w:top w:val="nil"/>
              <w:left w:val="nil"/>
              <w:bottom w:val="nil"/>
              <w:right w:val="nil"/>
            </w:tcBorders>
            <w:vAlign w:val="center"/>
          </w:tcPr>
          <w:p w14:paraId="4029B784"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4.2</w:t>
            </w:r>
          </w:p>
        </w:tc>
        <w:tc>
          <w:tcPr>
            <w:tcW w:w="428" w:type="pct"/>
            <w:tcBorders>
              <w:top w:val="nil"/>
              <w:left w:val="nil"/>
              <w:bottom w:val="nil"/>
              <w:right w:val="nil"/>
            </w:tcBorders>
            <w:vAlign w:val="center"/>
          </w:tcPr>
          <w:p w14:paraId="4029B785"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31</w:t>
            </w:r>
          </w:p>
        </w:tc>
        <w:tc>
          <w:tcPr>
            <w:tcW w:w="443" w:type="pct"/>
            <w:tcBorders>
              <w:top w:val="nil"/>
              <w:left w:val="nil"/>
              <w:bottom w:val="nil"/>
              <w:right w:val="nil"/>
            </w:tcBorders>
            <w:vAlign w:val="center"/>
          </w:tcPr>
          <w:p w14:paraId="4029B786"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8</w:t>
            </w:r>
          </w:p>
        </w:tc>
        <w:tc>
          <w:tcPr>
            <w:tcW w:w="631" w:type="pct"/>
            <w:tcBorders>
              <w:top w:val="nil"/>
              <w:left w:val="nil"/>
              <w:bottom w:val="nil"/>
              <w:right w:val="nil"/>
            </w:tcBorders>
            <w:vAlign w:val="center"/>
          </w:tcPr>
          <w:p w14:paraId="4029B787"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3</w:t>
            </w:r>
          </w:p>
        </w:tc>
        <w:tc>
          <w:tcPr>
            <w:tcW w:w="396" w:type="pct"/>
            <w:tcBorders>
              <w:top w:val="nil"/>
              <w:left w:val="nil"/>
              <w:bottom w:val="nil"/>
              <w:right w:val="nil"/>
            </w:tcBorders>
            <w:vAlign w:val="center"/>
          </w:tcPr>
          <w:p w14:paraId="4029B788"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12.5</w:t>
            </w:r>
          </w:p>
        </w:tc>
      </w:tr>
      <w:tr w:rsidR="00676DB5" w14:paraId="4029B792" w14:textId="77777777">
        <w:trPr>
          <w:trHeight w:val="357"/>
        </w:trPr>
        <w:tc>
          <w:tcPr>
            <w:tcW w:w="1706" w:type="pct"/>
            <w:tcBorders>
              <w:top w:val="nil"/>
              <w:left w:val="nil"/>
              <w:bottom w:val="nil"/>
              <w:right w:val="nil"/>
            </w:tcBorders>
            <w:vAlign w:val="center"/>
          </w:tcPr>
          <w:p w14:paraId="4029B78A" w14:textId="77777777" w:rsidR="00676DB5" w:rsidRDefault="00BF6DCE">
            <w:pPr>
              <w:widowControl/>
              <w:adjustRightInd w:val="0"/>
              <w:snapToGrid w:val="0"/>
              <w:spacing w:line="360" w:lineRule="auto"/>
              <w:jc w:val="left"/>
              <w:rPr>
                <w:rFonts w:ascii="Times New Roman" w:hAnsi="Times New Roman" w:cs="Times New Roman"/>
                <w:sz w:val="20"/>
                <w:szCs w:val="20"/>
              </w:rPr>
            </w:pPr>
            <w:r>
              <w:rPr>
                <w:rFonts w:ascii="Times New Roman" w:eastAsia="STIX-Regular" w:hAnsi="Times New Roman" w:cs="Times New Roman"/>
                <w:color w:val="000000"/>
                <w:kern w:val="0"/>
                <w:sz w:val="20"/>
                <w:szCs w:val="20"/>
                <w:lang w:bidi="ar"/>
              </w:rPr>
              <w:t xml:space="preserve">Effective density of states, conduction band </w:t>
            </w:r>
            <w:r>
              <w:rPr>
                <w:rFonts w:ascii="Times New Roman" w:eastAsia="STIX-Regular" w:hAnsi="Times New Roman" w:cs="Times New Roman"/>
                <w:b/>
                <w:bCs/>
                <w:color w:val="000000"/>
                <w:kern w:val="0"/>
                <w:sz w:val="20"/>
                <w:szCs w:val="20"/>
                <w:lang w:bidi="ar"/>
              </w:rPr>
              <w:t>N</w:t>
            </w:r>
            <w:r>
              <w:rPr>
                <w:rFonts w:ascii="Times New Roman" w:eastAsia="STIX-Regular" w:hAnsi="Times New Roman" w:cs="Times New Roman"/>
                <w:b/>
                <w:bCs/>
                <w:color w:val="000000"/>
                <w:kern w:val="0"/>
                <w:sz w:val="20"/>
                <w:szCs w:val="20"/>
                <w:vertAlign w:val="subscript"/>
                <w:lang w:bidi="ar"/>
              </w:rPr>
              <w:t>c</w:t>
            </w:r>
            <w:r>
              <w:rPr>
                <w:rFonts w:ascii="Times New Roman" w:eastAsia="STIX-Regular" w:hAnsi="Times New Roman" w:cs="Times New Roman"/>
                <w:b/>
                <w:bCs/>
                <w:color w:val="000000"/>
                <w:kern w:val="0"/>
                <w:sz w:val="20"/>
                <w:szCs w:val="20"/>
                <w:lang w:bidi="ar"/>
              </w:rPr>
              <w:t xml:space="preserve"> (cm</w:t>
            </w:r>
            <w:r>
              <w:rPr>
                <w:rFonts w:ascii="Times New Roman" w:eastAsia="STIX-Regular" w:hAnsi="Times New Roman" w:cs="Times New Roman"/>
                <w:b/>
                <w:bCs/>
                <w:color w:val="000000"/>
                <w:kern w:val="0"/>
                <w:sz w:val="20"/>
                <w:szCs w:val="20"/>
                <w:vertAlign w:val="superscript"/>
                <w:lang w:bidi="ar"/>
              </w:rPr>
              <w:t>-3</w:t>
            </w:r>
            <w:r>
              <w:rPr>
                <w:rFonts w:ascii="Times New Roman" w:eastAsia="STIX-Regular" w:hAnsi="Times New Roman" w:cs="Times New Roman"/>
                <w:b/>
                <w:bCs/>
                <w:color w:val="000000"/>
                <w:kern w:val="0"/>
                <w:sz w:val="20"/>
                <w:szCs w:val="20"/>
                <w:lang w:bidi="ar"/>
              </w:rPr>
              <w:t>)</w:t>
            </w:r>
          </w:p>
        </w:tc>
        <w:tc>
          <w:tcPr>
            <w:tcW w:w="443" w:type="pct"/>
            <w:tcBorders>
              <w:top w:val="nil"/>
              <w:left w:val="nil"/>
              <w:bottom w:val="nil"/>
              <w:right w:val="nil"/>
            </w:tcBorders>
            <w:vAlign w:val="center"/>
          </w:tcPr>
          <w:p w14:paraId="4029B78B"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1e17</w:t>
            </w:r>
          </w:p>
        </w:tc>
        <w:tc>
          <w:tcPr>
            <w:tcW w:w="546" w:type="pct"/>
            <w:tcBorders>
              <w:top w:val="nil"/>
              <w:left w:val="nil"/>
              <w:bottom w:val="nil"/>
              <w:right w:val="nil"/>
            </w:tcBorders>
            <w:vAlign w:val="center"/>
          </w:tcPr>
          <w:p w14:paraId="4029B78C"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2.5e18</w:t>
            </w:r>
          </w:p>
        </w:tc>
        <w:tc>
          <w:tcPr>
            <w:tcW w:w="404" w:type="pct"/>
            <w:tcBorders>
              <w:top w:val="nil"/>
              <w:left w:val="nil"/>
              <w:bottom w:val="nil"/>
              <w:right w:val="nil"/>
            </w:tcBorders>
            <w:vAlign w:val="center"/>
          </w:tcPr>
          <w:p w14:paraId="4029B78D"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1e20</w:t>
            </w:r>
          </w:p>
        </w:tc>
        <w:tc>
          <w:tcPr>
            <w:tcW w:w="428" w:type="pct"/>
            <w:tcBorders>
              <w:top w:val="nil"/>
              <w:left w:val="nil"/>
              <w:bottom w:val="nil"/>
              <w:right w:val="nil"/>
            </w:tcBorders>
            <w:vAlign w:val="center"/>
          </w:tcPr>
          <w:p w14:paraId="4029B78E"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1e20</w:t>
            </w:r>
          </w:p>
        </w:tc>
        <w:tc>
          <w:tcPr>
            <w:tcW w:w="443" w:type="pct"/>
            <w:tcBorders>
              <w:top w:val="nil"/>
              <w:left w:val="nil"/>
              <w:bottom w:val="nil"/>
              <w:right w:val="nil"/>
            </w:tcBorders>
            <w:vAlign w:val="center"/>
          </w:tcPr>
          <w:p w14:paraId="4029B78F"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3.16e18</w:t>
            </w:r>
          </w:p>
        </w:tc>
        <w:tc>
          <w:tcPr>
            <w:tcW w:w="631" w:type="pct"/>
            <w:tcBorders>
              <w:top w:val="nil"/>
              <w:left w:val="nil"/>
              <w:bottom w:val="nil"/>
              <w:right w:val="nil"/>
            </w:tcBorders>
            <w:vAlign w:val="center"/>
          </w:tcPr>
          <w:p w14:paraId="4029B790"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1e20</w:t>
            </w:r>
          </w:p>
        </w:tc>
        <w:tc>
          <w:tcPr>
            <w:tcW w:w="396" w:type="pct"/>
            <w:tcBorders>
              <w:top w:val="nil"/>
              <w:left w:val="nil"/>
              <w:bottom w:val="nil"/>
              <w:right w:val="nil"/>
            </w:tcBorders>
            <w:vAlign w:val="center"/>
          </w:tcPr>
          <w:p w14:paraId="4029B791"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2.2e18</w:t>
            </w:r>
          </w:p>
        </w:tc>
      </w:tr>
      <w:tr w:rsidR="00676DB5" w14:paraId="4029B79B" w14:textId="77777777">
        <w:trPr>
          <w:trHeight w:val="357"/>
        </w:trPr>
        <w:tc>
          <w:tcPr>
            <w:tcW w:w="1706" w:type="pct"/>
            <w:tcBorders>
              <w:top w:val="nil"/>
              <w:left w:val="nil"/>
              <w:bottom w:val="nil"/>
              <w:right w:val="nil"/>
            </w:tcBorders>
            <w:vAlign w:val="center"/>
          </w:tcPr>
          <w:p w14:paraId="4029B793" w14:textId="77777777" w:rsidR="00676DB5" w:rsidRDefault="00BF6DCE">
            <w:pPr>
              <w:widowControl/>
              <w:adjustRightInd w:val="0"/>
              <w:snapToGrid w:val="0"/>
              <w:spacing w:line="360" w:lineRule="auto"/>
              <w:jc w:val="left"/>
              <w:rPr>
                <w:rFonts w:ascii="Times New Roman" w:hAnsi="Times New Roman" w:cs="Times New Roman"/>
                <w:sz w:val="20"/>
                <w:szCs w:val="20"/>
              </w:rPr>
            </w:pPr>
            <w:r>
              <w:rPr>
                <w:rFonts w:ascii="Times New Roman" w:eastAsia="STIX-Regular" w:hAnsi="Times New Roman" w:cs="Times New Roman"/>
                <w:color w:val="000000"/>
                <w:kern w:val="0"/>
                <w:sz w:val="20"/>
                <w:szCs w:val="20"/>
                <w:lang w:bidi="ar"/>
              </w:rPr>
              <w:t xml:space="preserve">Effective density of states, valence band </w:t>
            </w:r>
            <w:r>
              <w:rPr>
                <w:rFonts w:ascii="Times New Roman" w:eastAsia="STIX-Regular" w:hAnsi="Times New Roman" w:cs="Times New Roman"/>
                <w:b/>
                <w:bCs/>
                <w:color w:val="000000"/>
                <w:kern w:val="0"/>
                <w:sz w:val="20"/>
                <w:szCs w:val="20"/>
                <w:lang w:bidi="ar"/>
              </w:rPr>
              <w:t>N</w:t>
            </w:r>
            <w:r>
              <w:rPr>
                <w:rFonts w:ascii="Times New Roman" w:eastAsia="宋体" w:hAnsi="Times New Roman" w:cs="Times New Roman" w:hint="eastAsia"/>
                <w:b/>
                <w:bCs/>
                <w:color w:val="000000"/>
                <w:kern w:val="0"/>
                <w:sz w:val="20"/>
                <w:szCs w:val="20"/>
                <w:vertAlign w:val="subscript"/>
                <w:lang w:bidi="ar"/>
              </w:rPr>
              <w:t>v</w:t>
            </w:r>
            <w:r>
              <w:rPr>
                <w:rFonts w:ascii="Times New Roman" w:eastAsia="STIX-Regular" w:hAnsi="Times New Roman" w:cs="Times New Roman"/>
                <w:b/>
                <w:bCs/>
                <w:color w:val="000000"/>
                <w:kern w:val="0"/>
                <w:sz w:val="20"/>
                <w:szCs w:val="20"/>
                <w:lang w:bidi="ar"/>
              </w:rPr>
              <w:t xml:space="preserve"> (cm</w:t>
            </w:r>
            <w:r>
              <w:rPr>
                <w:rFonts w:ascii="Times New Roman" w:eastAsia="STIX-Regular" w:hAnsi="Times New Roman" w:cs="Times New Roman"/>
                <w:b/>
                <w:bCs/>
                <w:color w:val="000000"/>
                <w:kern w:val="0"/>
                <w:sz w:val="20"/>
                <w:szCs w:val="20"/>
                <w:vertAlign w:val="superscript"/>
                <w:lang w:bidi="ar"/>
              </w:rPr>
              <w:t>-3</w:t>
            </w:r>
            <w:r>
              <w:rPr>
                <w:rFonts w:ascii="Times New Roman" w:eastAsia="STIX-Regular" w:hAnsi="Times New Roman" w:cs="Times New Roman"/>
                <w:b/>
                <w:bCs/>
                <w:color w:val="000000"/>
                <w:kern w:val="0"/>
                <w:sz w:val="20"/>
                <w:szCs w:val="20"/>
                <w:lang w:bidi="ar"/>
              </w:rPr>
              <w:t>)</w:t>
            </w:r>
          </w:p>
        </w:tc>
        <w:tc>
          <w:tcPr>
            <w:tcW w:w="443" w:type="pct"/>
            <w:tcBorders>
              <w:top w:val="nil"/>
              <w:left w:val="nil"/>
              <w:bottom w:val="nil"/>
              <w:right w:val="nil"/>
            </w:tcBorders>
            <w:vAlign w:val="center"/>
          </w:tcPr>
          <w:p w14:paraId="4029B794"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1e20</w:t>
            </w:r>
          </w:p>
        </w:tc>
        <w:tc>
          <w:tcPr>
            <w:tcW w:w="546" w:type="pct"/>
            <w:tcBorders>
              <w:top w:val="nil"/>
              <w:left w:val="nil"/>
              <w:bottom w:val="nil"/>
              <w:right w:val="nil"/>
            </w:tcBorders>
            <w:vAlign w:val="center"/>
          </w:tcPr>
          <w:p w14:paraId="4029B795"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7e18</w:t>
            </w:r>
          </w:p>
        </w:tc>
        <w:tc>
          <w:tcPr>
            <w:tcW w:w="404" w:type="pct"/>
            <w:tcBorders>
              <w:top w:val="nil"/>
              <w:left w:val="nil"/>
              <w:bottom w:val="nil"/>
              <w:right w:val="nil"/>
            </w:tcBorders>
            <w:vAlign w:val="center"/>
          </w:tcPr>
          <w:p w14:paraId="4029B796"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1e20</w:t>
            </w:r>
          </w:p>
        </w:tc>
        <w:tc>
          <w:tcPr>
            <w:tcW w:w="428" w:type="pct"/>
            <w:tcBorders>
              <w:top w:val="nil"/>
              <w:left w:val="nil"/>
              <w:bottom w:val="nil"/>
              <w:right w:val="nil"/>
            </w:tcBorders>
            <w:vAlign w:val="center"/>
          </w:tcPr>
          <w:p w14:paraId="4029B797"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1e20</w:t>
            </w:r>
          </w:p>
        </w:tc>
        <w:tc>
          <w:tcPr>
            <w:tcW w:w="443" w:type="pct"/>
            <w:tcBorders>
              <w:top w:val="nil"/>
              <w:left w:val="nil"/>
              <w:bottom w:val="nil"/>
              <w:right w:val="nil"/>
            </w:tcBorders>
            <w:vAlign w:val="center"/>
          </w:tcPr>
          <w:p w14:paraId="4029B798"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2.5e19</w:t>
            </w:r>
          </w:p>
        </w:tc>
        <w:tc>
          <w:tcPr>
            <w:tcW w:w="631" w:type="pct"/>
            <w:tcBorders>
              <w:top w:val="nil"/>
              <w:left w:val="nil"/>
              <w:bottom w:val="nil"/>
              <w:right w:val="nil"/>
            </w:tcBorders>
            <w:vAlign w:val="center"/>
          </w:tcPr>
          <w:p w14:paraId="4029B799"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1e20</w:t>
            </w:r>
          </w:p>
        </w:tc>
        <w:tc>
          <w:tcPr>
            <w:tcW w:w="396" w:type="pct"/>
            <w:tcBorders>
              <w:top w:val="nil"/>
              <w:left w:val="nil"/>
              <w:bottom w:val="nil"/>
              <w:right w:val="nil"/>
            </w:tcBorders>
            <w:vAlign w:val="center"/>
          </w:tcPr>
          <w:p w14:paraId="4029B79A"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1.8e19</w:t>
            </w:r>
          </w:p>
        </w:tc>
      </w:tr>
      <w:tr w:rsidR="00676DB5" w14:paraId="4029B7A4" w14:textId="77777777">
        <w:trPr>
          <w:trHeight w:val="357"/>
        </w:trPr>
        <w:tc>
          <w:tcPr>
            <w:tcW w:w="1706" w:type="pct"/>
            <w:tcBorders>
              <w:top w:val="nil"/>
              <w:left w:val="nil"/>
              <w:bottom w:val="nil"/>
              <w:right w:val="nil"/>
            </w:tcBorders>
            <w:vAlign w:val="center"/>
          </w:tcPr>
          <w:p w14:paraId="4029B79C" w14:textId="77777777" w:rsidR="00676DB5" w:rsidRDefault="00BF6DCE">
            <w:pPr>
              <w:widowControl/>
              <w:adjustRightInd w:val="0"/>
              <w:snapToGrid w:val="0"/>
              <w:spacing w:line="360" w:lineRule="auto"/>
              <w:jc w:val="left"/>
              <w:rPr>
                <w:rFonts w:ascii="Times New Roman" w:hAnsi="Times New Roman" w:cs="Times New Roman"/>
                <w:color w:val="000000"/>
                <w:kern w:val="0"/>
                <w:sz w:val="20"/>
                <w:szCs w:val="20"/>
                <w:lang w:bidi="ar"/>
              </w:rPr>
            </w:pPr>
            <w:r>
              <w:rPr>
                <w:rFonts w:ascii="Times New Roman" w:eastAsia="STIX-Regular" w:hAnsi="Times New Roman" w:cs="Times New Roman"/>
                <w:color w:val="000000"/>
                <w:kern w:val="0"/>
                <w:sz w:val="20"/>
                <w:szCs w:val="20"/>
                <w:lang w:bidi="ar"/>
              </w:rPr>
              <w:t>Electron mobility</w:t>
            </w:r>
            <w:r>
              <w:rPr>
                <w:rFonts w:ascii="Times New Roman" w:hAnsi="Times New Roman" w:cs="Times New Roman" w:hint="eastAsia"/>
                <w:color w:val="000000"/>
                <w:kern w:val="0"/>
                <w:sz w:val="20"/>
                <w:szCs w:val="20"/>
                <w:lang w:bidi="ar"/>
              </w:rPr>
              <w:t xml:space="preserve"> </w:t>
            </w:r>
            <w:r>
              <w:rPr>
                <w:rFonts w:ascii="Times New Roman" w:eastAsia="STIX-Regular" w:hAnsi="Times New Roman" w:cs="Times New Roman"/>
                <w:b/>
                <w:bCs/>
                <w:color w:val="000000"/>
                <w:kern w:val="0"/>
                <w:sz w:val="20"/>
                <w:szCs w:val="20"/>
                <w:lang w:bidi="ar"/>
              </w:rPr>
              <w:t>µ</w:t>
            </w:r>
            <w:r>
              <w:rPr>
                <w:rFonts w:ascii="Times New Roman" w:eastAsia="STIX-Regular" w:hAnsi="Times New Roman" w:cs="Times New Roman"/>
                <w:b/>
                <w:bCs/>
                <w:color w:val="000000"/>
                <w:kern w:val="0"/>
                <w:sz w:val="20"/>
                <w:szCs w:val="20"/>
                <w:vertAlign w:val="subscript"/>
                <w:lang w:bidi="ar"/>
              </w:rPr>
              <w:t>n</w:t>
            </w:r>
            <w:r>
              <w:rPr>
                <w:rFonts w:ascii="Times New Roman" w:eastAsia="STIX-Regular" w:hAnsi="Times New Roman" w:cs="Times New Roman"/>
                <w:b/>
                <w:bCs/>
                <w:color w:val="000000"/>
                <w:kern w:val="0"/>
                <w:sz w:val="20"/>
                <w:szCs w:val="20"/>
                <w:lang w:bidi="ar"/>
              </w:rPr>
              <w:t xml:space="preserve"> (cm/s)</w:t>
            </w:r>
          </w:p>
        </w:tc>
        <w:tc>
          <w:tcPr>
            <w:tcW w:w="443" w:type="pct"/>
            <w:tcBorders>
              <w:top w:val="nil"/>
              <w:left w:val="nil"/>
              <w:bottom w:val="nil"/>
              <w:right w:val="nil"/>
            </w:tcBorders>
            <w:vAlign w:val="center"/>
          </w:tcPr>
          <w:p w14:paraId="4029B79D"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1e-6</w:t>
            </w:r>
          </w:p>
        </w:tc>
        <w:tc>
          <w:tcPr>
            <w:tcW w:w="546" w:type="pct"/>
            <w:tcBorders>
              <w:top w:val="nil"/>
              <w:left w:val="nil"/>
              <w:bottom w:val="nil"/>
              <w:right w:val="nil"/>
            </w:tcBorders>
            <w:vAlign w:val="center"/>
          </w:tcPr>
          <w:p w14:paraId="4029B79E"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2</w:t>
            </w:r>
          </w:p>
        </w:tc>
        <w:tc>
          <w:tcPr>
            <w:tcW w:w="404" w:type="pct"/>
            <w:tcBorders>
              <w:top w:val="nil"/>
              <w:left w:val="nil"/>
              <w:bottom w:val="nil"/>
              <w:right w:val="nil"/>
            </w:tcBorders>
            <w:vAlign w:val="center"/>
          </w:tcPr>
          <w:p w14:paraId="4029B79F"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1e-2</w:t>
            </w:r>
            <w:r>
              <w:rPr>
                <w:rFonts w:ascii="Times New Roman" w:hAnsi="Times New Roman" w:cs="Times New Roman"/>
                <w:sz w:val="20"/>
                <w:szCs w:val="20"/>
                <w:vertAlign w:val="superscript"/>
              </w:rPr>
              <w:t>9</w:t>
            </w:r>
          </w:p>
        </w:tc>
        <w:tc>
          <w:tcPr>
            <w:tcW w:w="428" w:type="pct"/>
            <w:tcBorders>
              <w:top w:val="nil"/>
              <w:left w:val="nil"/>
              <w:bottom w:val="nil"/>
              <w:right w:val="nil"/>
            </w:tcBorders>
            <w:vAlign w:val="center"/>
          </w:tcPr>
          <w:p w14:paraId="4029B7A0"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1e-2</w:t>
            </w:r>
          </w:p>
        </w:tc>
        <w:tc>
          <w:tcPr>
            <w:tcW w:w="443" w:type="pct"/>
            <w:tcBorders>
              <w:top w:val="nil"/>
              <w:left w:val="nil"/>
              <w:bottom w:val="nil"/>
              <w:right w:val="nil"/>
            </w:tcBorders>
            <w:vAlign w:val="center"/>
          </w:tcPr>
          <w:p w14:paraId="4029B7A1"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20</w:t>
            </w:r>
          </w:p>
        </w:tc>
        <w:tc>
          <w:tcPr>
            <w:tcW w:w="631" w:type="pct"/>
            <w:tcBorders>
              <w:top w:val="nil"/>
              <w:left w:val="nil"/>
              <w:bottom w:val="nil"/>
              <w:right w:val="nil"/>
            </w:tcBorders>
            <w:vAlign w:val="center"/>
          </w:tcPr>
          <w:p w14:paraId="4029B7A2"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1e-6</w:t>
            </w:r>
          </w:p>
        </w:tc>
        <w:tc>
          <w:tcPr>
            <w:tcW w:w="396" w:type="pct"/>
            <w:tcBorders>
              <w:top w:val="nil"/>
              <w:left w:val="nil"/>
              <w:bottom w:val="nil"/>
              <w:right w:val="nil"/>
            </w:tcBorders>
            <w:vAlign w:val="center"/>
          </w:tcPr>
          <w:p w14:paraId="4029B7A3"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25</w:t>
            </w:r>
          </w:p>
        </w:tc>
      </w:tr>
      <w:tr w:rsidR="00676DB5" w14:paraId="4029B7AD" w14:textId="77777777">
        <w:trPr>
          <w:trHeight w:val="357"/>
        </w:trPr>
        <w:tc>
          <w:tcPr>
            <w:tcW w:w="1706" w:type="pct"/>
            <w:tcBorders>
              <w:top w:val="nil"/>
              <w:left w:val="nil"/>
              <w:bottom w:val="nil"/>
              <w:right w:val="nil"/>
            </w:tcBorders>
            <w:vAlign w:val="center"/>
          </w:tcPr>
          <w:p w14:paraId="4029B7A5" w14:textId="77777777" w:rsidR="00676DB5" w:rsidRDefault="00BF6DCE">
            <w:pPr>
              <w:widowControl/>
              <w:adjustRightInd w:val="0"/>
              <w:snapToGrid w:val="0"/>
              <w:spacing w:line="360" w:lineRule="auto"/>
              <w:jc w:val="left"/>
              <w:rPr>
                <w:rFonts w:ascii="Times New Roman" w:hAnsi="Times New Roman" w:cs="Times New Roman"/>
                <w:color w:val="000000"/>
                <w:kern w:val="0"/>
                <w:sz w:val="20"/>
                <w:szCs w:val="20"/>
                <w:lang w:bidi="ar"/>
              </w:rPr>
            </w:pPr>
            <w:r>
              <w:rPr>
                <w:rFonts w:ascii="Times New Roman" w:eastAsia="STIX-Regular" w:hAnsi="Times New Roman" w:cs="Times New Roman"/>
                <w:color w:val="000000"/>
                <w:kern w:val="0"/>
                <w:sz w:val="20"/>
                <w:szCs w:val="20"/>
                <w:lang w:bidi="ar"/>
              </w:rPr>
              <w:t>Hole mobility</w:t>
            </w:r>
            <w:r>
              <w:rPr>
                <w:rFonts w:ascii="Times New Roman" w:hAnsi="Times New Roman" w:cs="Times New Roman" w:hint="eastAsia"/>
                <w:color w:val="000000"/>
                <w:kern w:val="0"/>
                <w:sz w:val="20"/>
                <w:szCs w:val="20"/>
                <w:lang w:bidi="ar"/>
              </w:rPr>
              <w:t xml:space="preserve"> </w:t>
            </w:r>
            <w:r>
              <w:rPr>
                <w:rFonts w:ascii="Times New Roman" w:eastAsia="STIX-Regular" w:hAnsi="Times New Roman" w:cs="Times New Roman"/>
                <w:b/>
                <w:bCs/>
                <w:color w:val="000000"/>
                <w:kern w:val="0"/>
                <w:sz w:val="20"/>
                <w:szCs w:val="20"/>
                <w:lang w:bidi="ar"/>
              </w:rPr>
              <w:t>µ</w:t>
            </w:r>
            <w:r>
              <w:rPr>
                <w:rFonts w:ascii="Times New Roman" w:eastAsia="STIX-Regular" w:hAnsi="Times New Roman" w:cs="Times New Roman"/>
                <w:b/>
                <w:bCs/>
                <w:color w:val="000000"/>
                <w:kern w:val="0"/>
                <w:sz w:val="20"/>
                <w:szCs w:val="20"/>
                <w:vertAlign w:val="subscript"/>
                <w:lang w:bidi="ar"/>
              </w:rPr>
              <w:t>h</w:t>
            </w:r>
            <w:r>
              <w:rPr>
                <w:rFonts w:ascii="Times New Roman" w:eastAsia="STIX-Regular" w:hAnsi="Times New Roman" w:cs="Times New Roman"/>
                <w:b/>
                <w:bCs/>
                <w:color w:val="000000"/>
                <w:kern w:val="0"/>
                <w:sz w:val="20"/>
                <w:szCs w:val="20"/>
                <w:lang w:bidi="ar"/>
              </w:rPr>
              <w:t xml:space="preserve"> (cm/s)</w:t>
            </w:r>
          </w:p>
        </w:tc>
        <w:tc>
          <w:tcPr>
            <w:tcW w:w="443" w:type="pct"/>
            <w:tcBorders>
              <w:top w:val="nil"/>
              <w:left w:val="nil"/>
              <w:bottom w:val="nil"/>
              <w:right w:val="nil"/>
            </w:tcBorders>
            <w:vAlign w:val="center"/>
          </w:tcPr>
          <w:p w14:paraId="4029B7A6"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sz w:val="20"/>
                <w:szCs w:val="20"/>
              </w:rPr>
              <w:t>3</w:t>
            </w:r>
            <w:r>
              <w:rPr>
                <w:rFonts w:ascii="Times New Roman" w:hAnsi="Times New Roman" w:cs="Times New Roman" w:hint="eastAsia"/>
                <w:sz w:val="20"/>
                <w:szCs w:val="20"/>
              </w:rPr>
              <w:t>e-2</w:t>
            </w:r>
          </w:p>
        </w:tc>
        <w:tc>
          <w:tcPr>
            <w:tcW w:w="546" w:type="pct"/>
            <w:tcBorders>
              <w:top w:val="nil"/>
              <w:left w:val="nil"/>
              <w:bottom w:val="nil"/>
              <w:right w:val="nil"/>
            </w:tcBorders>
            <w:vAlign w:val="center"/>
          </w:tcPr>
          <w:p w14:paraId="4029B7A7"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404" w:type="pct"/>
            <w:tcBorders>
              <w:top w:val="nil"/>
              <w:left w:val="nil"/>
              <w:bottom w:val="nil"/>
              <w:right w:val="nil"/>
            </w:tcBorders>
            <w:vAlign w:val="center"/>
          </w:tcPr>
          <w:p w14:paraId="4029B7A8"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1e-2</w:t>
            </w:r>
          </w:p>
        </w:tc>
        <w:tc>
          <w:tcPr>
            <w:tcW w:w="428" w:type="pct"/>
            <w:tcBorders>
              <w:top w:val="nil"/>
              <w:left w:val="nil"/>
              <w:bottom w:val="nil"/>
              <w:right w:val="nil"/>
            </w:tcBorders>
            <w:vAlign w:val="center"/>
          </w:tcPr>
          <w:p w14:paraId="4029B7A9"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5e-2</w:t>
            </w:r>
          </w:p>
        </w:tc>
        <w:tc>
          <w:tcPr>
            <w:tcW w:w="443" w:type="pct"/>
            <w:tcBorders>
              <w:top w:val="nil"/>
              <w:left w:val="nil"/>
              <w:bottom w:val="nil"/>
              <w:right w:val="nil"/>
            </w:tcBorders>
            <w:vAlign w:val="center"/>
          </w:tcPr>
          <w:p w14:paraId="4029B7AA"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sz w:val="20"/>
                <w:szCs w:val="20"/>
              </w:rPr>
              <w:t>10</w:t>
            </w:r>
          </w:p>
        </w:tc>
        <w:tc>
          <w:tcPr>
            <w:tcW w:w="631" w:type="pct"/>
            <w:tcBorders>
              <w:top w:val="nil"/>
              <w:left w:val="nil"/>
              <w:bottom w:val="nil"/>
              <w:right w:val="nil"/>
            </w:tcBorders>
            <w:vAlign w:val="center"/>
          </w:tcPr>
          <w:p w14:paraId="4029B7AB"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5.7e-5</w:t>
            </w:r>
          </w:p>
        </w:tc>
        <w:tc>
          <w:tcPr>
            <w:tcW w:w="396" w:type="pct"/>
            <w:tcBorders>
              <w:top w:val="nil"/>
              <w:left w:val="nil"/>
              <w:bottom w:val="nil"/>
              <w:right w:val="nil"/>
            </w:tcBorders>
            <w:vAlign w:val="center"/>
          </w:tcPr>
          <w:p w14:paraId="4029B7AC"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100</w:t>
            </w:r>
          </w:p>
        </w:tc>
      </w:tr>
      <w:tr w:rsidR="00676DB5" w14:paraId="4029B7B6" w14:textId="77777777">
        <w:trPr>
          <w:trHeight w:val="357"/>
        </w:trPr>
        <w:tc>
          <w:tcPr>
            <w:tcW w:w="1706" w:type="pct"/>
            <w:tcBorders>
              <w:top w:val="nil"/>
              <w:left w:val="nil"/>
              <w:bottom w:val="nil"/>
              <w:right w:val="nil"/>
            </w:tcBorders>
            <w:vAlign w:val="center"/>
          </w:tcPr>
          <w:p w14:paraId="4029B7AE" w14:textId="77777777" w:rsidR="00676DB5" w:rsidRDefault="00BF6DCE">
            <w:pPr>
              <w:widowControl/>
              <w:adjustRightInd w:val="0"/>
              <w:snapToGrid w:val="0"/>
              <w:spacing w:line="360" w:lineRule="auto"/>
              <w:jc w:val="left"/>
              <w:rPr>
                <w:rFonts w:ascii="Times New Roman" w:hAnsi="Times New Roman" w:cs="Times New Roman"/>
                <w:color w:val="000000"/>
                <w:kern w:val="0"/>
                <w:sz w:val="20"/>
                <w:szCs w:val="20"/>
                <w:lang w:bidi="ar"/>
              </w:rPr>
            </w:pPr>
            <w:r>
              <w:rPr>
                <w:rFonts w:ascii="Times New Roman" w:eastAsia="STIX-Regular" w:hAnsi="Times New Roman" w:cs="Times New Roman"/>
                <w:color w:val="000000"/>
                <w:kern w:val="0"/>
                <w:sz w:val="20"/>
                <w:szCs w:val="20"/>
                <w:lang w:bidi="ar"/>
              </w:rPr>
              <w:t>Donor concentration</w:t>
            </w:r>
            <w:r>
              <w:rPr>
                <w:rFonts w:ascii="Times New Roman" w:hAnsi="Times New Roman" w:cs="Times New Roman" w:hint="eastAsia"/>
                <w:color w:val="000000"/>
                <w:kern w:val="0"/>
                <w:sz w:val="20"/>
                <w:szCs w:val="20"/>
                <w:lang w:bidi="ar"/>
              </w:rPr>
              <w:t xml:space="preserve"> </w:t>
            </w:r>
            <w:r>
              <w:rPr>
                <w:rFonts w:ascii="Times New Roman" w:eastAsia="STIX-Regular" w:hAnsi="Times New Roman" w:cs="Times New Roman"/>
                <w:b/>
                <w:bCs/>
                <w:color w:val="000000"/>
                <w:kern w:val="0"/>
                <w:sz w:val="20"/>
                <w:szCs w:val="20"/>
                <w:lang w:bidi="ar"/>
              </w:rPr>
              <w:t>N</w:t>
            </w:r>
            <w:r>
              <w:rPr>
                <w:rFonts w:ascii="Times New Roman" w:eastAsia="STIX-Regular" w:hAnsi="Times New Roman" w:cs="Times New Roman"/>
                <w:b/>
                <w:bCs/>
                <w:color w:val="000000"/>
                <w:kern w:val="0"/>
                <w:sz w:val="20"/>
                <w:szCs w:val="20"/>
                <w:vertAlign w:val="subscript"/>
                <w:lang w:bidi="ar"/>
              </w:rPr>
              <w:t>D</w:t>
            </w:r>
            <w:r>
              <w:rPr>
                <w:rFonts w:ascii="Times New Roman" w:eastAsia="STIX-Regular" w:hAnsi="Times New Roman" w:cs="Times New Roman"/>
                <w:b/>
                <w:bCs/>
                <w:color w:val="000000"/>
                <w:kern w:val="0"/>
                <w:sz w:val="20"/>
                <w:szCs w:val="20"/>
                <w:lang w:bidi="ar"/>
              </w:rPr>
              <w:t xml:space="preserve"> (cm</w:t>
            </w:r>
            <w:r>
              <w:rPr>
                <w:rFonts w:ascii="Times New Roman" w:eastAsia="STIX-Regular" w:hAnsi="Times New Roman" w:cs="Times New Roman"/>
                <w:b/>
                <w:bCs/>
                <w:color w:val="000000"/>
                <w:kern w:val="0"/>
                <w:sz w:val="20"/>
                <w:szCs w:val="20"/>
                <w:vertAlign w:val="superscript"/>
                <w:lang w:bidi="ar"/>
              </w:rPr>
              <w:t>-3</w:t>
            </w:r>
            <w:r>
              <w:rPr>
                <w:rFonts w:ascii="Times New Roman" w:eastAsia="STIX-Regular" w:hAnsi="Times New Roman" w:cs="Times New Roman"/>
                <w:b/>
                <w:bCs/>
                <w:color w:val="000000"/>
                <w:kern w:val="0"/>
                <w:sz w:val="20"/>
                <w:szCs w:val="20"/>
                <w:lang w:bidi="ar"/>
              </w:rPr>
              <w:t>)</w:t>
            </w:r>
          </w:p>
        </w:tc>
        <w:tc>
          <w:tcPr>
            <w:tcW w:w="443" w:type="pct"/>
            <w:tcBorders>
              <w:top w:val="nil"/>
              <w:left w:val="nil"/>
              <w:bottom w:val="nil"/>
              <w:right w:val="nil"/>
            </w:tcBorders>
            <w:vAlign w:val="center"/>
          </w:tcPr>
          <w:p w14:paraId="4029B7AF"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w:t>
            </w:r>
          </w:p>
        </w:tc>
        <w:tc>
          <w:tcPr>
            <w:tcW w:w="546" w:type="pct"/>
            <w:tcBorders>
              <w:top w:val="nil"/>
              <w:left w:val="nil"/>
              <w:bottom w:val="nil"/>
              <w:right w:val="nil"/>
            </w:tcBorders>
            <w:vAlign w:val="center"/>
          </w:tcPr>
          <w:p w14:paraId="4029B7B0"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w:t>
            </w:r>
          </w:p>
        </w:tc>
        <w:tc>
          <w:tcPr>
            <w:tcW w:w="404" w:type="pct"/>
            <w:tcBorders>
              <w:top w:val="nil"/>
              <w:left w:val="nil"/>
              <w:bottom w:val="nil"/>
              <w:right w:val="nil"/>
            </w:tcBorders>
            <w:vAlign w:val="center"/>
          </w:tcPr>
          <w:p w14:paraId="4029B7B1"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1e19</w:t>
            </w:r>
          </w:p>
        </w:tc>
        <w:tc>
          <w:tcPr>
            <w:tcW w:w="428" w:type="pct"/>
            <w:tcBorders>
              <w:top w:val="nil"/>
              <w:left w:val="nil"/>
              <w:bottom w:val="nil"/>
              <w:right w:val="nil"/>
            </w:tcBorders>
            <w:vAlign w:val="center"/>
          </w:tcPr>
          <w:p w14:paraId="4029B7B2"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1e19</w:t>
            </w:r>
          </w:p>
        </w:tc>
        <w:tc>
          <w:tcPr>
            <w:tcW w:w="443" w:type="pct"/>
            <w:tcBorders>
              <w:top w:val="nil"/>
              <w:left w:val="nil"/>
              <w:bottom w:val="nil"/>
              <w:right w:val="nil"/>
            </w:tcBorders>
            <w:vAlign w:val="center"/>
          </w:tcPr>
          <w:p w14:paraId="4029B7B3"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1e18</w:t>
            </w:r>
          </w:p>
        </w:tc>
        <w:tc>
          <w:tcPr>
            <w:tcW w:w="631" w:type="pct"/>
            <w:tcBorders>
              <w:top w:val="nil"/>
              <w:left w:val="nil"/>
              <w:bottom w:val="nil"/>
              <w:right w:val="nil"/>
            </w:tcBorders>
            <w:vAlign w:val="center"/>
          </w:tcPr>
          <w:p w14:paraId="4029B7B4"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w:t>
            </w:r>
          </w:p>
        </w:tc>
        <w:tc>
          <w:tcPr>
            <w:tcW w:w="396" w:type="pct"/>
            <w:tcBorders>
              <w:top w:val="nil"/>
              <w:left w:val="nil"/>
              <w:bottom w:val="nil"/>
              <w:right w:val="nil"/>
            </w:tcBorders>
            <w:vAlign w:val="center"/>
          </w:tcPr>
          <w:p w14:paraId="4029B7B5"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w:t>
            </w:r>
          </w:p>
        </w:tc>
      </w:tr>
      <w:tr w:rsidR="00676DB5" w14:paraId="4029B7BF" w14:textId="77777777">
        <w:trPr>
          <w:trHeight w:val="357"/>
        </w:trPr>
        <w:tc>
          <w:tcPr>
            <w:tcW w:w="1706" w:type="pct"/>
            <w:tcBorders>
              <w:top w:val="nil"/>
              <w:left w:val="nil"/>
              <w:bottom w:val="single" w:sz="12" w:space="0" w:color="auto"/>
              <w:right w:val="nil"/>
            </w:tcBorders>
            <w:vAlign w:val="center"/>
          </w:tcPr>
          <w:p w14:paraId="4029B7B7" w14:textId="77777777" w:rsidR="00676DB5" w:rsidRDefault="00BF6DCE">
            <w:pPr>
              <w:widowControl/>
              <w:adjustRightInd w:val="0"/>
              <w:snapToGrid w:val="0"/>
              <w:spacing w:line="360" w:lineRule="auto"/>
              <w:jc w:val="left"/>
              <w:rPr>
                <w:rFonts w:ascii="Times New Roman" w:hAnsi="Times New Roman" w:cs="Times New Roman"/>
                <w:color w:val="000000"/>
                <w:kern w:val="0"/>
                <w:sz w:val="20"/>
                <w:szCs w:val="20"/>
                <w:lang w:bidi="ar"/>
              </w:rPr>
            </w:pPr>
            <w:r>
              <w:rPr>
                <w:rFonts w:ascii="Times New Roman" w:eastAsia="STIX-Regular" w:hAnsi="Times New Roman" w:cs="Times New Roman"/>
                <w:color w:val="000000"/>
                <w:kern w:val="0"/>
                <w:sz w:val="20"/>
                <w:szCs w:val="20"/>
                <w:lang w:bidi="ar"/>
              </w:rPr>
              <w:t>Acceptor concentration</w:t>
            </w:r>
            <w:r>
              <w:rPr>
                <w:rFonts w:ascii="Times New Roman" w:hAnsi="Times New Roman" w:cs="Times New Roman" w:hint="eastAsia"/>
                <w:color w:val="000000"/>
                <w:kern w:val="0"/>
                <w:sz w:val="20"/>
                <w:szCs w:val="20"/>
                <w:lang w:bidi="ar"/>
              </w:rPr>
              <w:t xml:space="preserve"> </w:t>
            </w:r>
            <w:r>
              <w:rPr>
                <w:rFonts w:ascii="Times New Roman" w:eastAsia="STIX-Regular" w:hAnsi="Times New Roman" w:cs="Times New Roman"/>
                <w:b/>
                <w:bCs/>
                <w:color w:val="000000"/>
                <w:kern w:val="0"/>
                <w:sz w:val="20"/>
                <w:szCs w:val="20"/>
                <w:lang w:bidi="ar"/>
              </w:rPr>
              <w:t>N</w:t>
            </w:r>
            <w:r>
              <w:rPr>
                <w:rFonts w:ascii="Times New Roman" w:eastAsia="STIX-Regular" w:hAnsi="Times New Roman" w:cs="Times New Roman"/>
                <w:b/>
                <w:bCs/>
                <w:color w:val="000000"/>
                <w:kern w:val="0"/>
                <w:sz w:val="20"/>
                <w:szCs w:val="20"/>
                <w:vertAlign w:val="subscript"/>
                <w:lang w:bidi="ar"/>
              </w:rPr>
              <w:t>A</w:t>
            </w:r>
            <w:r>
              <w:rPr>
                <w:rFonts w:ascii="Times New Roman" w:eastAsia="STIX-Regular" w:hAnsi="Times New Roman" w:cs="Times New Roman"/>
                <w:b/>
                <w:bCs/>
                <w:color w:val="000000"/>
                <w:kern w:val="0"/>
                <w:sz w:val="20"/>
                <w:szCs w:val="20"/>
                <w:lang w:bidi="ar"/>
              </w:rPr>
              <w:t xml:space="preserve"> (cm</w:t>
            </w:r>
            <w:r>
              <w:rPr>
                <w:rFonts w:ascii="Times New Roman" w:eastAsia="STIX-Regular" w:hAnsi="Times New Roman" w:cs="Times New Roman"/>
                <w:b/>
                <w:bCs/>
                <w:color w:val="000000"/>
                <w:kern w:val="0"/>
                <w:sz w:val="20"/>
                <w:szCs w:val="20"/>
                <w:vertAlign w:val="superscript"/>
                <w:lang w:bidi="ar"/>
              </w:rPr>
              <w:t>-3</w:t>
            </w:r>
            <w:r>
              <w:rPr>
                <w:rFonts w:ascii="Times New Roman" w:eastAsia="STIX-Regular" w:hAnsi="Times New Roman" w:cs="Times New Roman"/>
                <w:b/>
                <w:bCs/>
                <w:color w:val="000000"/>
                <w:kern w:val="0"/>
                <w:sz w:val="20"/>
                <w:szCs w:val="20"/>
                <w:lang w:bidi="ar"/>
              </w:rPr>
              <w:t>)</w:t>
            </w:r>
          </w:p>
        </w:tc>
        <w:tc>
          <w:tcPr>
            <w:tcW w:w="443" w:type="pct"/>
            <w:tcBorders>
              <w:top w:val="nil"/>
              <w:left w:val="nil"/>
              <w:bottom w:val="single" w:sz="12" w:space="0" w:color="auto"/>
              <w:right w:val="nil"/>
            </w:tcBorders>
            <w:vAlign w:val="center"/>
          </w:tcPr>
          <w:p w14:paraId="4029B7B8"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1.01e20</w:t>
            </w:r>
          </w:p>
        </w:tc>
        <w:tc>
          <w:tcPr>
            <w:tcW w:w="546" w:type="pct"/>
            <w:tcBorders>
              <w:top w:val="nil"/>
              <w:left w:val="nil"/>
              <w:bottom w:val="single" w:sz="12" w:space="0" w:color="auto"/>
              <w:right w:val="nil"/>
            </w:tcBorders>
            <w:vAlign w:val="center"/>
          </w:tcPr>
          <w:p w14:paraId="4029B7B9"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w:t>
            </w:r>
          </w:p>
        </w:tc>
        <w:tc>
          <w:tcPr>
            <w:tcW w:w="404" w:type="pct"/>
            <w:tcBorders>
              <w:top w:val="nil"/>
              <w:left w:val="nil"/>
              <w:bottom w:val="single" w:sz="12" w:space="0" w:color="auto"/>
              <w:right w:val="nil"/>
            </w:tcBorders>
            <w:vAlign w:val="center"/>
          </w:tcPr>
          <w:p w14:paraId="4029B7BA"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w:t>
            </w:r>
          </w:p>
        </w:tc>
        <w:tc>
          <w:tcPr>
            <w:tcW w:w="428" w:type="pct"/>
            <w:tcBorders>
              <w:top w:val="nil"/>
              <w:left w:val="nil"/>
              <w:bottom w:val="single" w:sz="12" w:space="0" w:color="auto"/>
              <w:right w:val="nil"/>
            </w:tcBorders>
            <w:vAlign w:val="center"/>
          </w:tcPr>
          <w:p w14:paraId="4029B7BB"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w:t>
            </w:r>
          </w:p>
        </w:tc>
        <w:tc>
          <w:tcPr>
            <w:tcW w:w="443" w:type="pct"/>
            <w:tcBorders>
              <w:top w:val="nil"/>
              <w:left w:val="nil"/>
              <w:bottom w:val="single" w:sz="12" w:space="0" w:color="auto"/>
              <w:right w:val="nil"/>
            </w:tcBorders>
            <w:vAlign w:val="center"/>
          </w:tcPr>
          <w:p w14:paraId="4029B7BC"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w:t>
            </w:r>
          </w:p>
        </w:tc>
        <w:tc>
          <w:tcPr>
            <w:tcW w:w="631" w:type="pct"/>
            <w:tcBorders>
              <w:top w:val="nil"/>
              <w:left w:val="nil"/>
              <w:bottom w:val="single" w:sz="12" w:space="0" w:color="auto"/>
              <w:right w:val="nil"/>
            </w:tcBorders>
            <w:vAlign w:val="center"/>
          </w:tcPr>
          <w:p w14:paraId="4029B7BD"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1e19</w:t>
            </w:r>
          </w:p>
        </w:tc>
        <w:tc>
          <w:tcPr>
            <w:tcW w:w="396" w:type="pct"/>
            <w:tcBorders>
              <w:top w:val="nil"/>
              <w:left w:val="nil"/>
              <w:bottom w:val="single" w:sz="12" w:space="0" w:color="auto"/>
              <w:right w:val="nil"/>
            </w:tcBorders>
            <w:vAlign w:val="center"/>
          </w:tcPr>
          <w:p w14:paraId="4029B7BE" w14:textId="77777777" w:rsidR="00676DB5" w:rsidRDefault="00BF6DCE">
            <w:pPr>
              <w:adjustRightInd w:val="0"/>
              <w:snapToGrid w:val="0"/>
              <w:spacing w:line="360" w:lineRule="auto"/>
              <w:jc w:val="center"/>
              <w:rPr>
                <w:rFonts w:ascii="Times New Roman" w:hAnsi="Times New Roman" w:cs="Times New Roman"/>
                <w:sz w:val="20"/>
                <w:szCs w:val="20"/>
              </w:rPr>
            </w:pPr>
            <w:r>
              <w:rPr>
                <w:rFonts w:ascii="Times New Roman" w:hAnsi="Times New Roman" w:cs="Times New Roman" w:hint="eastAsia"/>
                <w:sz w:val="20"/>
                <w:szCs w:val="20"/>
              </w:rPr>
              <w:t>1e19</w:t>
            </w:r>
          </w:p>
        </w:tc>
      </w:tr>
    </w:tbl>
    <w:bookmarkEnd w:id="1"/>
    <w:p w14:paraId="4029B7C0" w14:textId="77777777" w:rsidR="00676DB5" w:rsidRDefault="00BF6DCE">
      <w:pPr>
        <w:spacing w:before="240" w:after="240" w:line="360" w:lineRule="auto"/>
        <w:rPr>
          <w:rFonts w:ascii="Times New Roman" w:hAnsi="Times New Roman" w:cs="Times New Roman"/>
          <w:sz w:val="22"/>
        </w:rPr>
      </w:pPr>
      <w:r>
        <w:rPr>
          <w:rFonts w:ascii="Times New Roman" w:hAnsi="Times New Roman" w:cs="Times New Roman"/>
          <w:b/>
          <w:bCs/>
          <w:sz w:val="22"/>
        </w:rPr>
        <w:t xml:space="preserve">Energy yield simulation by Equivalent circuit. </w:t>
      </w:r>
      <w:r>
        <w:rPr>
          <w:rFonts w:ascii="Times New Roman" w:hAnsi="Times New Roman" w:cs="Times New Roman"/>
          <w:sz w:val="22"/>
        </w:rPr>
        <w:t>The equivalent circuit of a solar cell typically comprises a current source representing the photogenerated current, a diode modeling the p-n junction, a series resistor accounting for resistive losses, and a shunt resistor capturing leakage currents.</w:t>
      </w:r>
      <w:r>
        <w:rPr>
          <w:rFonts w:ascii="Times New Roman" w:hAnsi="Times New Roman" w:cs="Times New Roman"/>
          <w:sz w:val="22"/>
        </w:rPr>
        <w:fldChar w:fldCharType="begin"/>
      </w:r>
      <w:r>
        <w:rPr>
          <w:rFonts w:ascii="Times New Roman" w:hAnsi="Times New Roman" w:cs="Times New Roman" w:hint="eastAsia"/>
          <w:sz w:val="22"/>
        </w:rPr>
        <w:instrText xml:space="preserve"> ADDIN EN.CITE &lt;EndNote&gt;&lt;Cite&gt;&lt;Author&gt;Gao&lt;/Author&gt;&lt;Year&gt;2022&lt;/Year&gt;&lt;RecNum&gt;86&lt;/RecNum&gt;&lt;DisplayText&gt;&lt;style face="superscript"&gt;10,11&lt;/style&gt;&lt;/DisplayText&gt;&lt;record&gt;&lt;rec-number&gt;86&lt;/rec-number&gt;&lt;foreign-keys&gt;&lt;key app="EN" db-id="wax05raw0dp0sde5sszvt5f3tzpff5xteaxz" timestamp="1775203189"&gt;86&lt;/key&gt;&lt;/foreign-keys&gt;&lt;ref-type name="Journal Article"&gt;17&lt;/ref-type&gt;&lt;contributors&gt;&lt;authors&gt;&lt;author&gt;Gao, Yuan&lt;/author&gt;&lt;author&gt;Lin, Renxing&lt;/author&gt;&lt;author&gt;Xiao, Ke&lt;/author&gt;&lt;author&gt;Luo, Xin&lt;/author&gt;&lt;author&gt;Wen, Jin&lt;/author&gt;&lt;author</w:instrText>
      </w:r>
      <w:r>
        <w:rPr>
          <w:rFonts w:ascii="Times New Roman" w:hAnsi="Times New Roman" w:cs="Times New Roman" w:hint="eastAsia"/>
          <w:sz w:val="22"/>
        </w:rPr>
        <w:instrText>&gt;Yue, Xu&lt;/author&gt;&lt;author&gt;Tan, Hairen&lt;/author&gt;&lt;/authors&gt;&lt;/contributors&gt;&lt;titles&gt;&lt;title&gt;Performance optimization of monolithic all-perovskite tandem solar cells under standard and real-world solar spectra&lt;/title&gt;&lt;secondary-title&gt;Joule&lt;/secondary-title&gt;&lt;/titles&gt;&lt;periodical&gt;&lt;full-title&gt;Joule&lt;/full-title&gt;&lt;/periodical&gt;&lt;pages&gt;1944-1963&lt;/pages&gt;&lt;volume&gt;6&lt;/volume&gt;&lt;number&gt;8&lt;/number&gt;&lt;dates&gt;&lt;year&gt;2022&lt;/year&gt;&lt;/dates&gt;&lt;isbn&gt;2542-4785&lt;/isbn&gt;&lt;urls&gt;&lt;/urls&gt;&lt;/record&gt;&lt;/Cite&gt;&lt;Cite&gt;&lt;Author&gt;Green&lt;/Author&gt;&lt;Year&gt;1981&lt;/Year&gt;&lt;RecNum&gt;85&lt;</w:instrText>
      </w:r>
      <w:r>
        <w:rPr>
          <w:rFonts w:ascii="Times New Roman" w:hAnsi="Times New Roman" w:cs="Times New Roman" w:hint="eastAsia"/>
          <w:sz w:val="22"/>
        </w:rPr>
        <w:instrText>/RecNum&gt;&lt;record&gt;&lt;rec-number&gt;85&lt;/rec-number&gt;&lt;foreign-keys&gt;&lt;key app="EN" db-id="wax05raw0dp0sde5sszvt5f3tzpff5xteaxz" timestamp="1775203149"&gt;85&lt;/key&gt;&lt;/foreign-keys&gt;&lt;ref-type name="Journal Article"&gt;17&lt;/ref-type&gt;&lt;contributors&gt;&lt;authors&gt;&lt;author&gt;Green, Martin A&lt;/author&gt;&lt;/authors&gt;&lt;/contributors&gt;&lt;titles&gt;&lt;title&gt;Solar cells: operating principles, technology, and system applications&lt;/title&gt;&lt;/titles&gt;&lt;dates&gt;&lt;year&gt;1981&lt;/year&gt;&lt;/dates&gt;&lt;urls&gt;&lt;/urls&gt;&lt;/record&gt;&lt;/Cite&gt;&lt;/EndNote&gt;</w:instrText>
      </w:r>
      <w:r>
        <w:rPr>
          <w:rFonts w:ascii="Times New Roman" w:hAnsi="Times New Roman" w:cs="Times New Roman"/>
          <w:sz w:val="22"/>
        </w:rPr>
        <w:fldChar w:fldCharType="separate"/>
      </w:r>
      <w:r>
        <w:rPr>
          <w:rFonts w:ascii="Times New Roman" w:hAnsi="Times New Roman" w:cs="Times New Roman" w:hint="eastAsia"/>
          <w:sz w:val="22"/>
          <w:vertAlign w:val="superscript"/>
        </w:rPr>
        <w:t>10,11</w:t>
      </w:r>
      <w:r>
        <w:rPr>
          <w:rFonts w:ascii="Times New Roman" w:hAnsi="Times New Roman" w:cs="Times New Roman"/>
          <w:sz w:val="22"/>
        </w:rPr>
        <w:fldChar w:fldCharType="end"/>
      </w:r>
      <w:r>
        <w:rPr>
          <w:rFonts w:ascii="Times New Roman" w:hAnsi="Times New Roman" w:cs="Times New Roman"/>
          <w:sz w:val="22"/>
        </w:rPr>
        <w:t xml:space="preserve"> For the perovskite solar cell with an integral bypass diode, the design follows Lan </w:t>
      </w:r>
      <w:r>
        <w:rPr>
          <w:rFonts w:ascii="Times New Roman" w:hAnsi="Times New Roman" w:cs="Times New Roman"/>
          <w:sz w:val="22"/>
        </w:rPr>
        <w:lastRenderedPageBreak/>
        <w:t>et al.’s approach.</w:t>
      </w:r>
      <w:r>
        <w:rPr>
          <w:rFonts w:ascii="Times New Roman" w:hAnsi="Times New Roman" w:cs="Times New Roman"/>
          <w:sz w:val="22"/>
        </w:rPr>
        <w:fldChar w:fldCharType="begin"/>
      </w:r>
      <w:r>
        <w:rPr>
          <w:rFonts w:ascii="Times New Roman" w:hAnsi="Times New Roman" w:cs="Times New Roman" w:hint="eastAsia"/>
          <w:sz w:val="22"/>
        </w:rPr>
        <w:instrText xml:space="preserve"> ADDIN EN.CITE &lt;EndNote&gt;&lt;Cite&gt;&lt;Author&gt;Lan&lt;/Author&gt;&lt;Year&gt;2022&lt;/Year&gt;&lt;RecNum&gt;68&lt;/RecNum&gt;&lt;DisplayText&gt;&lt;style face="superscript"&gt;12&lt;/style&gt;&lt;/DisplayText&gt;&lt;record&gt;&lt;rec-number&gt;68&lt;/rec-number&gt;&lt;foreign-keys&gt;&lt;key app="EN" db-id="wax05raw0dp0sde5sszvt5f3tzpff5xteaxz" timestamp="1775191428"&gt;68&lt;/key&gt;&lt;/foreign-keys&gt;&lt;ref-type name="Journal Article"&gt;17&lt;/ref-type&gt;&lt;contributors&gt;&lt;authors&gt;&lt;author&gt;Lan, Dongchen&lt;/author&gt;&lt;author&gt;Green, Martin A.&lt;/author&gt;&lt;/authors&gt;&lt;/contributors&gt;&lt;titles&gt;&lt;title&gt;Combatting temperature and reverse-bi</w:instrText>
      </w:r>
      <w:r>
        <w:rPr>
          <w:rFonts w:ascii="Times New Roman" w:hAnsi="Times New Roman" w:cs="Times New Roman" w:hint="eastAsia"/>
          <w:sz w:val="22"/>
        </w:rPr>
        <w:instrText>as challenges facing perovskite solar cells&lt;/title&gt;&lt;secondary-title&gt;Joule&lt;/secondary-title&gt;&lt;/titles&gt;&lt;periodical&gt;&lt;full-title&gt;Joule&lt;/full-title&gt;&lt;/periodical&gt;&lt;pages&gt;1782-1797&lt;/pages&gt;&lt;volume&gt;6&lt;/volume&gt;&lt;number&gt;8&lt;/number&gt;&lt;dates&gt;&lt;year&gt;2022&lt;/year&gt;&lt;/dates&gt;&lt;publisher&gt;Elsevier&lt;/publisher&gt;&lt;isbn&gt;2542-4785&lt;/isbn&gt;&lt;urls&gt;&lt;related-urls&gt;&lt;url&gt;https://doi.org/10.1016/j.joule.2022.06.014&lt;/url&gt;&lt;/related-urls&gt;&lt;/urls&gt;&lt;electronic-resource-num&gt;10.1016/j.joule.2022.06.014&lt;/electronic-resource-num&gt;&lt;access-date&gt;2026/04/02&lt;/access-date&gt;&lt;</w:instrText>
      </w:r>
      <w:r>
        <w:rPr>
          <w:rFonts w:ascii="Times New Roman" w:hAnsi="Times New Roman" w:cs="Times New Roman" w:hint="eastAsia"/>
          <w:sz w:val="22"/>
        </w:rPr>
        <w:instrText>/record&gt;&lt;/Cite&gt;&lt;/EndNote&gt;</w:instrText>
      </w:r>
      <w:r>
        <w:rPr>
          <w:rFonts w:ascii="Times New Roman" w:hAnsi="Times New Roman" w:cs="Times New Roman"/>
          <w:sz w:val="22"/>
        </w:rPr>
        <w:fldChar w:fldCharType="separate"/>
      </w:r>
      <w:r>
        <w:rPr>
          <w:rFonts w:ascii="Times New Roman" w:hAnsi="Times New Roman" w:cs="Times New Roman" w:hint="eastAsia"/>
          <w:sz w:val="22"/>
          <w:vertAlign w:val="superscript"/>
        </w:rPr>
        <w:t>12</w:t>
      </w:r>
      <w:r>
        <w:rPr>
          <w:rFonts w:ascii="Times New Roman" w:hAnsi="Times New Roman" w:cs="Times New Roman"/>
          <w:sz w:val="22"/>
        </w:rPr>
        <w:fldChar w:fldCharType="end"/>
      </w:r>
      <w:r>
        <w:rPr>
          <w:rFonts w:ascii="Times New Roman" w:hAnsi="Times New Roman" w:cs="Times New Roman"/>
          <w:sz w:val="22"/>
        </w:rPr>
        <w:t xml:space="preserve"> The IBD region consists of a series resistor in series with a diode, while the isolation region includes two shunt resistors, two diodes and two current sources oriented in opposite directions, collectively representing current losses. Two PSC configurations were used to assemble a module comprising nine </w:t>
      </w:r>
      <w:proofErr w:type="spellStart"/>
      <w:r>
        <w:rPr>
          <w:rFonts w:ascii="Times New Roman" w:hAnsi="Times New Roman" w:cs="Times New Roman"/>
          <w:sz w:val="22"/>
        </w:rPr>
        <w:t>subcells</w:t>
      </w:r>
      <w:proofErr w:type="spellEnd"/>
      <w:r>
        <w:rPr>
          <w:rFonts w:ascii="Times New Roman" w:hAnsi="Times New Roman" w:cs="Times New Roman"/>
          <w:sz w:val="22"/>
        </w:rPr>
        <w:t>, as illustrated in Figure 4B&amp;C. Fractional losses were incorporated by reducing the perovskite photocurrent in the IBD regions. Equivalent circuit parameters of solar cells:</w:t>
      </w:r>
    </w:p>
    <w:tbl>
      <w:tblPr>
        <w:tblW w:w="5000" w:type="pct"/>
        <w:jc w:val="center"/>
        <w:tblBorders>
          <w:top w:val="single" w:sz="8" w:space="0" w:color="auto"/>
          <w:bottom w:val="single" w:sz="8" w:space="0" w:color="auto"/>
        </w:tblBorders>
        <w:tblLook w:val="04A0" w:firstRow="1" w:lastRow="0" w:firstColumn="1" w:lastColumn="0" w:noHBand="0" w:noVBand="1"/>
      </w:tblPr>
      <w:tblGrid>
        <w:gridCol w:w="4909"/>
        <w:gridCol w:w="1417"/>
        <w:gridCol w:w="1980"/>
      </w:tblGrid>
      <w:tr w:rsidR="00676DB5" w14:paraId="4029B7C4" w14:textId="77777777">
        <w:trPr>
          <w:trHeight w:val="504"/>
          <w:jc w:val="center"/>
        </w:trPr>
        <w:tc>
          <w:tcPr>
            <w:tcW w:w="2955" w:type="pct"/>
            <w:tcBorders>
              <w:top w:val="single" w:sz="12" w:space="0" w:color="000000"/>
              <w:left w:val="nil"/>
              <w:bottom w:val="single" w:sz="12" w:space="0" w:color="000000"/>
              <w:right w:val="nil"/>
            </w:tcBorders>
          </w:tcPr>
          <w:p w14:paraId="4029B7C1" w14:textId="77777777" w:rsidR="00676DB5" w:rsidRDefault="00BF6DCE">
            <w:pPr>
              <w:spacing w:line="360" w:lineRule="auto"/>
              <w:jc w:val="center"/>
              <w:rPr>
                <w:rFonts w:ascii="Times New Roman" w:hAnsi="Times New Roman" w:cs="Times New Roman"/>
                <w:b/>
                <w:bCs/>
                <w:sz w:val="22"/>
              </w:rPr>
            </w:pPr>
            <w:r>
              <w:rPr>
                <w:rFonts w:ascii="Times New Roman" w:hAnsi="Times New Roman" w:cs="Times New Roman" w:hint="eastAsia"/>
                <w:b/>
                <w:bCs/>
                <w:sz w:val="22"/>
              </w:rPr>
              <w:t>Component</w:t>
            </w:r>
          </w:p>
        </w:tc>
        <w:tc>
          <w:tcPr>
            <w:tcW w:w="853" w:type="pct"/>
            <w:tcBorders>
              <w:top w:val="single" w:sz="12" w:space="0" w:color="000000"/>
              <w:left w:val="nil"/>
              <w:bottom w:val="single" w:sz="12" w:space="0" w:color="000000"/>
              <w:right w:val="nil"/>
            </w:tcBorders>
          </w:tcPr>
          <w:p w14:paraId="4029B7C2" w14:textId="77777777" w:rsidR="00676DB5" w:rsidRDefault="00BF6DCE">
            <w:pPr>
              <w:spacing w:line="360" w:lineRule="auto"/>
              <w:jc w:val="center"/>
              <w:rPr>
                <w:rFonts w:ascii="Times New Roman" w:hAnsi="Times New Roman" w:cs="Times New Roman"/>
                <w:b/>
                <w:bCs/>
                <w:sz w:val="22"/>
              </w:rPr>
            </w:pPr>
            <w:r>
              <w:rPr>
                <w:rFonts w:ascii="Times New Roman" w:hAnsi="Times New Roman" w:cs="Times New Roman" w:hint="eastAsia"/>
                <w:b/>
                <w:bCs/>
                <w:sz w:val="22"/>
              </w:rPr>
              <w:t>Symbol</w:t>
            </w:r>
          </w:p>
        </w:tc>
        <w:tc>
          <w:tcPr>
            <w:tcW w:w="1192" w:type="pct"/>
            <w:tcBorders>
              <w:top w:val="single" w:sz="12" w:space="0" w:color="000000"/>
              <w:left w:val="nil"/>
              <w:bottom w:val="single" w:sz="12" w:space="0" w:color="000000"/>
              <w:right w:val="nil"/>
            </w:tcBorders>
          </w:tcPr>
          <w:p w14:paraId="4029B7C3" w14:textId="77777777" w:rsidR="00676DB5" w:rsidRDefault="00BF6DCE">
            <w:pPr>
              <w:spacing w:line="360" w:lineRule="auto"/>
              <w:rPr>
                <w:rFonts w:ascii="Times New Roman" w:hAnsi="Times New Roman" w:cs="Times New Roman"/>
                <w:b/>
                <w:bCs/>
                <w:sz w:val="22"/>
              </w:rPr>
            </w:pPr>
            <w:r>
              <w:rPr>
                <w:rFonts w:ascii="Times New Roman" w:hAnsi="Times New Roman" w:cs="Times New Roman" w:hint="eastAsia"/>
                <w:b/>
                <w:bCs/>
                <w:sz w:val="22"/>
              </w:rPr>
              <w:t>Setting value</w:t>
            </w:r>
          </w:p>
        </w:tc>
      </w:tr>
      <w:tr w:rsidR="00676DB5" w14:paraId="4029B7C8" w14:textId="77777777">
        <w:trPr>
          <w:trHeight w:val="504"/>
          <w:jc w:val="center"/>
        </w:trPr>
        <w:tc>
          <w:tcPr>
            <w:tcW w:w="2955" w:type="pct"/>
            <w:tcBorders>
              <w:top w:val="single" w:sz="12" w:space="0" w:color="000000"/>
              <w:left w:val="nil"/>
              <w:bottom w:val="nil"/>
              <w:right w:val="nil"/>
            </w:tcBorders>
          </w:tcPr>
          <w:p w14:paraId="4029B7C5"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Saturation current of perovskite diode</w:t>
            </w:r>
          </w:p>
        </w:tc>
        <w:tc>
          <w:tcPr>
            <w:tcW w:w="853" w:type="pct"/>
            <w:tcBorders>
              <w:top w:val="single" w:sz="12" w:space="0" w:color="000000"/>
              <w:left w:val="nil"/>
              <w:bottom w:val="nil"/>
              <w:right w:val="nil"/>
            </w:tcBorders>
          </w:tcPr>
          <w:p w14:paraId="4029B7C6" w14:textId="77777777" w:rsidR="00676DB5" w:rsidRDefault="00BF6DCE">
            <w:pPr>
              <w:spacing w:line="360" w:lineRule="auto"/>
              <w:jc w:val="center"/>
              <w:rPr>
                <w:rFonts w:ascii="Times New Roman" w:hAnsi="Times New Roman" w:cs="Times New Roman"/>
                <w:sz w:val="22"/>
              </w:rPr>
            </w:pPr>
            <w:proofErr w:type="spellStart"/>
            <w:r>
              <w:rPr>
                <w:rFonts w:ascii="Times New Roman" w:hAnsi="Times New Roman" w:cs="Times New Roman" w:hint="eastAsia"/>
                <w:sz w:val="22"/>
              </w:rPr>
              <w:t>I</w:t>
            </w:r>
            <w:r>
              <w:rPr>
                <w:rFonts w:ascii="Times New Roman" w:hAnsi="Times New Roman" w:cs="Times New Roman" w:hint="eastAsia"/>
                <w:sz w:val="22"/>
                <w:vertAlign w:val="subscript"/>
              </w:rPr>
              <w:t>o,pero</w:t>
            </w:r>
            <w:proofErr w:type="spellEnd"/>
          </w:p>
        </w:tc>
        <w:tc>
          <w:tcPr>
            <w:tcW w:w="1192" w:type="pct"/>
            <w:tcBorders>
              <w:top w:val="single" w:sz="12" w:space="0" w:color="000000"/>
              <w:left w:val="nil"/>
              <w:bottom w:val="nil"/>
              <w:right w:val="nil"/>
            </w:tcBorders>
          </w:tcPr>
          <w:p w14:paraId="4029B7C7"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2.17</w:t>
            </w:r>
            <w:r>
              <w:rPr>
                <w:rFonts w:ascii="Times New Roman" w:hAnsi="Times New Roman" w:cs="Times New Roman" w:hint="eastAsia"/>
                <w:sz w:val="22"/>
              </w:rPr>
              <w:t>×</w:t>
            </w:r>
            <w:r>
              <w:rPr>
                <w:rFonts w:ascii="Times New Roman" w:hAnsi="Times New Roman" w:cs="Times New Roman" w:hint="eastAsia"/>
                <w:sz w:val="22"/>
              </w:rPr>
              <w:t>10</w:t>
            </w:r>
            <w:r>
              <w:rPr>
                <w:rFonts w:ascii="Times New Roman" w:hAnsi="Times New Roman" w:cs="Times New Roman" w:hint="eastAsia"/>
                <w:sz w:val="22"/>
                <w:vertAlign w:val="superscript"/>
              </w:rPr>
              <w:t>-14</w:t>
            </w:r>
            <w:r>
              <w:rPr>
                <w:rFonts w:ascii="Times New Roman" w:hAnsi="Times New Roman" w:cs="Times New Roman" w:hint="eastAsia"/>
                <w:sz w:val="22"/>
              </w:rPr>
              <w:t xml:space="preserve"> A</w:t>
            </w:r>
          </w:p>
        </w:tc>
      </w:tr>
      <w:tr w:rsidR="00676DB5" w14:paraId="4029B7CC" w14:textId="77777777">
        <w:trPr>
          <w:trHeight w:val="504"/>
          <w:jc w:val="center"/>
        </w:trPr>
        <w:tc>
          <w:tcPr>
            <w:tcW w:w="2955" w:type="pct"/>
            <w:tcBorders>
              <w:top w:val="nil"/>
              <w:left w:val="nil"/>
              <w:bottom w:val="nil"/>
              <w:right w:val="nil"/>
            </w:tcBorders>
          </w:tcPr>
          <w:p w14:paraId="4029B7C9"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Ideality factor of perovskite diode</w:t>
            </w:r>
          </w:p>
        </w:tc>
        <w:tc>
          <w:tcPr>
            <w:tcW w:w="853" w:type="pct"/>
            <w:tcBorders>
              <w:top w:val="nil"/>
              <w:left w:val="nil"/>
              <w:bottom w:val="nil"/>
              <w:right w:val="nil"/>
            </w:tcBorders>
          </w:tcPr>
          <w:p w14:paraId="4029B7CA" w14:textId="77777777" w:rsidR="00676DB5" w:rsidRDefault="00BF6DCE">
            <w:pPr>
              <w:spacing w:line="360" w:lineRule="auto"/>
              <w:jc w:val="center"/>
              <w:rPr>
                <w:rFonts w:ascii="Times New Roman" w:hAnsi="Times New Roman" w:cs="Times New Roman"/>
                <w:sz w:val="22"/>
              </w:rPr>
            </w:pPr>
            <w:proofErr w:type="spellStart"/>
            <w:r>
              <w:rPr>
                <w:rFonts w:ascii="Times New Roman" w:hAnsi="Times New Roman" w:cs="Times New Roman" w:hint="eastAsia"/>
                <w:sz w:val="22"/>
              </w:rPr>
              <w:t>N</w:t>
            </w:r>
            <w:r>
              <w:rPr>
                <w:rFonts w:ascii="Times New Roman" w:hAnsi="Times New Roman" w:cs="Times New Roman" w:hint="eastAsia"/>
                <w:sz w:val="22"/>
                <w:vertAlign w:val="subscript"/>
              </w:rPr>
              <w:t>pero</w:t>
            </w:r>
            <w:proofErr w:type="spellEnd"/>
          </w:p>
        </w:tc>
        <w:tc>
          <w:tcPr>
            <w:tcW w:w="1192" w:type="pct"/>
            <w:tcBorders>
              <w:top w:val="nil"/>
              <w:left w:val="nil"/>
              <w:bottom w:val="nil"/>
              <w:right w:val="nil"/>
            </w:tcBorders>
          </w:tcPr>
          <w:p w14:paraId="4029B7CB"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1.62</w:t>
            </w:r>
          </w:p>
        </w:tc>
      </w:tr>
      <w:tr w:rsidR="00676DB5" w14:paraId="4029B7D0" w14:textId="77777777">
        <w:trPr>
          <w:trHeight w:val="504"/>
          <w:jc w:val="center"/>
        </w:trPr>
        <w:tc>
          <w:tcPr>
            <w:tcW w:w="2955" w:type="pct"/>
            <w:tcBorders>
              <w:top w:val="nil"/>
              <w:left w:val="nil"/>
              <w:bottom w:val="nil"/>
              <w:right w:val="nil"/>
            </w:tcBorders>
          </w:tcPr>
          <w:p w14:paraId="4029B7CD"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Perovskite series resistance</w:t>
            </w:r>
          </w:p>
        </w:tc>
        <w:tc>
          <w:tcPr>
            <w:tcW w:w="853" w:type="pct"/>
            <w:tcBorders>
              <w:top w:val="nil"/>
              <w:left w:val="nil"/>
              <w:bottom w:val="nil"/>
              <w:right w:val="nil"/>
            </w:tcBorders>
          </w:tcPr>
          <w:p w14:paraId="4029B7CE" w14:textId="77777777" w:rsidR="00676DB5" w:rsidRDefault="00BF6DCE">
            <w:pPr>
              <w:spacing w:line="360" w:lineRule="auto"/>
              <w:jc w:val="center"/>
              <w:rPr>
                <w:rFonts w:ascii="Times New Roman" w:hAnsi="Times New Roman" w:cs="Times New Roman"/>
                <w:sz w:val="22"/>
              </w:rPr>
            </w:pPr>
            <w:proofErr w:type="spellStart"/>
            <w:r>
              <w:rPr>
                <w:rFonts w:ascii="Times New Roman" w:hAnsi="Times New Roman" w:cs="Times New Roman" w:hint="eastAsia"/>
                <w:sz w:val="22"/>
              </w:rPr>
              <w:t>R</w:t>
            </w:r>
            <w:r>
              <w:rPr>
                <w:rFonts w:ascii="Times New Roman" w:hAnsi="Times New Roman" w:cs="Times New Roman" w:hint="eastAsia"/>
                <w:sz w:val="22"/>
                <w:vertAlign w:val="subscript"/>
              </w:rPr>
              <w:t>s,pero</w:t>
            </w:r>
            <w:proofErr w:type="spellEnd"/>
          </w:p>
        </w:tc>
        <w:tc>
          <w:tcPr>
            <w:tcW w:w="1192" w:type="pct"/>
            <w:tcBorders>
              <w:top w:val="nil"/>
              <w:left w:val="nil"/>
              <w:bottom w:val="nil"/>
              <w:right w:val="nil"/>
            </w:tcBorders>
          </w:tcPr>
          <w:p w14:paraId="4029B7CF"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 xml:space="preserve">0.15 </w:t>
            </w:r>
            <w:r>
              <w:rPr>
                <w:rFonts w:ascii="Times New Roman" w:hAnsi="Times New Roman" w:cs="Times New Roman"/>
                <w:sz w:val="22"/>
              </w:rPr>
              <w:t>Ω</w:t>
            </w:r>
          </w:p>
        </w:tc>
      </w:tr>
      <w:tr w:rsidR="00676DB5" w14:paraId="4029B7D4" w14:textId="77777777">
        <w:trPr>
          <w:trHeight w:val="504"/>
          <w:jc w:val="center"/>
        </w:trPr>
        <w:tc>
          <w:tcPr>
            <w:tcW w:w="2955" w:type="pct"/>
            <w:tcBorders>
              <w:top w:val="nil"/>
              <w:left w:val="nil"/>
              <w:bottom w:val="nil"/>
              <w:right w:val="nil"/>
            </w:tcBorders>
          </w:tcPr>
          <w:p w14:paraId="4029B7D1"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Perovskite shunt resistance</w:t>
            </w:r>
          </w:p>
        </w:tc>
        <w:tc>
          <w:tcPr>
            <w:tcW w:w="853" w:type="pct"/>
            <w:tcBorders>
              <w:top w:val="nil"/>
              <w:left w:val="nil"/>
              <w:bottom w:val="nil"/>
              <w:right w:val="nil"/>
            </w:tcBorders>
          </w:tcPr>
          <w:p w14:paraId="4029B7D2" w14:textId="77777777" w:rsidR="00676DB5" w:rsidRDefault="00BF6DCE">
            <w:pPr>
              <w:spacing w:line="360" w:lineRule="auto"/>
              <w:jc w:val="center"/>
              <w:rPr>
                <w:rFonts w:ascii="Times New Roman" w:hAnsi="Times New Roman" w:cs="Times New Roman"/>
                <w:sz w:val="22"/>
              </w:rPr>
            </w:pPr>
            <w:proofErr w:type="spellStart"/>
            <w:r>
              <w:rPr>
                <w:rFonts w:ascii="Times New Roman" w:hAnsi="Times New Roman" w:cs="Times New Roman" w:hint="eastAsia"/>
                <w:sz w:val="22"/>
              </w:rPr>
              <w:t>R</w:t>
            </w:r>
            <w:r>
              <w:rPr>
                <w:rFonts w:ascii="Times New Roman" w:hAnsi="Times New Roman" w:cs="Times New Roman" w:hint="eastAsia"/>
                <w:sz w:val="22"/>
                <w:vertAlign w:val="subscript"/>
              </w:rPr>
              <w:t>sh,pero</w:t>
            </w:r>
            <w:proofErr w:type="spellEnd"/>
          </w:p>
        </w:tc>
        <w:tc>
          <w:tcPr>
            <w:tcW w:w="1192" w:type="pct"/>
            <w:tcBorders>
              <w:top w:val="nil"/>
              <w:left w:val="nil"/>
              <w:bottom w:val="nil"/>
              <w:right w:val="nil"/>
            </w:tcBorders>
          </w:tcPr>
          <w:p w14:paraId="4029B7D3"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 xml:space="preserve">8200 </w:t>
            </w:r>
            <w:r>
              <w:rPr>
                <w:rFonts w:ascii="Times New Roman" w:hAnsi="Times New Roman" w:cs="Times New Roman"/>
                <w:sz w:val="22"/>
              </w:rPr>
              <w:t>Ω</w:t>
            </w:r>
          </w:p>
        </w:tc>
      </w:tr>
      <w:tr w:rsidR="00676DB5" w14:paraId="4029B7D8" w14:textId="77777777">
        <w:trPr>
          <w:trHeight w:val="504"/>
          <w:jc w:val="center"/>
        </w:trPr>
        <w:tc>
          <w:tcPr>
            <w:tcW w:w="2955" w:type="pct"/>
            <w:tcBorders>
              <w:top w:val="nil"/>
              <w:left w:val="nil"/>
              <w:bottom w:val="nil"/>
              <w:right w:val="nil"/>
            </w:tcBorders>
          </w:tcPr>
          <w:p w14:paraId="4029B7D5"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Perovskite photocurrent</w:t>
            </w:r>
          </w:p>
        </w:tc>
        <w:tc>
          <w:tcPr>
            <w:tcW w:w="853" w:type="pct"/>
            <w:tcBorders>
              <w:top w:val="nil"/>
              <w:left w:val="nil"/>
              <w:bottom w:val="nil"/>
              <w:right w:val="nil"/>
            </w:tcBorders>
          </w:tcPr>
          <w:p w14:paraId="4029B7D6" w14:textId="77777777" w:rsidR="00676DB5" w:rsidRDefault="00BF6DCE">
            <w:pPr>
              <w:spacing w:line="360" w:lineRule="auto"/>
              <w:jc w:val="center"/>
              <w:rPr>
                <w:rFonts w:ascii="Times New Roman" w:hAnsi="Times New Roman" w:cs="Times New Roman"/>
                <w:sz w:val="22"/>
              </w:rPr>
            </w:pPr>
            <w:proofErr w:type="spellStart"/>
            <w:r>
              <w:rPr>
                <w:rFonts w:ascii="Times New Roman" w:hAnsi="Times New Roman" w:cs="Times New Roman" w:hint="eastAsia"/>
                <w:sz w:val="22"/>
              </w:rPr>
              <w:t>I</w:t>
            </w:r>
            <w:r>
              <w:rPr>
                <w:rFonts w:ascii="Times New Roman" w:hAnsi="Times New Roman" w:cs="Times New Roman" w:hint="eastAsia"/>
                <w:sz w:val="22"/>
                <w:vertAlign w:val="subscript"/>
              </w:rPr>
              <w:t>ph,pero</w:t>
            </w:r>
            <w:proofErr w:type="spellEnd"/>
          </w:p>
        </w:tc>
        <w:tc>
          <w:tcPr>
            <w:tcW w:w="1192" w:type="pct"/>
            <w:tcBorders>
              <w:top w:val="nil"/>
              <w:left w:val="nil"/>
              <w:bottom w:val="nil"/>
              <w:right w:val="nil"/>
            </w:tcBorders>
          </w:tcPr>
          <w:p w14:paraId="4029B7D7"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25.71 mA</w:t>
            </w:r>
          </w:p>
        </w:tc>
      </w:tr>
      <w:tr w:rsidR="00676DB5" w14:paraId="4029B7DC" w14:textId="77777777">
        <w:trPr>
          <w:trHeight w:val="504"/>
          <w:jc w:val="center"/>
        </w:trPr>
        <w:tc>
          <w:tcPr>
            <w:tcW w:w="2955" w:type="pct"/>
            <w:tcBorders>
              <w:top w:val="nil"/>
              <w:left w:val="nil"/>
              <w:bottom w:val="nil"/>
              <w:right w:val="nil"/>
            </w:tcBorders>
          </w:tcPr>
          <w:p w14:paraId="4029B7D9"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Perovskite photocurrent with IBD</w:t>
            </w:r>
          </w:p>
        </w:tc>
        <w:tc>
          <w:tcPr>
            <w:tcW w:w="853" w:type="pct"/>
            <w:tcBorders>
              <w:top w:val="nil"/>
              <w:left w:val="nil"/>
              <w:bottom w:val="nil"/>
              <w:right w:val="nil"/>
            </w:tcBorders>
          </w:tcPr>
          <w:p w14:paraId="4029B7DA" w14:textId="77777777" w:rsidR="00676DB5" w:rsidRDefault="00BF6DCE">
            <w:pPr>
              <w:spacing w:line="360" w:lineRule="auto"/>
              <w:jc w:val="center"/>
              <w:rPr>
                <w:rFonts w:ascii="Times New Roman" w:hAnsi="Times New Roman" w:cs="Times New Roman"/>
                <w:sz w:val="22"/>
              </w:rPr>
            </w:pPr>
            <w:proofErr w:type="spellStart"/>
            <w:r>
              <w:rPr>
                <w:rFonts w:ascii="Times New Roman" w:hAnsi="Times New Roman" w:cs="Times New Roman" w:hint="eastAsia"/>
                <w:sz w:val="22"/>
              </w:rPr>
              <w:t>I</w:t>
            </w:r>
            <w:r>
              <w:rPr>
                <w:rFonts w:ascii="Times New Roman" w:hAnsi="Times New Roman" w:cs="Times New Roman" w:hint="eastAsia"/>
                <w:sz w:val="22"/>
                <w:vertAlign w:val="subscript"/>
              </w:rPr>
              <w:t>ph,pero_IBD</w:t>
            </w:r>
            <w:proofErr w:type="spellEnd"/>
          </w:p>
        </w:tc>
        <w:tc>
          <w:tcPr>
            <w:tcW w:w="1192" w:type="pct"/>
            <w:tcBorders>
              <w:top w:val="nil"/>
              <w:left w:val="nil"/>
              <w:bottom w:val="nil"/>
              <w:right w:val="nil"/>
            </w:tcBorders>
          </w:tcPr>
          <w:p w14:paraId="4029B7DB"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23.74 mA</w:t>
            </w:r>
          </w:p>
        </w:tc>
      </w:tr>
      <w:tr w:rsidR="00676DB5" w14:paraId="4029B7E0" w14:textId="77777777">
        <w:trPr>
          <w:trHeight w:val="504"/>
          <w:jc w:val="center"/>
        </w:trPr>
        <w:tc>
          <w:tcPr>
            <w:tcW w:w="2955" w:type="pct"/>
            <w:tcBorders>
              <w:top w:val="nil"/>
              <w:left w:val="nil"/>
              <w:bottom w:val="nil"/>
              <w:right w:val="nil"/>
            </w:tcBorders>
          </w:tcPr>
          <w:p w14:paraId="4029B7DD"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Current in isolation region</w:t>
            </w:r>
          </w:p>
        </w:tc>
        <w:tc>
          <w:tcPr>
            <w:tcW w:w="853" w:type="pct"/>
            <w:tcBorders>
              <w:top w:val="nil"/>
              <w:left w:val="nil"/>
              <w:bottom w:val="nil"/>
              <w:right w:val="nil"/>
            </w:tcBorders>
          </w:tcPr>
          <w:p w14:paraId="4029B7DE"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I</w:t>
            </w:r>
            <w:r>
              <w:rPr>
                <w:rFonts w:ascii="Times New Roman" w:hAnsi="Times New Roman" w:cs="Times New Roman" w:hint="eastAsia"/>
                <w:sz w:val="22"/>
                <w:vertAlign w:val="subscript"/>
              </w:rPr>
              <w:t>iso1</w:t>
            </w:r>
          </w:p>
        </w:tc>
        <w:tc>
          <w:tcPr>
            <w:tcW w:w="1192" w:type="pct"/>
            <w:tcBorders>
              <w:top w:val="nil"/>
              <w:left w:val="nil"/>
              <w:bottom w:val="nil"/>
              <w:right w:val="nil"/>
            </w:tcBorders>
          </w:tcPr>
          <w:p w14:paraId="4029B7DF"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0.00108 mA</w:t>
            </w:r>
          </w:p>
        </w:tc>
      </w:tr>
      <w:tr w:rsidR="00676DB5" w14:paraId="4029B7E4" w14:textId="77777777">
        <w:trPr>
          <w:trHeight w:val="504"/>
          <w:jc w:val="center"/>
        </w:trPr>
        <w:tc>
          <w:tcPr>
            <w:tcW w:w="2955" w:type="pct"/>
            <w:tcBorders>
              <w:top w:val="nil"/>
              <w:left w:val="nil"/>
              <w:bottom w:val="nil"/>
              <w:right w:val="nil"/>
            </w:tcBorders>
          </w:tcPr>
          <w:p w14:paraId="4029B7E1"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Current in isolation region</w:t>
            </w:r>
          </w:p>
        </w:tc>
        <w:tc>
          <w:tcPr>
            <w:tcW w:w="853" w:type="pct"/>
            <w:tcBorders>
              <w:top w:val="nil"/>
              <w:left w:val="nil"/>
              <w:bottom w:val="nil"/>
              <w:right w:val="nil"/>
            </w:tcBorders>
          </w:tcPr>
          <w:p w14:paraId="4029B7E2"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I</w:t>
            </w:r>
            <w:r>
              <w:rPr>
                <w:rFonts w:ascii="Times New Roman" w:hAnsi="Times New Roman" w:cs="Times New Roman" w:hint="eastAsia"/>
                <w:sz w:val="22"/>
                <w:vertAlign w:val="subscript"/>
              </w:rPr>
              <w:t>iso2</w:t>
            </w:r>
          </w:p>
        </w:tc>
        <w:tc>
          <w:tcPr>
            <w:tcW w:w="1192" w:type="pct"/>
            <w:tcBorders>
              <w:top w:val="nil"/>
              <w:left w:val="nil"/>
              <w:bottom w:val="nil"/>
              <w:right w:val="nil"/>
            </w:tcBorders>
          </w:tcPr>
          <w:p w14:paraId="4029B7E3"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0 mA</w:t>
            </w:r>
          </w:p>
        </w:tc>
      </w:tr>
      <w:tr w:rsidR="00676DB5" w14:paraId="4029B7E8" w14:textId="77777777">
        <w:trPr>
          <w:trHeight w:val="504"/>
          <w:jc w:val="center"/>
        </w:trPr>
        <w:tc>
          <w:tcPr>
            <w:tcW w:w="2955" w:type="pct"/>
            <w:tcBorders>
              <w:top w:val="nil"/>
              <w:left w:val="nil"/>
              <w:bottom w:val="nil"/>
              <w:right w:val="nil"/>
            </w:tcBorders>
          </w:tcPr>
          <w:p w14:paraId="4029B7E5"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Isolation region shunt resistance 1</w:t>
            </w:r>
          </w:p>
        </w:tc>
        <w:tc>
          <w:tcPr>
            <w:tcW w:w="853" w:type="pct"/>
            <w:tcBorders>
              <w:top w:val="nil"/>
              <w:left w:val="nil"/>
              <w:bottom w:val="nil"/>
              <w:right w:val="nil"/>
            </w:tcBorders>
          </w:tcPr>
          <w:p w14:paraId="4029B7E6"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R</w:t>
            </w:r>
            <w:r>
              <w:rPr>
                <w:rFonts w:ascii="Times New Roman" w:hAnsi="Times New Roman" w:cs="Times New Roman" w:hint="eastAsia"/>
                <w:sz w:val="22"/>
                <w:vertAlign w:val="subscript"/>
              </w:rPr>
              <w:t>sh1</w:t>
            </w:r>
          </w:p>
        </w:tc>
        <w:tc>
          <w:tcPr>
            <w:tcW w:w="1192" w:type="pct"/>
            <w:tcBorders>
              <w:top w:val="nil"/>
              <w:left w:val="nil"/>
              <w:bottom w:val="nil"/>
              <w:right w:val="nil"/>
            </w:tcBorders>
          </w:tcPr>
          <w:p w14:paraId="4029B7E7"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 xml:space="preserve">6000 </w:t>
            </w:r>
            <w:r>
              <w:rPr>
                <w:rFonts w:ascii="Times New Roman" w:hAnsi="Times New Roman" w:cs="Times New Roman"/>
                <w:sz w:val="22"/>
              </w:rPr>
              <w:t>Ω</w:t>
            </w:r>
          </w:p>
        </w:tc>
      </w:tr>
      <w:tr w:rsidR="00676DB5" w14:paraId="4029B7EC" w14:textId="77777777">
        <w:trPr>
          <w:trHeight w:val="504"/>
          <w:jc w:val="center"/>
        </w:trPr>
        <w:tc>
          <w:tcPr>
            <w:tcW w:w="2955" w:type="pct"/>
            <w:tcBorders>
              <w:top w:val="nil"/>
              <w:left w:val="nil"/>
              <w:bottom w:val="nil"/>
              <w:right w:val="nil"/>
            </w:tcBorders>
          </w:tcPr>
          <w:p w14:paraId="4029B7E9"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Isolation region shunt resistance 2</w:t>
            </w:r>
          </w:p>
        </w:tc>
        <w:tc>
          <w:tcPr>
            <w:tcW w:w="853" w:type="pct"/>
            <w:tcBorders>
              <w:top w:val="nil"/>
              <w:left w:val="nil"/>
              <w:bottom w:val="nil"/>
              <w:right w:val="nil"/>
            </w:tcBorders>
          </w:tcPr>
          <w:p w14:paraId="4029B7EA"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R</w:t>
            </w:r>
            <w:r>
              <w:rPr>
                <w:rFonts w:ascii="Times New Roman" w:hAnsi="Times New Roman" w:cs="Times New Roman" w:hint="eastAsia"/>
                <w:sz w:val="22"/>
                <w:vertAlign w:val="subscript"/>
              </w:rPr>
              <w:t>sh2</w:t>
            </w:r>
          </w:p>
        </w:tc>
        <w:tc>
          <w:tcPr>
            <w:tcW w:w="1192" w:type="pct"/>
            <w:tcBorders>
              <w:top w:val="nil"/>
              <w:left w:val="nil"/>
              <w:bottom w:val="nil"/>
              <w:right w:val="nil"/>
            </w:tcBorders>
          </w:tcPr>
          <w:p w14:paraId="4029B7EB"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 xml:space="preserve">6000 </w:t>
            </w:r>
            <w:r>
              <w:rPr>
                <w:rFonts w:ascii="Times New Roman" w:hAnsi="Times New Roman" w:cs="Times New Roman"/>
                <w:sz w:val="22"/>
              </w:rPr>
              <w:t>Ω</w:t>
            </w:r>
          </w:p>
        </w:tc>
      </w:tr>
      <w:tr w:rsidR="00676DB5" w14:paraId="4029B7F0" w14:textId="77777777">
        <w:trPr>
          <w:trHeight w:val="504"/>
          <w:jc w:val="center"/>
        </w:trPr>
        <w:tc>
          <w:tcPr>
            <w:tcW w:w="2955" w:type="pct"/>
            <w:tcBorders>
              <w:top w:val="nil"/>
              <w:left w:val="nil"/>
              <w:bottom w:val="nil"/>
              <w:right w:val="nil"/>
            </w:tcBorders>
          </w:tcPr>
          <w:p w14:paraId="4029B7ED"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IBD series resistance</w:t>
            </w:r>
          </w:p>
        </w:tc>
        <w:tc>
          <w:tcPr>
            <w:tcW w:w="853" w:type="pct"/>
            <w:tcBorders>
              <w:top w:val="nil"/>
              <w:left w:val="nil"/>
              <w:bottom w:val="nil"/>
              <w:right w:val="nil"/>
            </w:tcBorders>
          </w:tcPr>
          <w:p w14:paraId="4029B7EE" w14:textId="77777777" w:rsidR="00676DB5" w:rsidRDefault="00BF6DCE">
            <w:pPr>
              <w:spacing w:line="360" w:lineRule="auto"/>
              <w:jc w:val="center"/>
              <w:rPr>
                <w:rFonts w:ascii="Times New Roman" w:hAnsi="Times New Roman" w:cs="Times New Roman"/>
                <w:sz w:val="22"/>
              </w:rPr>
            </w:pPr>
            <w:proofErr w:type="spellStart"/>
            <w:r>
              <w:rPr>
                <w:rFonts w:ascii="Times New Roman" w:hAnsi="Times New Roman" w:cs="Times New Roman" w:hint="eastAsia"/>
                <w:sz w:val="22"/>
              </w:rPr>
              <w:t>R</w:t>
            </w:r>
            <w:r>
              <w:rPr>
                <w:rFonts w:ascii="Times New Roman" w:hAnsi="Times New Roman" w:cs="Times New Roman" w:hint="eastAsia"/>
                <w:sz w:val="22"/>
                <w:vertAlign w:val="subscript"/>
              </w:rPr>
              <w:t>s,IBD</w:t>
            </w:r>
            <w:proofErr w:type="spellEnd"/>
          </w:p>
        </w:tc>
        <w:tc>
          <w:tcPr>
            <w:tcW w:w="1192" w:type="pct"/>
            <w:tcBorders>
              <w:top w:val="nil"/>
              <w:left w:val="nil"/>
              <w:bottom w:val="nil"/>
              <w:right w:val="nil"/>
            </w:tcBorders>
          </w:tcPr>
          <w:p w14:paraId="4029B7EF"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 xml:space="preserve">0.01 </w:t>
            </w:r>
            <w:r>
              <w:rPr>
                <w:rFonts w:ascii="Times New Roman" w:hAnsi="Times New Roman" w:cs="Times New Roman"/>
                <w:sz w:val="22"/>
              </w:rPr>
              <w:t>Ω</w:t>
            </w:r>
          </w:p>
        </w:tc>
      </w:tr>
      <w:tr w:rsidR="00676DB5" w14:paraId="4029B7F4" w14:textId="77777777">
        <w:trPr>
          <w:trHeight w:val="504"/>
          <w:jc w:val="center"/>
        </w:trPr>
        <w:tc>
          <w:tcPr>
            <w:tcW w:w="2955" w:type="pct"/>
            <w:tcBorders>
              <w:top w:val="nil"/>
              <w:left w:val="nil"/>
              <w:bottom w:val="single" w:sz="12" w:space="0" w:color="000000"/>
              <w:right w:val="nil"/>
            </w:tcBorders>
          </w:tcPr>
          <w:p w14:paraId="4029B7F1"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Applied voltage</w:t>
            </w:r>
          </w:p>
        </w:tc>
        <w:tc>
          <w:tcPr>
            <w:tcW w:w="853" w:type="pct"/>
            <w:tcBorders>
              <w:top w:val="nil"/>
              <w:left w:val="nil"/>
              <w:bottom w:val="single" w:sz="12" w:space="0" w:color="000000"/>
              <w:right w:val="nil"/>
            </w:tcBorders>
          </w:tcPr>
          <w:p w14:paraId="4029B7F2"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V</w:t>
            </w:r>
          </w:p>
        </w:tc>
        <w:tc>
          <w:tcPr>
            <w:tcW w:w="1192" w:type="pct"/>
            <w:tcBorders>
              <w:top w:val="nil"/>
              <w:left w:val="nil"/>
              <w:bottom w:val="single" w:sz="12" w:space="0" w:color="000000"/>
              <w:right w:val="nil"/>
            </w:tcBorders>
          </w:tcPr>
          <w:p w14:paraId="4029B7F3" w14:textId="77777777" w:rsidR="00676DB5" w:rsidRDefault="00BF6DCE">
            <w:pPr>
              <w:spacing w:line="360" w:lineRule="auto"/>
              <w:jc w:val="center"/>
              <w:rPr>
                <w:rFonts w:ascii="Times New Roman" w:hAnsi="Times New Roman" w:cs="Times New Roman"/>
                <w:sz w:val="22"/>
              </w:rPr>
            </w:pPr>
            <w:r>
              <w:rPr>
                <w:rFonts w:ascii="Times New Roman" w:hAnsi="Times New Roman" w:cs="Times New Roman" w:hint="eastAsia"/>
                <w:sz w:val="22"/>
              </w:rPr>
              <w:t>-2 ~ 12 V</w:t>
            </w:r>
          </w:p>
        </w:tc>
      </w:tr>
    </w:tbl>
    <w:p w14:paraId="4029B7F5" w14:textId="77777777" w:rsidR="00676DB5" w:rsidRDefault="00676DB5">
      <w:pPr>
        <w:spacing w:line="360" w:lineRule="auto"/>
        <w:rPr>
          <w:rFonts w:ascii="Times New Roman" w:hAnsi="Times New Roman" w:cs="Times New Roman"/>
          <w:sz w:val="22"/>
        </w:rPr>
      </w:pPr>
    </w:p>
    <w:p w14:paraId="4029B7F6" w14:textId="77777777" w:rsidR="00676DB5" w:rsidRDefault="00BF6DCE">
      <w:pPr>
        <w:widowControl/>
        <w:jc w:val="left"/>
        <w:rPr>
          <w:rFonts w:ascii="Times New Roman" w:hAnsi="Times New Roman" w:cs="Times New Roman"/>
          <w:b/>
          <w:bCs/>
          <w:sz w:val="28"/>
          <w:szCs w:val="28"/>
        </w:rPr>
      </w:pPr>
      <w:r>
        <w:rPr>
          <w:rFonts w:ascii="Times New Roman" w:hAnsi="Times New Roman" w:cs="Times New Roman"/>
          <w:b/>
          <w:bCs/>
          <w:sz w:val="28"/>
          <w:szCs w:val="28"/>
        </w:rPr>
        <w:br w:type="page"/>
      </w:r>
    </w:p>
    <w:p w14:paraId="4029B7F7" w14:textId="77777777" w:rsidR="00676DB5" w:rsidRDefault="00BF6DCE">
      <w:pPr>
        <w:spacing w:line="360" w:lineRule="auto"/>
        <w:rPr>
          <w:rFonts w:ascii="Times New Roman" w:hAnsi="Times New Roman" w:cs="Times New Roman"/>
          <w:b/>
          <w:bCs/>
          <w:sz w:val="28"/>
          <w:szCs w:val="28"/>
        </w:rPr>
      </w:pPr>
      <w:r>
        <w:rPr>
          <w:rFonts w:ascii="Times New Roman" w:hAnsi="Times New Roman" w:cs="Times New Roman"/>
          <w:b/>
          <w:bCs/>
          <w:sz w:val="28"/>
          <w:szCs w:val="28"/>
        </w:rPr>
        <w:lastRenderedPageBreak/>
        <w:t>Supplementary Figures</w:t>
      </w:r>
    </w:p>
    <w:p w14:paraId="4029B7F8" w14:textId="77777777" w:rsidR="00676DB5" w:rsidRDefault="00BF6DCE">
      <w:pPr>
        <w:spacing w:line="360" w:lineRule="auto"/>
        <w:jc w:val="center"/>
        <w:rPr>
          <w:rFonts w:ascii="Times New Roman" w:hAnsi="Times New Roman" w:cs="Times New Roman"/>
        </w:rPr>
      </w:pPr>
      <w:r>
        <w:rPr>
          <w:noProof/>
        </w:rPr>
        <w:drawing>
          <wp:inline distT="0" distB="0" distL="0" distR="0" wp14:anchorId="4029B88D" wp14:editId="4029B88E">
            <wp:extent cx="5274310" cy="2692400"/>
            <wp:effectExtent l="0" t="0" r="2540" b="0"/>
            <wp:docPr id="13276606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660641" name="图片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74310" cy="2692400"/>
                    </a:xfrm>
                    <a:prstGeom prst="rect">
                      <a:avLst/>
                    </a:prstGeom>
                    <a:noFill/>
                    <a:ln>
                      <a:noFill/>
                    </a:ln>
                  </pic:spPr>
                </pic:pic>
              </a:graphicData>
            </a:graphic>
          </wp:inline>
        </w:drawing>
      </w:r>
    </w:p>
    <w:p w14:paraId="4029B7F9" w14:textId="77777777" w:rsidR="00676DB5" w:rsidRDefault="00BF6DCE">
      <w:pPr>
        <w:spacing w:line="360" w:lineRule="auto"/>
        <w:rPr>
          <w:rFonts w:ascii="Times New Roman" w:hAnsi="Times New Roman" w:cs="Times New Roman"/>
          <w:szCs w:val="21"/>
        </w:rPr>
      </w:pPr>
      <w:r>
        <w:rPr>
          <w:rFonts w:ascii="Times New Roman" w:hAnsi="Times New Roman" w:cs="Times New Roman"/>
          <w:b/>
          <w:bCs/>
          <w:szCs w:val="21"/>
        </w:rPr>
        <w:t>Fig 1.</w:t>
      </w:r>
      <w:r>
        <w:rPr>
          <w:rFonts w:ascii="Times New Roman" w:hAnsi="Times New Roman" w:cs="Times New Roman"/>
          <w:szCs w:val="21"/>
        </w:rPr>
        <w:t xml:space="preserve"> The device performance of PSCs W/O IBD. a, </w:t>
      </w:r>
      <w:r>
        <w:rPr>
          <w:rFonts w:ascii="Times New Roman" w:hAnsi="Times New Roman" w:cs="Times New Roman"/>
          <w:i/>
          <w:iCs/>
          <w:szCs w:val="21"/>
        </w:rPr>
        <w:t>J-V</w:t>
      </w:r>
      <w:r>
        <w:rPr>
          <w:rFonts w:ascii="Times New Roman" w:hAnsi="Times New Roman" w:cs="Times New Roman"/>
          <w:szCs w:val="21"/>
        </w:rPr>
        <w:t xml:space="preserve"> curves. Statistic b, </w:t>
      </w:r>
      <w:r>
        <w:rPr>
          <w:rFonts w:ascii="Times New Roman" w:hAnsi="Times New Roman" w:cs="Times New Roman"/>
          <w:i/>
          <w:iCs/>
          <w:szCs w:val="21"/>
        </w:rPr>
        <w:t>V</w:t>
      </w:r>
      <w:r>
        <w:rPr>
          <w:rFonts w:ascii="Times New Roman" w:hAnsi="Times New Roman" w:cs="Times New Roman"/>
          <w:szCs w:val="21"/>
          <w:vertAlign w:val="subscript"/>
        </w:rPr>
        <w:t>oc</w:t>
      </w:r>
      <w:r>
        <w:rPr>
          <w:rFonts w:ascii="Times New Roman" w:hAnsi="Times New Roman" w:cs="Times New Roman"/>
          <w:szCs w:val="21"/>
        </w:rPr>
        <w:t xml:space="preserve">, c, </w:t>
      </w:r>
      <w:proofErr w:type="spellStart"/>
      <w:r>
        <w:rPr>
          <w:rFonts w:ascii="Times New Roman" w:hAnsi="Times New Roman" w:cs="Times New Roman"/>
          <w:i/>
          <w:iCs/>
          <w:szCs w:val="21"/>
        </w:rPr>
        <w:t>J</w:t>
      </w:r>
      <w:r>
        <w:rPr>
          <w:rFonts w:ascii="Times New Roman" w:hAnsi="Times New Roman" w:cs="Times New Roman"/>
          <w:szCs w:val="21"/>
          <w:vertAlign w:val="subscript"/>
        </w:rPr>
        <w:t>sc</w:t>
      </w:r>
      <w:proofErr w:type="spellEnd"/>
      <w:r>
        <w:rPr>
          <w:rFonts w:ascii="Times New Roman" w:hAnsi="Times New Roman" w:cs="Times New Roman"/>
          <w:szCs w:val="21"/>
        </w:rPr>
        <w:t>, d, FF and e, PCE.</w:t>
      </w:r>
    </w:p>
    <w:p w14:paraId="4029B7FA" w14:textId="77777777" w:rsidR="00676DB5" w:rsidRDefault="00BF6DCE">
      <w:pPr>
        <w:widowControl/>
        <w:jc w:val="left"/>
        <w:rPr>
          <w:rFonts w:ascii="Times New Roman" w:hAnsi="Times New Roman" w:cs="Times New Roman"/>
          <w:szCs w:val="21"/>
        </w:rPr>
      </w:pPr>
      <w:r>
        <w:rPr>
          <w:rFonts w:ascii="Times New Roman" w:hAnsi="Times New Roman" w:cs="Times New Roman"/>
          <w:szCs w:val="21"/>
        </w:rPr>
        <w:br w:type="page"/>
      </w:r>
    </w:p>
    <w:p w14:paraId="4029B7FB" w14:textId="77777777" w:rsidR="00676DB5" w:rsidRDefault="00BF6DCE">
      <w:pPr>
        <w:spacing w:line="360" w:lineRule="auto"/>
        <w:jc w:val="center"/>
        <w:rPr>
          <w:rFonts w:ascii="Times New Roman" w:hAnsi="Times New Roman" w:cs="Times New Roman"/>
        </w:rPr>
      </w:pPr>
      <w:r>
        <w:rPr>
          <w:noProof/>
        </w:rPr>
        <w:lastRenderedPageBreak/>
        <w:drawing>
          <wp:inline distT="0" distB="0" distL="0" distR="0" wp14:anchorId="4029B88F" wp14:editId="4029B890">
            <wp:extent cx="5274310" cy="2734945"/>
            <wp:effectExtent l="0" t="0" r="2540" b="8255"/>
            <wp:docPr id="9702573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257395" name="图片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274310" cy="2734945"/>
                    </a:xfrm>
                    <a:prstGeom prst="rect">
                      <a:avLst/>
                    </a:prstGeom>
                    <a:noFill/>
                    <a:ln>
                      <a:noFill/>
                    </a:ln>
                  </pic:spPr>
                </pic:pic>
              </a:graphicData>
            </a:graphic>
          </wp:inline>
        </w:drawing>
      </w:r>
    </w:p>
    <w:p w14:paraId="4029B7FC" w14:textId="77777777" w:rsidR="00676DB5" w:rsidRDefault="00676DB5">
      <w:pPr>
        <w:spacing w:line="360" w:lineRule="auto"/>
        <w:rPr>
          <w:rFonts w:ascii="Times New Roman" w:hAnsi="Times New Roman" w:cs="Times New Roman"/>
          <w:szCs w:val="21"/>
        </w:rPr>
      </w:pPr>
    </w:p>
    <w:p w14:paraId="4029B7FD" w14:textId="77777777" w:rsidR="00676DB5" w:rsidRDefault="00BF6DCE">
      <w:pPr>
        <w:spacing w:line="360" w:lineRule="auto"/>
        <w:rPr>
          <w:rFonts w:ascii="Times New Roman" w:hAnsi="Times New Roman" w:cs="Times New Roman"/>
          <w:szCs w:val="21"/>
        </w:rPr>
      </w:pPr>
      <w:r>
        <w:rPr>
          <w:rFonts w:ascii="Times New Roman" w:hAnsi="Times New Roman" w:cs="Times New Roman"/>
          <w:b/>
          <w:bCs/>
          <w:szCs w:val="21"/>
        </w:rPr>
        <w:t>Fig 2</w:t>
      </w:r>
      <w:r>
        <w:rPr>
          <w:rFonts w:ascii="Times New Roman" w:hAnsi="Times New Roman" w:cs="Times New Roman"/>
          <w:szCs w:val="21"/>
        </w:rPr>
        <w:t xml:space="preserve">. </w:t>
      </w:r>
      <w:r>
        <w:rPr>
          <w:rFonts w:ascii="Times New Roman" w:hAnsi="Times New Roman" w:cs="Times New Roman"/>
          <w:i/>
          <w:iCs/>
          <w:szCs w:val="21"/>
        </w:rPr>
        <w:t>J-V</w:t>
      </w:r>
      <w:r>
        <w:rPr>
          <w:rFonts w:ascii="Times New Roman" w:hAnsi="Times New Roman" w:cs="Times New Roman"/>
          <w:szCs w:val="21"/>
        </w:rPr>
        <w:t xml:space="preserve"> curves of PSCs W/O IBD after reverse bias breakdown under different light intensity. a, 1 sun; b, 0.8 sun; c, 0.6 sun; d, 0.4 sun; e, 0.2 sun. </w:t>
      </w:r>
    </w:p>
    <w:p w14:paraId="4029B7FE" w14:textId="77777777" w:rsidR="00676DB5" w:rsidRDefault="00BF6DCE">
      <w:pPr>
        <w:widowControl/>
        <w:jc w:val="left"/>
        <w:rPr>
          <w:rFonts w:ascii="Times New Roman" w:hAnsi="Times New Roman" w:cs="Times New Roman"/>
          <w:szCs w:val="21"/>
        </w:rPr>
      </w:pPr>
      <w:r>
        <w:rPr>
          <w:rFonts w:ascii="Times New Roman" w:hAnsi="Times New Roman" w:cs="Times New Roman"/>
          <w:szCs w:val="21"/>
        </w:rPr>
        <w:br w:type="page"/>
      </w:r>
    </w:p>
    <w:p w14:paraId="4029B7FF" w14:textId="77777777" w:rsidR="00676DB5" w:rsidRDefault="00BF6DCE">
      <w:pPr>
        <w:spacing w:line="360" w:lineRule="auto"/>
        <w:jc w:val="center"/>
        <w:rPr>
          <w:rFonts w:ascii="Times New Roman" w:hAnsi="Times New Roman" w:cs="Times New Roman"/>
        </w:rPr>
      </w:pPr>
      <w:r>
        <w:rPr>
          <w:noProof/>
        </w:rPr>
        <w:lastRenderedPageBreak/>
        <w:drawing>
          <wp:inline distT="0" distB="0" distL="0" distR="0" wp14:anchorId="4029B891" wp14:editId="4029B892">
            <wp:extent cx="5466715" cy="5737860"/>
            <wp:effectExtent l="0" t="0" r="635" b="0"/>
            <wp:docPr id="1303399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39928" name="图片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468863" cy="5739475"/>
                    </a:xfrm>
                    <a:prstGeom prst="rect">
                      <a:avLst/>
                    </a:prstGeom>
                    <a:noFill/>
                    <a:ln>
                      <a:noFill/>
                    </a:ln>
                  </pic:spPr>
                </pic:pic>
              </a:graphicData>
            </a:graphic>
          </wp:inline>
        </w:drawing>
      </w:r>
    </w:p>
    <w:p w14:paraId="4029B800" w14:textId="77777777" w:rsidR="00676DB5" w:rsidRDefault="00BF6DCE">
      <w:pPr>
        <w:spacing w:line="360" w:lineRule="auto"/>
        <w:rPr>
          <w:rFonts w:ascii="Times New Roman" w:hAnsi="Times New Roman" w:cs="Times New Roman"/>
        </w:rPr>
      </w:pPr>
      <w:r>
        <w:rPr>
          <w:rFonts w:ascii="Times New Roman" w:hAnsi="Times New Roman" w:cs="Times New Roman"/>
          <w:b/>
          <w:bCs/>
        </w:rPr>
        <w:t>Fig 3.</w:t>
      </w:r>
      <w:r>
        <w:rPr>
          <w:rFonts w:ascii="Times New Roman" w:hAnsi="Times New Roman" w:cs="Times New Roman"/>
        </w:rPr>
        <w:t xml:space="preserve"> Scheme of integrating IBD device into a p-</w:t>
      </w:r>
      <w:proofErr w:type="spellStart"/>
      <w:r>
        <w:rPr>
          <w:rFonts w:ascii="Times New Roman" w:hAnsi="Times New Roman" w:cs="Times New Roman"/>
        </w:rPr>
        <w:t>i</w:t>
      </w:r>
      <w:proofErr w:type="spellEnd"/>
      <w:r>
        <w:rPr>
          <w:rFonts w:ascii="Times New Roman" w:hAnsi="Times New Roman" w:cs="Times New Roman"/>
        </w:rPr>
        <w:t>-n PSC by sequential deposition process.</w:t>
      </w:r>
    </w:p>
    <w:p w14:paraId="4029B801" w14:textId="77777777" w:rsidR="00676DB5" w:rsidRDefault="00BF6DCE">
      <w:pPr>
        <w:widowControl/>
        <w:jc w:val="left"/>
        <w:rPr>
          <w:rFonts w:ascii="Times New Roman" w:hAnsi="Times New Roman" w:cs="Times New Roman"/>
        </w:rPr>
      </w:pPr>
      <w:r>
        <w:rPr>
          <w:rFonts w:ascii="Times New Roman" w:hAnsi="Times New Roman" w:cs="Times New Roman"/>
        </w:rPr>
        <w:br w:type="page"/>
      </w:r>
    </w:p>
    <w:p w14:paraId="4029B802" w14:textId="77777777" w:rsidR="00676DB5" w:rsidRDefault="00BF6DCE">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4029B893" wp14:editId="4029B894">
            <wp:extent cx="3959860" cy="3112135"/>
            <wp:effectExtent l="0" t="0" r="2540" b="0"/>
            <wp:docPr id="30568570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85705" name="图片 25"/>
                    <pic:cNvPicPr>
                      <a:picLocks noChangeAspect="1"/>
                    </pic:cNvPicPr>
                  </pic:nvPicPr>
                  <pic:blipFill>
                    <a:blip r:embed="rId13"/>
                    <a:srcRect l="105" t="9057" r="11336"/>
                    <a:stretch>
                      <a:fillRect/>
                    </a:stretch>
                  </pic:blipFill>
                  <pic:spPr>
                    <a:xfrm>
                      <a:off x="0" y="0"/>
                      <a:ext cx="3960000" cy="3112314"/>
                    </a:xfrm>
                    <a:prstGeom prst="rect">
                      <a:avLst/>
                    </a:prstGeom>
                  </pic:spPr>
                </pic:pic>
              </a:graphicData>
            </a:graphic>
          </wp:inline>
        </w:drawing>
      </w:r>
    </w:p>
    <w:p w14:paraId="4029B803" w14:textId="77777777" w:rsidR="00676DB5" w:rsidRDefault="00BF6DCE">
      <w:pPr>
        <w:spacing w:line="360" w:lineRule="auto"/>
        <w:rPr>
          <w:rFonts w:ascii="Times New Roman" w:hAnsi="Times New Roman" w:cs="Times New Roman"/>
        </w:rPr>
      </w:pPr>
      <w:r>
        <w:rPr>
          <w:rFonts w:ascii="Times New Roman" w:hAnsi="Times New Roman" w:cs="Times New Roman"/>
          <w:b/>
          <w:bCs/>
        </w:rPr>
        <w:t>Fig 4.</w:t>
      </w:r>
      <w:r>
        <w:rPr>
          <w:rFonts w:ascii="Times New Roman" w:hAnsi="Times New Roman" w:cs="Times New Roman"/>
        </w:rPr>
        <w:t xml:space="preserve"> </w:t>
      </w:r>
      <w:r>
        <w:rPr>
          <w:rFonts w:ascii="Times New Roman" w:hAnsi="Times New Roman" w:cs="Times New Roman"/>
          <w:i/>
          <w:iCs/>
        </w:rPr>
        <w:t>J-T</w:t>
      </w:r>
      <w:r>
        <w:rPr>
          <w:rFonts w:ascii="Times New Roman" w:hAnsi="Times New Roman" w:cs="Times New Roman"/>
        </w:rPr>
        <w:t xml:space="preserve"> curves of PSC with IBD aged at different external applied reverse bias for 48 hours</w:t>
      </w:r>
      <w:r>
        <w:rPr>
          <w:rFonts w:ascii="Times New Roman" w:hAnsi="Times New Roman" w:cs="Times New Roman" w:hint="eastAsia"/>
        </w:rPr>
        <w:t>.</w:t>
      </w:r>
    </w:p>
    <w:p w14:paraId="4029B804" w14:textId="77777777" w:rsidR="00676DB5" w:rsidRDefault="00BF6DCE">
      <w:pPr>
        <w:widowControl/>
        <w:jc w:val="left"/>
        <w:rPr>
          <w:rFonts w:ascii="Times New Roman" w:hAnsi="Times New Roman" w:cs="Times New Roman"/>
        </w:rPr>
      </w:pPr>
      <w:r>
        <w:rPr>
          <w:rFonts w:ascii="Times New Roman" w:hAnsi="Times New Roman" w:cs="Times New Roman"/>
        </w:rPr>
        <w:br w:type="page"/>
      </w:r>
    </w:p>
    <w:p w14:paraId="4029B805" w14:textId="77777777" w:rsidR="00676DB5" w:rsidRDefault="00BF6DCE">
      <w:pPr>
        <w:spacing w:line="360" w:lineRule="auto"/>
        <w:jc w:val="center"/>
        <w:rPr>
          <w:rFonts w:ascii="Times New Roman" w:hAnsi="Times New Roman" w:cs="Times New Roman"/>
        </w:rPr>
      </w:pPr>
      <w:r>
        <w:rPr>
          <w:noProof/>
        </w:rPr>
        <w:lastRenderedPageBreak/>
        <w:drawing>
          <wp:inline distT="0" distB="0" distL="0" distR="0" wp14:anchorId="4029B895" wp14:editId="4029B896">
            <wp:extent cx="3794760" cy="3653790"/>
            <wp:effectExtent l="0" t="0" r="0" b="3810"/>
            <wp:docPr id="14468721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872147" name="图片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3796585" cy="3655802"/>
                    </a:xfrm>
                    <a:prstGeom prst="rect">
                      <a:avLst/>
                    </a:prstGeom>
                    <a:noFill/>
                    <a:ln>
                      <a:noFill/>
                    </a:ln>
                  </pic:spPr>
                </pic:pic>
              </a:graphicData>
            </a:graphic>
          </wp:inline>
        </w:drawing>
      </w:r>
    </w:p>
    <w:p w14:paraId="4029B806" w14:textId="77777777" w:rsidR="00676DB5" w:rsidRDefault="00BF6DCE">
      <w:pPr>
        <w:spacing w:line="360" w:lineRule="auto"/>
        <w:rPr>
          <w:rFonts w:ascii="Times New Roman" w:hAnsi="Times New Roman" w:cs="Times New Roman"/>
        </w:rPr>
      </w:pPr>
      <w:r>
        <w:rPr>
          <w:rFonts w:ascii="Times New Roman" w:hAnsi="Times New Roman" w:cs="Times New Roman"/>
          <w:b/>
          <w:bCs/>
        </w:rPr>
        <w:t>Fig 5</w:t>
      </w:r>
      <w:r>
        <w:rPr>
          <w:rFonts w:ascii="Times New Roman" w:hAnsi="Times New Roman" w:cs="Times New Roman"/>
        </w:rPr>
        <w:t xml:space="preserve">. Peak electric field strength at the perovskite-HTL junction as a function of illumination level where illumination influences ion mobility according to the functional relationship defined in previous section. When the field strength reaches the critical electric field breakdown threshold for Zener tunneling (dashed line), a breakdown current flows. </w:t>
      </w:r>
    </w:p>
    <w:p w14:paraId="4029B807" w14:textId="77777777" w:rsidR="00676DB5" w:rsidRDefault="00BF6DCE">
      <w:pPr>
        <w:widowControl/>
        <w:jc w:val="left"/>
        <w:rPr>
          <w:rFonts w:ascii="Times New Roman" w:hAnsi="Times New Roman" w:cs="Times New Roman"/>
        </w:rPr>
      </w:pPr>
      <w:r>
        <w:rPr>
          <w:rFonts w:ascii="Times New Roman" w:hAnsi="Times New Roman" w:cs="Times New Roman"/>
        </w:rPr>
        <w:br w:type="page"/>
      </w:r>
    </w:p>
    <w:p w14:paraId="4029B808" w14:textId="77777777" w:rsidR="00676DB5" w:rsidRDefault="00BF6DCE">
      <w:pPr>
        <w:spacing w:line="360" w:lineRule="auto"/>
        <w:jc w:val="left"/>
        <w:rPr>
          <w:rFonts w:ascii="Times New Roman" w:hAnsi="Times New Roman" w:cs="Times New Roman"/>
        </w:rPr>
      </w:pPr>
      <w:r>
        <w:rPr>
          <w:noProof/>
        </w:rPr>
        <w:lastRenderedPageBreak/>
        <w:drawing>
          <wp:inline distT="0" distB="0" distL="0" distR="0" wp14:anchorId="4029B897" wp14:editId="4029B898">
            <wp:extent cx="5274310" cy="2745740"/>
            <wp:effectExtent l="0" t="0" r="2540" b="0"/>
            <wp:docPr id="19096723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672331" name="图片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274310" cy="2745740"/>
                    </a:xfrm>
                    <a:prstGeom prst="rect">
                      <a:avLst/>
                    </a:prstGeom>
                    <a:noFill/>
                    <a:ln>
                      <a:noFill/>
                    </a:ln>
                  </pic:spPr>
                </pic:pic>
              </a:graphicData>
            </a:graphic>
          </wp:inline>
        </w:drawing>
      </w:r>
    </w:p>
    <w:p w14:paraId="4029B809" w14:textId="77777777" w:rsidR="00676DB5" w:rsidRDefault="00BF6DCE">
      <w:pPr>
        <w:spacing w:line="360" w:lineRule="auto"/>
        <w:rPr>
          <w:rFonts w:ascii="Times New Roman" w:hAnsi="Times New Roman" w:cs="Times New Roman"/>
        </w:rPr>
      </w:pPr>
      <w:r>
        <w:rPr>
          <w:rFonts w:ascii="Times New Roman" w:hAnsi="Times New Roman" w:cs="Times New Roman"/>
          <w:b/>
          <w:bCs/>
        </w:rPr>
        <w:t>Fig 6.</w:t>
      </w:r>
      <w:r>
        <w:rPr>
          <w:rFonts w:ascii="Times New Roman" w:hAnsi="Times New Roman" w:cs="Times New Roman"/>
        </w:rPr>
        <w:t xml:space="preserve"> The device performance of PSCs with IBD. a, </w:t>
      </w:r>
      <w:r>
        <w:rPr>
          <w:rFonts w:ascii="Times New Roman" w:hAnsi="Times New Roman" w:cs="Times New Roman"/>
          <w:i/>
          <w:iCs/>
        </w:rPr>
        <w:t>J-V</w:t>
      </w:r>
      <w:r>
        <w:rPr>
          <w:rFonts w:ascii="Times New Roman" w:hAnsi="Times New Roman" w:cs="Times New Roman"/>
        </w:rPr>
        <w:t xml:space="preserve"> curves. Statistic b, </w:t>
      </w:r>
      <w:r>
        <w:rPr>
          <w:rFonts w:ascii="Times New Roman" w:hAnsi="Times New Roman" w:cs="Times New Roman"/>
          <w:i/>
          <w:iCs/>
        </w:rPr>
        <w:t>V</w:t>
      </w:r>
      <w:r>
        <w:rPr>
          <w:rFonts w:ascii="Times New Roman" w:hAnsi="Times New Roman" w:cs="Times New Roman"/>
          <w:vertAlign w:val="subscript"/>
        </w:rPr>
        <w:t>oc</w:t>
      </w:r>
      <w:r>
        <w:rPr>
          <w:rFonts w:ascii="Times New Roman" w:hAnsi="Times New Roman" w:cs="Times New Roman"/>
        </w:rPr>
        <w:t xml:space="preserve">, c, </w:t>
      </w:r>
      <w:proofErr w:type="spellStart"/>
      <w:r>
        <w:rPr>
          <w:rFonts w:ascii="Times New Roman" w:hAnsi="Times New Roman" w:cs="Times New Roman"/>
          <w:i/>
          <w:iCs/>
        </w:rPr>
        <w:t>J</w:t>
      </w:r>
      <w:r>
        <w:rPr>
          <w:rFonts w:ascii="Times New Roman" w:hAnsi="Times New Roman" w:cs="Times New Roman"/>
          <w:vertAlign w:val="subscript"/>
        </w:rPr>
        <w:t>sc</w:t>
      </w:r>
      <w:proofErr w:type="spellEnd"/>
      <w:r>
        <w:rPr>
          <w:rFonts w:ascii="Times New Roman" w:hAnsi="Times New Roman" w:cs="Times New Roman"/>
        </w:rPr>
        <w:t>, d, FF and e, PCE.</w:t>
      </w:r>
    </w:p>
    <w:p w14:paraId="4029B80A" w14:textId="77777777" w:rsidR="00676DB5" w:rsidRDefault="00BF6DCE">
      <w:pPr>
        <w:widowControl/>
        <w:jc w:val="left"/>
        <w:rPr>
          <w:rFonts w:ascii="Times New Roman" w:hAnsi="Times New Roman" w:cs="Times New Roman"/>
        </w:rPr>
      </w:pPr>
      <w:r>
        <w:rPr>
          <w:rFonts w:ascii="Times New Roman" w:hAnsi="Times New Roman" w:cs="Times New Roman"/>
        </w:rPr>
        <w:br w:type="page"/>
      </w:r>
    </w:p>
    <w:p w14:paraId="4029B80B" w14:textId="77777777" w:rsidR="00676DB5" w:rsidRDefault="00BF6DCE">
      <w:pPr>
        <w:spacing w:line="360" w:lineRule="auto"/>
        <w:jc w:val="center"/>
        <w:rPr>
          <w:rFonts w:ascii="Times New Roman" w:hAnsi="Times New Roman" w:cs="Times New Roman"/>
        </w:rPr>
      </w:pPr>
      <w:r>
        <w:rPr>
          <w:noProof/>
        </w:rPr>
        <w:lastRenderedPageBreak/>
        <w:drawing>
          <wp:inline distT="0" distB="0" distL="0" distR="0" wp14:anchorId="4029B899" wp14:editId="4029B89A">
            <wp:extent cx="4015740" cy="2763520"/>
            <wp:effectExtent l="0" t="0" r="3810" b="0"/>
            <wp:docPr id="6186902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690258" name="图片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025169" cy="2770031"/>
                    </a:xfrm>
                    <a:prstGeom prst="rect">
                      <a:avLst/>
                    </a:prstGeom>
                    <a:noFill/>
                    <a:ln>
                      <a:noFill/>
                    </a:ln>
                  </pic:spPr>
                </pic:pic>
              </a:graphicData>
            </a:graphic>
          </wp:inline>
        </w:drawing>
      </w:r>
    </w:p>
    <w:p w14:paraId="4029B80C" w14:textId="77777777" w:rsidR="00676DB5" w:rsidRDefault="00BF6DCE">
      <w:pPr>
        <w:spacing w:line="360" w:lineRule="auto"/>
        <w:rPr>
          <w:rFonts w:ascii="Times New Roman" w:hAnsi="Times New Roman" w:cs="Times New Roman"/>
        </w:rPr>
      </w:pPr>
      <w:r>
        <w:rPr>
          <w:rFonts w:ascii="Times New Roman" w:hAnsi="Times New Roman" w:cs="Times New Roman"/>
          <w:b/>
          <w:bCs/>
        </w:rPr>
        <w:t xml:space="preserve">Fig </w:t>
      </w:r>
      <w:r>
        <w:rPr>
          <w:rFonts w:ascii="Times New Roman" w:hAnsi="Times New Roman" w:cs="Times New Roman" w:hint="eastAsia"/>
          <w:b/>
          <w:bCs/>
        </w:rPr>
        <w:t>7</w:t>
      </w:r>
      <w:r>
        <w:rPr>
          <w:rFonts w:ascii="Times New Roman" w:hAnsi="Times New Roman" w:cs="Times New Roman"/>
          <w:b/>
          <w:bCs/>
        </w:rPr>
        <w:t>.</w:t>
      </w:r>
      <w:r>
        <w:rPr>
          <w:rFonts w:ascii="Times New Roman" w:hAnsi="Times New Roman" w:cs="Times New Roman"/>
        </w:rPr>
        <w:t xml:space="preserve"> Statistic dark current density of PSCs W/O and with IBD after reverse bias. All devices were aged at -5 V external applied bias for 2 h. The devices W/O IBD have been breakdown.</w:t>
      </w:r>
    </w:p>
    <w:p w14:paraId="4029B80D" w14:textId="77777777" w:rsidR="00676DB5" w:rsidRDefault="00BF6DCE">
      <w:pPr>
        <w:widowControl/>
        <w:jc w:val="left"/>
        <w:rPr>
          <w:rFonts w:ascii="Times New Roman" w:hAnsi="Times New Roman" w:cs="Times New Roman"/>
        </w:rPr>
      </w:pPr>
      <w:r>
        <w:rPr>
          <w:rFonts w:ascii="Times New Roman" w:hAnsi="Times New Roman" w:cs="Times New Roman"/>
        </w:rPr>
        <w:br w:type="page"/>
      </w:r>
    </w:p>
    <w:p w14:paraId="4029B80E" w14:textId="77777777" w:rsidR="00676DB5" w:rsidRDefault="00BF6DCE">
      <w:pPr>
        <w:spacing w:line="360" w:lineRule="auto"/>
        <w:jc w:val="center"/>
        <w:rPr>
          <w:rFonts w:ascii="Times New Roman" w:hAnsi="Times New Roman" w:cs="Times New Roman"/>
        </w:rPr>
      </w:pPr>
      <w:r>
        <w:rPr>
          <w:noProof/>
        </w:rPr>
        <w:lastRenderedPageBreak/>
        <w:drawing>
          <wp:inline distT="0" distB="0" distL="0" distR="0" wp14:anchorId="4029B89B" wp14:editId="4029B89C">
            <wp:extent cx="3550920" cy="2559050"/>
            <wp:effectExtent l="0" t="0" r="0" b="0"/>
            <wp:docPr id="7009142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914217" name="图片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3556577" cy="2563596"/>
                    </a:xfrm>
                    <a:prstGeom prst="rect">
                      <a:avLst/>
                    </a:prstGeom>
                    <a:noFill/>
                    <a:ln>
                      <a:noFill/>
                    </a:ln>
                  </pic:spPr>
                </pic:pic>
              </a:graphicData>
            </a:graphic>
          </wp:inline>
        </w:drawing>
      </w:r>
    </w:p>
    <w:p w14:paraId="4029B80F" w14:textId="77777777" w:rsidR="00676DB5" w:rsidRDefault="00BF6DCE">
      <w:pPr>
        <w:spacing w:line="360" w:lineRule="auto"/>
        <w:jc w:val="left"/>
        <w:rPr>
          <w:rFonts w:ascii="Times New Roman" w:hAnsi="Times New Roman" w:cs="Times New Roman"/>
        </w:rPr>
      </w:pPr>
      <w:r>
        <w:rPr>
          <w:rFonts w:ascii="Times New Roman" w:hAnsi="Times New Roman" w:cs="Times New Roman"/>
          <w:b/>
          <w:bCs/>
        </w:rPr>
        <w:t xml:space="preserve">Fig </w:t>
      </w:r>
      <w:r>
        <w:rPr>
          <w:rFonts w:ascii="Times New Roman" w:hAnsi="Times New Roman" w:cs="Times New Roman" w:hint="eastAsia"/>
          <w:b/>
          <w:bCs/>
        </w:rPr>
        <w:t>8</w:t>
      </w:r>
      <w:r>
        <w:rPr>
          <w:rFonts w:ascii="Times New Roman" w:hAnsi="Times New Roman" w:cs="Times New Roman"/>
          <w:b/>
          <w:bCs/>
        </w:rPr>
        <w:t>.</w:t>
      </w:r>
      <w:r>
        <w:rPr>
          <w:rFonts w:ascii="Times New Roman" w:hAnsi="Times New Roman" w:cs="Times New Roman"/>
        </w:rPr>
        <w:t xml:space="preserve"> Comparison of </w:t>
      </w:r>
      <w:r>
        <w:rPr>
          <w:rFonts w:ascii="Times New Roman" w:hAnsi="Times New Roman" w:cs="Times New Roman"/>
          <w:i/>
          <w:iCs/>
        </w:rPr>
        <w:t>J-V</w:t>
      </w:r>
      <w:r>
        <w:rPr>
          <w:rFonts w:ascii="Times New Roman" w:hAnsi="Times New Roman" w:cs="Times New Roman"/>
        </w:rPr>
        <w:t xml:space="preserve"> curves of PSCs W/O</w:t>
      </w:r>
      <w:r>
        <w:rPr>
          <w:rFonts w:ascii="Times New Roman" w:hAnsi="Times New Roman" w:cs="Times New Roman" w:hint="eastAsia"/>
        </w:rPr>
        <w:t xml:space="preserve"> </w:t>
      </w:r>
      <w:r>
        <w:rPr>
          <w:rFonts w:ascii="Times New Roman" w:hAnsi="Times New Roman" w:cs="Times New Roman"/>
        </w:rPr>
        <w:t>(up) and with</w:t>
      </w:r>
      <w:r>
        <w:rPr>
          <w:rFonts w:ascii="Times New Roman" w:hAnsi="Times New Roman" w:cs="Times New Roman" w:hint="eastAsia"/>
        </w:rPr>
        <w:t xml:space="preserve"> </w:t>
      </w:r>
      <w:r>
        <w:rPr>
          <w:rFonts w:ascii="Times New Roman" w:hAnsi="Times New Roman" w:cs="Times New Roman"/>
        </w:rPr>
        <w:t>(bottom) IBD before and after bias treatment.</w:t>
      </w:r>
    </w:p>
    <w:p w14:paraId="4029B810" w14:textId="77777777" w:rsidR="00676DB5" w:rsidRDefault="00BF6DCE">
      <w:pPr>
        <w:widowControl/>
        <w:jc w:val="left"/>
        <w:rPr>
          <w:rFonts w:ascii="Times New Roman" w:hAnsi="Times New Roman" w:cs="Times New Roman"/>
        </w:rPr>
      </w:pPr>
      <w:r>
        <w:rPr>
          <w:rFonts w:ascii="Times New Roman" w:hAnsi="Times New Roman" w:cs="Times New Roman"/>
        </w:rPr>
        <w:br w:type="page"/>
      </w:r>
    </w:p>
    <w:p w14:paraId="4029B811" w14:textId="77777777" w:rsidR="00676DB5" w:rsidRDefault="00BF6DCE">
      <w:pPr>
        <w:spacing w:line="360" w:lineRule="auto"/>
        <w:jc w:val="center"/>
        <w:rPr>
          <w:rFonts w:ascii="Times New Roman" w:hAnsi="Times New Roman" w:cs="Times New Roman"/>
        </w:rPr>
      </w:pPr>
      <w:r>
        <w:rPr>
          <w:noProof/>
        </w:rPr>
        <w:lastRenderedPageBreak/>
        <w:drawing>
          <wp:inline distT="0" distB="0" distL="0" distR="0" wp14:anchorId="4029B89D" wp14:editId="4029B89E">
            <wp:extent cx="4876800" cy="2862580"/>
            <wp:effectExtent l="0" t="0" r="0" b="0"/>
            <wp:docPr id="213329399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293992" name="图片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4882199" cy="2866071"/>
                    </a:xfrm>
                    <a:prstGeom prst="rect">
                      <a:avLst/>
                    </a:prstGeom>
                    <a:noFill/>
                    <a:ln>
                      <a:noFill/>
                    </a:ln>
                  </pic:spPr>
                </pic:pic>
              </a:graphicData>
            </a:graphic>
          </wp:inline>
        </w:drawing>
      </w:r>
    </w:p>
    <w:p w14:paraId="4029B812" w14:textId="77777777" w:rsidR="00676DB5" w:rsidRDefault="00BF6DCE">
      <w:pPr>
        <w:spacing w:line="360" w:lineRule="auto"/>
        <w:rPr>
          <w:rFonts w:ascii="Times New Roman" w:hAnsi="Times New Roman" w:cs="Times New Roman"/>
        </w:rPr>
      </w:pPr>
      <w:r>
        <w:rPr>
          <w:rFonts w:ascii="Times New Roman" w:hAnsi="Times New Roman" w:cs="Times New Roman"/>
          <w:b/>
          <w:bCs/>
        </w:rPr>
        <w:t xml:space="preserve">Fig </w:t>
      </w:r>
      <w:r>
        <w:rPr>
          <w:rFonts w:ascii="Times New Roman" w:hAnsi="Times New Roman" w:cs="Times New Roman" w:hint="eastAsia"/>
          <w:b/>
          <w:bCs/>
        </w:rPr>
        <w:t>9</w:t>
      </w:r>
      <w:r>
        <w:rPr>
          <w:rFonts w:ascii="Times New Roman" w:hAnsi="Times New Roman" w:cs="Times New Roman"/>
          <w:b/>
          <w:bCs/>
        </w:rPr>
        <w:t>.</w:t>
      </w:r>
      <w:r>
        <w:rPr>
          <w:rFonts w:ascii="Times New Roman" w:hAnsi="Times New Roman" w:cs="Times New Roman"/>
        </w:rPr>
        <w:t xml:space="preserve"> T</w:t>
      </w:r>
      <w:r>
        <w:rPr>
          <w:rFonts w:ascii="Times New Roman" w:hAnsi="Times New Roman" w:cs="Times New Roman" w:hint="eastAsia"/>
        </w:rPr>
        <w:t>O</w:t>
      </w:r>
      <w:r>
        <w:rPr>
          <w:rFonts w:ascii="Times New Roman" w:hAnsi="Times New Roman" w:cs="Times New Roman"/>
        </w:rPr>
        <w:t>F-SIMS 3D distribution of I</w:t>
      </w:r>
      <w:r>
        <w:rPr>
          <w:rFonts w:ascii="Times New Roman" w:hAnsi="Times New Roman" w:cs="Times New Roman"/>
          <w:vertAlign w:val="superscript"/>
        </w:rPr>
        <w:t>-</w:t>
      </w:r>
      <w:r>
        <w:rPr>
          <w:rFonts w:ascii="Times New Roman" w:hAnsi="Times New Roman" w:cs="Times New Roman"/>
        </w:rPr>
        <w:t>,Pb</w:t>
      </w:r>
      <w:r>
        <w:rPr>
          <w:rFonts w:ascii="Times New Roman" w:hAnsi="Times New Roman" w:cs="Times New Roman"/>
          <w:vertAlign w:val="superscript"/>
        </w:rPr>
        <w:t>+</w:t>
      </w:r>
      <w:r>
        <w:rPr>
          <w:rFonts w:ascii="Times New Roman" w:hAnsi="Times New Roman" w:cs="Times New Roman"/>
        </w:rPr>
        <w:t xml:space="preserve"> and In</w:t>
      </w:r>
      <w:r>
        <w:rPr>
          <w:rFonts w:ascii="Times New Roman" w:hAnsi="Times New Roman" w:cs="Times New Roman"/>
          <w:vertAlign w:val="superscript"/>
        </w:rPr>
        <w:t>+</w:t>
      </w:r>
      <w:r>
        <w:rPr>
          <w:rFonts w:ascii="Times New Roman" w:hAnsi="Times New Roman" w:cs="Times New Roman"/>
        </w:rPr>
        <w:t xml:space="preserve"> inside the original and aged PSC at -5 V reverse bias for 2 hours.</w:t>
      </w:r>
    </w:p>
    <w:p w14:paraId="4029B813" w14:textId="77777777" w:rsidR="00676DB5" w:rsidRDefault="00BF6DCE">
      <w:pPr>
        <w:widowControl/>
        <w:jc w:val="left"/>
        <w:rPr>
          <w:rFonts w:ascii="Times New Roman" w:hAnsi="Times New Roman" w:cs="Times New Roman"/>
        </w:rPr>
      </w:pPr>
      <w:r>
        <w:rPr>
          <w:rFonts w:ascii="Times New Roman" w:hAnsi="Times New Roman" w:cs="Times New Roman"/>
        </w:rPr>
        <w:br w:type="page"/>
      </w:r>
    </w:p>
    <w:p w14:paraId="4029B814" w14:textId="77777777" w:rsidR="00676DB5" w:rsidRDefault="00BF6DCE">
      <w:pPr>
        <w:spacing w:line="360" w:lineRule="auto"/>
        <w:jc w:val="center"/>
        <w:rPr>
          <w:rFonts w:ascii="Times New Roman" w:hAnsi="Times New Roman" w:cs="Times New Roman"/>
        </w:rPr>
      </w:pPr>
      <w:r>
        <w:rPr>
          <w:noProof/>
        </w:rPr>
        <w:lastRenderedPageBreak/>
        <w:drawing>
          <wp:inline distT="0" distB="0" distL="0" distR="0" wp14:anchorId="4029B89F" wp14:editId="4029B8A0">
            <wp:extent cx="5274310" cy="1128395"/>
            <wp:effectExtent l="0" t="0" r="2540" b="0"/>
            <wp:docPr id="64185666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56663" name="图片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274310" cy="1128395"/>
                    </a:xfrm>
                    <a:prstGeom prst="rect">
                      <a:avLst/>
                    </a:prstGeom>
                    <a:noFill/>
                    <a:ln>
                      <a:noFill/>
                    </a:ln>
                  </pic:spPr>
                </pic:pic>
              </a:graphicData>
            </a:graphic>
          </wp:inline>
        </w:drawing>
      </w:r>
    </w:p>
    <w:p w14:paraId="4029B815" w14:textId="77777777" w:rsidR="00676DB5" w:rsidRDefault="00BF6DCE">
      <w:pPr>
        <w:spacing w:line="360" w:lineRule="auto"/>
        <w:rPr>
          <w:rFonts w:ascii="Times New Roman" w:hAnsi="Times New Roman" w:cs="Times New Roman"/>
        </w:rPr>
      </w:pPr>
      <w:r>
        <w:rPr>
          <w:rFonts w:ascii="Times New Roman" w:hAnsi="Times New Roman" w:cs="Times New Roman"/>
          <w:b/>
          <w:bCs/>
        </w:rPr>
        <w:t>Fig 1</w:t>
      </w:r>
      <w:r>
        <w:rPr>
          <w:rFonts w:ascii="Times New Roman" w:hAnsi="Times New Roman" w:cs="Times New Roman" w:hint="eastAsia"/>
          <w:b/>
          <w:bCs/>
        </w:rPr>
        <w:t>0</w:t>
      </w:r>
      <w:r>
        <w:rPr>
          <w:rFonts w:ascii="Times New Roman" w:hAnsi="Times New Roman" w:cs="Times New Roman"/>
          <w:b/>
          <w:bCs/>
        </w:rPr>
        <w:t>.</w:t>
      </w:r>
      <w:r>
        <w:rPr>
          <w:rFonts w:ascii="Times New Roman" w:hAnsi="Times New Roman" w:cs="Times New Roman"/>
        </w:rPr>
        <w:t xml:space="preserve"> Microscope, cross-SEM and EDS mapping images of PSCs With IBD aged at -5 V for 2 h. </w:t>
      </w:r>
      <w:proofErr w:type="spellStart"/>
      <w:r>
        <w:rPr>
          <w:rFonts w:ascii="Times New Roman" w:hAnsi="Times New Roman" w:cs="Times New Roman"/>
        </w:rPr>
        <w:t>a,b</w:t>
      </w:r>
      <w:proofErr w:type="spellEnd"/>
      <w:r>
        <w:rPr>
          <w:rFonts w:ascii="Times New Roman" w:hAnsi="Times New Roman" w:cs="Times New Roman"/>
        </w:rPr>
        <w:t xml:space="preserve">, Top view microscope images of Ag electrode at scales of 1 mm and 100 </w:t>
      </w:r>
      <w:proofErr w:type="spellStart"/>
      <w:r>
        <w:rPr>
          <w:rFonts w:ascii="Times New Roman" w:hAnsi="Times New Roman" w:cs="Times New Roman"/>
        </w:rPr>
        <w:t>μm</w:t>
      </w:r>
      <w:proofErr w:type="spellEnd"/>
      <w:r>
        <w:rPr>
          <w:rFonts w:ascii="Times New Roman" w:hAnsi="Times New Roman" w:cs="Times New Roman"/>
        </w:rPr>
        <w:t>, respectively. c,  Cross-SEM images of PSCs. d, EDS mapping of Ag atoms.</w:t>
      </w:r>
    </w:p>
    <w:p w14:paraId="4029B816" w14:textId="77777777" w:rsidR="00676DB5" w:rsidRDefault="00BF6DCE">
      <w:pPr>
        <w:widowControl/>
        <w:jc w:val="left"/>
        <w:rPr>
          <w:rFonts w:ascii="Times New Roman" w:hAnsi="Times New Roman" w:cs="Times New Roman"/>
        </w:rPr>
      </w:pPr>
      <w:r>
        <w:rPr>
          <w:rFonts w:ascii="Times New Roman" w:hAnsi="Times New Roman" w:cs="Times New Roman"/>
        </w:rPr>
        <w:br w:type="page"/>
      </w:r>
    </w:p>
    <w:p w14:paraId="4029B817" w14:textId="77777777" w:rsidR="00676DB5" w:rsidRDefault="00BF6DCE">
      <w:pPr>
        <w:spacing w:line="360" w:lineRule="auto"/>
        <w:jc w:val="left"/>
        <w:rPr>
          <w:rFonts w:ascii="Times New Roman" w:hAnsi="Times New Roman" w:cs="Times New Roman"/>
        </w:rPr>
      </w:pPr>
      <w:r>
        <w:rPr>
          <w:noProof/>
        </w:rPr>
        <w:lastRenderedPageBreak/>
        <w:drawing>
          <wp:inline distT="0" distB="0" distL="0" distR="0" wp14:anchorId="4029B8A1" wp14:editId="4029B8A2">
            <wp:extent cx="5274310" cy="2174875"/>
            <wp:effectExtent l="0" t="0" r="2540" b="0"/>
            <wp:docPr id="195408175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081751" name="图片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274310" cy="2174875"/>
                    </a:xfrm>
                    <a:prstGeom prst="rect">
                      <a:avLst/>
                    </a:prstGeom>
                    <a:noFill/>
                    <a:ln>
                      <a:noFill/>
                    </a:ln>
                  </pic:spPr>
                </pic:pic>
              </a:graphicData>
            </a:graphic>
          </wp:inline>
        </w:drawing>
      </w:r>
    </w:p>
    <w:p w14:paraId="4029B818" w14:textId="77777777" w:rsidR="00676DB5" w:rsidRDefault="00BF6DCE">
      <w:pPr>
        <w:spacing w:line="360" w:lineRule="auto"/>
        <w:rPr>
          <w:rFonts w:ascii="Times New Roman" w:hAnsi="Times New Roman" w:cs="Times New Roman"/>
        </w:rPr>
      </w:pPr>
      <w:r>
        <w:rPr>
          <w:rFonts w:ascii="Times New Roman" w:hAnsi="Times New Roman" w:cs="Times New Roman"/>
          <w:b/>
          <w:bCs/>
        </w:rPr>
        <w:t>Fig 1</w:t>
      </w:r>
      <w:r>
        <w:rPr>
          <w:rFonts w:ascii="Times New Roman" w:hAnsi="Times New Roman" w:cs="Times New Roman" w:hint="eastAsia"/>
          <w:b/>
          <w:bCs/>
        </w:rPr>
        <w:t>1</w:t>
      </w:r>
      <w:r>
        <w:rPr>
          <w:rFonts w:ascii="Times New Roman" w:hAnsi="Times New Roman" w:cs="Times New Roman"/>
          <w:b/>
          <w:bCs/>
        </w:rPr>
        <w:t>.</w:t>
      </w:r>
      <w:r>
        <w:rPr>
          <w:rFonts w:ascii="Times New Roman" w:hAnsi="Times New Roman" w:cs="Times New Roman"/>
        </w:rPr>
        <w:t xml:space="preserve"> Photographs of PSCs W/O IBD before and after bias treatment for 48 h from Ag side(up) and ITO side(bottom), respectively. </w:t>
      </w:r>
    </w:p>
    <w:p w14:paraId="4029B819" w14:textId="77777777" w:rsidR="00676DB5" w:rsidRDefault="00BF6DCE">
      <w:pPr>
        <w:widowControl/>
        <w:jc w:val="left"/>
        <w:rPr>
          <w:rFonts w:ascii="Times New Roman" w:hAnsi="Times New Roman" w:cs="Times New Roman"/>
        </w:rPr>
      </w:pPr>
      <w:r>
        <w:rPr>
          <w:rFonts w:ascii="Times New Roman" w:hAnsi="Times New Roman" w:cs="Times New Roman"/>
        </w:rPr>
        <w:br w:type="page"/>
      </w:r>
    </w:p>
    <w:p w14:paraId="4029B81A" w14:textId="77777777" w:rsidR="00676DB5" w:rsidRDefault="00BF6DCE">
      <w:pPr>
        <w:spacing w:line="360" w:lineRule="auto"/>
        <w:jc w:val="center"/>
        <w:rPr>
          <w:rFonts w:ascii="Times New Roman" w:hAnsi="Times New Roman" w:cs="Times New Roman"/>
        </w:rPr>
      </w:pPr>
      <w:r>
        <w:rPr>
          <w:noProof/>
        </w:rPr>
        <w:lastRenderedPageBreak/>
        <w:drawing>
          <wp:inline distT="0" distB="0" distL="0" distR="0" wp14:anchorId="4029B8A3" wp14:editId="4029B8A4">
            <wp:extent cx="5274310" cy="2199005"/>
            <wp:effectExtent l="0" t="0" r="2540" b="0"/>
            <wp:docPr id="2599044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904423" name="图片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274310" cy="2199005"/>
                    </a:xfrm>
                    <a:prstGeom prst="rect">
                      <a:avLst/>
                    </a:prstGeom>
                    <a:noFill/>
                    <a:ln>
                      <a:noFill/>
                    </a:ln>
                  </pic:spPr>
                </pic:pic>
              </a:graphicData>
            </a:graphic>
          </wp:inline>
        </w:drawing>
      </w:r>
    </w:p>
    <w:p w14:paraId="4029B81B" w14:textId="77777777" w:rsidR="00676DB5" w:rsidRDefault="00BF6DCE">
      <w:pPr>
        <w:spacing w:line="360" w:lineRule="auto"/>
        <w:jc w:val="left"/>
        <w:rPr>
          <w:rFonts w:ascii="Times New Roman" w:hAnsi="Times New Roman" w:cs="Times New Roman"/>
        </w:rPr>
      </w:pPr>
      <w:r>
        <w:rPr>
          <w:rFonts w:ascii="Times New Roman" w:hAnsi="Times New Roman" w:cs="Times New Roman"/>
          <w:b/>
          <w:bCs/>
        </w:rPr>
        <w:t>Fig 1</w:t>
      </w:r>
      <w:r>
        <w:rPr>
          <w:rFonts w:ascii="Times New Roman" w:hAnsi="Times New Roman" w:cs="Times New Roman" w:hint="eastAsia"/>
          <w:b/>
          <w:bCs/>
        </w:rPr>
        <w:t>2</w:t>
      </w:r>
      <w:r>
        <w:rPr>
          <w:rFonts w:ascii="Times New Roman" w:hAnsi="Times New Roman" w:cs="Times New Roman"/>
          <w:b/>
          <w:bCs/>
        </w:rPr>
        <w:t>.</w:t>
      </w:r>
      <w:r>
        <w:rPr>
          <w:rFonts w:ascii="Times New Roman" w:hAnsi="Times New Roman" w:cs="Times New Roman"/>
        </w:rPr>
        <w:t xml:space="preserve"> Photographs of PSCs With IBD before and after bias treatment for 48 h from Ag side(up) and ITO side(bottom), respectively. </w:t>
      </w:r>
    </w:p>
    <w:p w14:paraId="4029B81C" w14:textId="77777777" w:rsidR="00676DB5" w:rsidRDefault="00676DB5">
      <w:pPr>
        <w:spacing w:line="360" w:lineRule="auto"/>
        <w:jc w:val="left"/>
        <w:rPr>
          <w:rFonts w:ascii="Times New Roman" w:hAnsi="Times New Roman" w:cs="Times New Roman"/>
        </w:rPr>
        <w:sectPr w:rsidR="00676DB5">
          <w:pgSz w:w="11906" w:h="16838"/>
          <w:pgMar w:top="1440" w:right="1800" w:bottom="1440" w:left="1800" w:header="851" w:footer="992" w:gutter="0"/>
          <w:cols w:space="425"/>
          <w:docGrid w:type="lines" w:linePitch="312"/>
        </w:sectPr>
      </w:pPr>
    </w:p>
    <w:p w14:paraId="4029B81D" w14:textId="77777777" w:rsidR="00676DB5" w:rsidRDefault="00BF6DCE">
      <w:pPr>
        <w:spacing w:line="360" w:lineRule="auto"/>
        <w:rPr>
          <w:rFonts w:ascii="Times New Roman" w:hAnsi="Times New Roman" w:cs="Times New Roman"/>
        </w:rPr>
      </w:pPr>
      <w:r>
        <w:rPr>
          <w:rFonts w:ascii="Times New Roman" w:hAnsi="Times New Roman" w:cs="Times New Roman"/>
          <w:b/>
          <w:bCs/>
          <w:sz w:val="28"/>
          <w:szCs w:val="28"/>
        </w:rPr>
        <w:lastRenderedPageBreak/>
        <w:t xml:space="preserve">Supplementary </w:t>
      </w:r>
      <w:r>
        <w:rPr>
          <w:rFonts w:ascii="Times New Roman" w:hAnsi="Times New Roman" w:cs="Times New Roman" w:hint="eastAsia"/>
          <w:b/>
          <w:bCs/>
          <w:sz w:val="28"/>
          <w:szCs w:val="28"/>
        </w:rPr>
        <w:t>Table</w:t>
      </w:r>
    </w:p>
    <w:p w14:paraId="4029B81E" w14:textId="77777777" w:rsidR="00676DB5" w:rsidRDefault="00BF6DCE">
      <w:pPr>
        <w:spacing w:line="360" w:lineRule="auto"/>
        <w:rPr>
          <w:rFonts w:ascii="Times New Roman" w:hAnsi="Times New Roman" w:cs="Times New Roman"/>
        </w:rPr>
      </w:pPr>
      <w:r>
        <w:rPr>
          <w:rFonts w:ascii="Times New Roman" w:hAnsi="Times New Roman" w:cs="Times New Roman" w:hint="eastAsia"/>
          <w:b/>
          <w:bCs/>
        </w:rPr>
        <w:t>Supplementary Table S1.</w:t>
      </w:r>
      <w:r>
        <w:rPr>
          <w:rFonts w:ascii="Times New Roman" w:hAnsi="Times New Roman" w:cs="Times New Roman" w:hint="eastAsia"/>
        </w:rPr>
        <w:t xml:space="preserve"> </w:t>
      </w:r>
      <w:r>
        <w:rPr>
          <w:rFonts w:ascii="Times New Roman" w:hAnsi="Times New Roman" w:cs="Times New Roman"/>
        </w:rPr>
        <w:t>Comprehensive comparison between integrated memristor (</w:t>
      </w:r>
      <w:proofErr w:type="spellStart"/>
      <w:r>
        <w:rPr>
          <w:rFonts w:ascii="Times New Roman" w:hAnsi="Times New Roman" w:cs="Times New Roman"/>
        </w:rPr>
        <w:t>Memsol</w:t>
      </w:r>
      <w:proofErr w:type="spellEnd"/>
      <w:r>
        <w:rPr>
          <w:rFonts w:ascii="Times New Roman" w:hAnsi="Times New Roman" w:cs="Times New Roman"/>
        </w:rPr>
        <w:t>)</w:t>
      </w:r>
      <w:r>
        <w:rPr>
          <w:rFonts w:ascii="Times New Roman" w:hAnsi="Times New Roman" w:cs="Times New Roman" w:hint="eastAsia"/>
        </w:rPr>
        <w:fldChar w:fldCharType="begin"/>
      </w:r>
      <w:r>
        <w:rPr>
          <w:rFonts w:ascii="Times New Roman" w:hAnsi="Times New Roman" w:cs="Times New Roman" w:hint="eastAsia"/>
        </w:rPr>
        <w:instrText xml:space="preserve"> ADDIN EN.CITE &lt;EndNote&gt;&lt;Cite&gt;&lt;Author&gt;Mohammadi&lt;/Author&gt;&lt;Year&gt;2026&lt;/Year&gt;&lt;RecNum&gt;88&lt;/RecNum&gt;&lt;DisplayText&gt;&lt;style face="superscript"&gt;13&lt;/style&gt;&lt;/DisplayText&gt;&lt;record&gt;&lt;rec-number&gt;88&lt;/rec-number&gt;&lt;foreign-keys&gt;&lt;key app="EN" db-id="wax05raw0dp0sde5sszvt5f3tzpff5xteaxz" timestamp="1781224351"&gt;88&lt;/key&gt;&lt;/foreign-keys&gt;&lt;ref-type name="Journal Article"&gt;17&lt;/ref-type&gt;&lt;contributors&gt;&lt;authors&gt;&lt;author&gt;Mohammadi, Mahdi&lt;/author&gt;&lt;author&gt;Ji, Fuxiang&lt;/author&gt;&lt;author&gt;Sachsenweger, Tristan&lt;/author&gt;&lt;author&gt;Meraji, Kazem&lt;/author&gt;&lt;auth</w:instrText>
      </w:r>
      <w:r>
        <w:rPr>
          <w:rFonts w:ascii="Times New Roman" w:hAnsi="Times New Roman" w:cs="Times New Roman" w:hint="eastAsia"/>
        </w:rPr>
        <w:instrText>or&gt;Parayil Shaji, Sharun&lt;/author&gt;&lt;author&gt;Tress, Wolfgang&lt;/author&gt;&lt;/authors&gt;&lt;/contributors&gt;&lt;titles&gt;&lt;title&gt;Integrated memristor for mitigating reverse-bias in perovskite solar cells&lt;/title&gt;&lt;secondary-title&gt;Nature&lt;/secondary-title&gt;&lt;/titles&gt;&lt;periodical&gt;&lt;full-title&gt;Nature&lt;/full-title&gt;&lt;/periodical&gt;&lt;pages&gt;933-939&lt;/pages&gt;&lt;volume&gt;651&lt;/volume&gt;&lt;number&gt;8107&lt;/number&gt;&lt;dates&gt;&lt;year&gt;2026&lt;/year&gt;&lt;pub-dates&gt;&lt;date&gt;2026/03/01&lt;/date&gt;&lt;/pub-dates&gt;&lt;/dates&gt;&lt;isbn&gt;1476-4687&lt;/isbn&gt;&lt;urls&gt;&lt;related-urls&gt;&lt;url&gt;https://doi.org/10.1038/s41586-</w:instrText>
      </w:r>
      <w:r>
        <w:rPr>
          <w:rFonts w:ascii="Times New Roman" w:hAnsi="Times New Roman" w:cs="Times New Roman" w:hint="eastAsia"/>
        </w:rPr>
        <w:instrText>026-10275-3&lt;/url&gt;&lt;/related-urls&gt;&lt;/urls&gt;&lt;electronic-resource-num&gt;10.1038/s41586-026-10275-3&lt;/electronic-resource-num&gt;&lt;/record&gt;&lt;/Cite&gt;&lt;/EndNote&gt;</w:instrText>
      </w:r>
      <w:r>
        <w:rPr>
          <w:rFonts w:ascii="Times New Roman" w:hAnsi="Times New Roman" w:cs="Times New Roman" w:hint="eastAsia"/>
        </w:rPr>
        <w:fldChar w:fldCharType="separate"/>
      </w:r>
      <w:r>
        <w:rPr>
          <w:rFonts w:ascii="Times New Roman" w:hAnsi="Times New Roman" w:cs="Times New Roman" w:hint="eastAsia"/>
          <w:vertAlign w:val="superscript"/>
        </w:rPr>
        <w:t>13</w:t>
      </w:r>
      <w:r>
        <w:rPr>
          <w:rFonts w:ascii="Times New Roman" w:hAnsi="Times New Roman" w:cs="Times New Roman" w:hint="eastAsia"/>
        </w:rPr>
        <w:fldChar w:fldCharType="end"/>
      </w:r>
      <w:r>
        <w:rPr>
          <w:rFonts w:ascii="Times New Roman" w:hAnsi="Times New Roman" w:cs="Times New Roman"/>
        </w:rPr>
        <w:t xml:space="preserve"> and integrated bypass diode (IBD) for anti-reverse-bias PSCs</w:t>
      </w:r>
      <w:r>
        <w:rPr>
          <w:rFonts w:ascii="Times New Roman" w:hAnsi="Times New Roman" w:cs="Times New Roman" w:hint="eastAsia"/>
        </w:rPr>
        <w:t>.</w:t>
      </w:r>
    </w:p>
    <w:tbl>
      <w:tblPr>
        <w:tblW w:w="5000" w:type="pct"/>
        <w:tblCellMar>
          <w:top w:w="15" w:type="dxa"/>
          <w:left w:w="15" w:type="dxa"/>
          <w:bottom w:w="15" w:type="dxa"/>
          <w:right w:w="15" w:type="dxa"/>
        </w:tblCellMar>
        <w:tblLook w:val="04A0" w:firstRow="1" w:lastRow="0" w:firstColumn="1" w:lastColumn="0" w:noHBand="0" w:noVBand="1"/>
      </w:tblPr>
      <w:tblGrid>
        <w:gridCol w:w="2772"/>
        <w:gridCol w:w="6008"/>
        <w:gridCol w:w="6602"/>
      </w:tblGrid>
      <w:tr w:rsidR="00676DB5" w14:paraId="4029B822" w14:textId="77777777">
        <w:trPr>
          <w:trHeight w:val="283"/>
          <w:tblHeader/>
        </w:trPr>
        <w:tc>
          <w:tcPr>
            <w:tcW w:w="901" w:type="pct"/>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1F" w14:textId="77777777" w:rsidR="00676DB5" w:rsidRDefault="00BF6DCE">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Comparison Aspects</w:t>
            </w:r>
          </w:p>
        </w:tc>
        <w:tc>
          <w:tcPr>
            <w:tcW w:w="1953" w:type="pct"/>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20" w14:textId="77777777" w:rsidR="00676DB5" w:rsidRDefault="00BF6DCE">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Integrated Bypass Diode (IBD, This Work)</w:t>
            </w:r>
          </w:p>
        </w:tc>
        <w:tc>
          <w:tcPr>
            <w:tcW w:w="2146" w:type="pct"/>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21" w14:textId="77777777" w:rsidR="00676DB5" w:rsidRDefault="00BF6DCE">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Integrated Memristor (</w:t>
            </w:r>
            <w:proofErr w:type="spellStart"/>
            <w:r>
              <w:rPr>
                <w:rFonts w:ascii="Times New Roman" w:hAnsi="Times New Roman" w:cs="Times New Roman"/>
                <w:b/>
                <w:bCs/>
                <w:sz w:val="20"/>
                <w:szCs w:val="20"/>
              </w:rPr>
              <w:t>Memsol</w:t>
            </w:r>
            <w:proofErr w:type="spellEnd"/>
            <w:r>
              <w:rPr>
                <w:rFonts w:ascii="Times New Roman" w:hAnsi="Times New Roman" w:cs="Times New Roman"/>
                <w:b/>
                <w:bCs/>
                <w:sz w:val="20"/>
                <w:szCs w:val="20"/>
              </w:rPr>
              <w:t>, Nature 2026)</w:t>
            </w:r>
          </w:p>
        </w:tc>
      </w:tr>
      <w:tr w:rsidR="00676DB5" w14:paraId="4029B826" w14:textId="77777777">
        <w:trPr>
          <w:trHeight w:val="20"/>
        </w:trPr>
        <w:tc>
          <w:tcPr>
            <w:tcW w:w="901" w:type="pct"/>
            <w:tcBorders>
              <w:top w:val="single" w:sz="12" w:space="0" w:color="auto"/>
              <w:left w:val="single" w:sz="6" w:space="0" w:color="CCCCCC"/>
              <w:bottom w:val="single" w:sz="4" w:space="0" w:color="auto"/>
              <w:right w:val="single" w:sz="6" w:space="0" w:color="CCCCCC"/>
            </w:tcBorders>
            <w:tcMar>
              <w:top w:w="120" w:type="dxa"/>
              <w:left w:w="120" w:type="dxa"/>
              <w:bottom w:w="120" w:type="dxa"/>
              <w:right w:w="120" w:type="dxa"/>
            </w:tcMar>
            <w:vAlign w:val="center"/>
          </w:tcPr>
          <w:p w14:paraId="4029B823" w14:textId="77777777" w:rsidR="00676DB5" w:rsidRDefault="00BF6DCE">
            <w:pPr>
              <w:spacing w:line="360" w:lineRule="auto"/>
              <w:jc w:val="center"/>
              <w:rPr>
                <w:rFonts w:ascii="Times New Roman" w:hAnsi="Times New Roman" w:cs="Times New Roman"/>
              </w:rPr>
            </w:pPr>
            <w:r>
              <w:rPr>
                <w:rFonts w:ascii="Times New Roman" w:hAnsi="Times New Roman" w:cs="Times New Roman"/>
                <w:b/>
                <w:bCs/>
              </w:rPr>
              <w:t>1. Structural Complexity</w:t>
            </w:r>
          </w:p>
        </w:tc>
        <w:tc>
          <w:tcPr>
            <w:tcW w:w="1953" w:type="pct"/>
            <w:tcBorders>
              <w:top w:val="single" w:sz="12" w:space="0" w:color="auto"/>
              <w:left w:val="single" w:sz="6" w:space="0" w:color="CCCCCC"/>
              <w:bottom w:val="single" w:sz="4" w:space="0" w:color="auto"/>
              <w:right w:val="single" w:sz="6" w:space="0" w:color="CCCCCC"/>
            </w:tcBorders>
            <w:tcMar>
              <w:top w:w="120" w:type="dxa"/>
              <w:left w:w="120" w:type="dxa"/>
              <w:bottom w:w="120" w:type="dxa"/>
              <w:right w:w="120" w:type="dxa"/>
            </w:tcMar>
            <w:vAlign w:val="center"/>
          </w:tcPr>
          <w:p w14:paraId="4029B824" w14:textId="77777777" w:rsidR="00676DB5" w:rsidRDefault="00BF6DCE">
            <w:pPr>
              <w:spacing w:line="360" w:lineRule="auto"/>
              <w:rPr>
                <w:rFonts w:ascii="Times New Roman" w:hAnsi="Times New Roman" w:cs="Times New Roman"/>
              </w:rPr>
            </w:pPr>
            <w:r>
              <w:rPr>
                <w:rFonts w:ascii="Times New Roman" w:hAnsi="Times New Roman" w:cs="Times New Roman"/>
              </w:rPr>
              <w:t>Low to moderate. Adopts a lateral integrated structure combining standard diode and perovskite solar cell (PSC). The overall film stack is simplified, with only a limited number of extra functional layers introduced. The two functional regions (photoactive PSC and IBD) are clearly defined and electrically isolated via a simple transition zone</w:t>
            </w:r>
            <w:r>
              <w:rPr>
                <w:rFonts w:ascii="Times New Roman" w:hAnsi="Times New Roman" w:cs="Times New Roman" w:hint="eastAsia"/>
              </w:rPr>
              <w:t>.</w:t>
            </w:r>
            <w:r>
              <w:rPr>
                <w:rFonts w:ascii="Times New Roman" w:hAnsi="Times New Roman" w:cs="Times New Roman"/>
              </w:rPr>
              <w:t xml:space="preserve"> The device operates based on the unidirectional conduction characteristic of conventional diodes.</w:t>
            </w:r>
          </w:p>
        </w:tc>
        <w:tc>
          <w:tcPr>
            <w:tcW w:w="2146" w:type="pct"/>
            <w:tcBorders>
              <w:top w:val="single" w:sz="12" w:space="0" w:color="auto"/>
              <w:left w:val="single" w:sz="6" w:space="0" w:color="CCCCCC"/>
              <w:bottom w:val="single" w:sz="4" w:space="0" w:color="auto"/>
              <w:right w:val="single" w:sz="6" w:space="0" w:color="CCCCCC"/>
            </w:tcBorders>
            <w:tcMar>
              <w:top w:w="120" w:type="dxa"/>
              <w:left w:w="120" w:type="dxa"/>
              <w:bottom w:w="120" w:type="dxa"/>
              <w:right w:w="120" w:type="dxa"/>
            </w:tcMar>
            <w:vAlign w:val="center"/>
          </w:tcPr>
          <w:p w14:paraId="4029B825" w14:textId="77777777" w:rsidR="00676DB5" w:rsidRDefault="00BF6DCE">
            <w:pPr>
              <w:spacing w:line="360" w:lineRule="auto"/>
              <w:rPr>
                <w:rFonts w:ascii="Times New Roman" w:hAnsi="Times New Roman" w:cs="Times New Roman"/>
              </w:rPr>
            </w:pPr>
            <w:r>
              <w:rPr>
                <w:rFonts w:ascii="Times New Roman" w:hAnsi="Times New Roman" w:cs="Times New Roman"/>
              </w:rPr>
              <w:t>Relatively high. It integrates a memristor (non-linear resistive switch) on the basis of standard p-</w:t>
            </w:r>
            <w:proofErr w:type="spellStart"/>
            <w:r>
              <w:rPr>
                <w:rFonts w:ascii="Times New Roman" w:hAnsi="Times New Roman" w:cs="Times New Roman"/>
              </w:rPr>
              <w:t>i</w:t>
            </w:r>
            <w:proofErr w:type="spellEnd"/>
            <w:r>
              <w:rPr>
                <w:rFonts w:ascii="Times New Roman" w:hAnsi="Times New Roman" w:cs="Times New Roman"/>
              </w:rPr>
              <w:t>-n PSC, forming a sophisticated multi-layer stack that contains photoresist (PL177), dual SiO dielectric layers and a reactive Ag bottom electrode. Additional transition and isolation structures are mandatory to prevent electrical short-circuit between the memristor and PSC active area, resulting in an intricate overall architecture. Its working mechanism relies on the resistive switching effect of memristor with electrical hysteresis.</w:t>
            </w:r>
          </w:p>
        </w:tc>
      </w:tr>
      <w:tr w:rsidR="00676DB5" w14:paraId="4029B82A" w14:textId="77777777">
        <w:trPr>
          <w:trHeight w:val="20"/>
        </w:trPr>
        <w:tc>
          <w:tcPr>
            <w:tcW w:w="901" w:type="pct"/>
            <w:tcBorders>
              <w:top w:val="single" w:sz="4" w:space="0" w:color="auto"/>
              <w:left w:val="single" w:sz="6" w:space="0" w:color="CCCCCC"/>
              <w:bottom w:val="single" w:sz="6" w:space="0" w:color="CCCCCC"/>
              <w:right w:val="single" w:sz="6" w:space="0" w:color="CCCCCC"/>
            </w:tcBorders>
            <w:tcMar>
              <w:top w:w="120" w:type="dxa"/>
              <w:left w:w="120" w:type="dxa"/>
              <w:bottom w:w="120" w:type="dxa"/>
              <w:right w:w="120" w:type="dxa"/>
            </w:tcMar>
            <w:vAlign w:val="center"/>
          </w:tcPr>
          <w:p w14:paraId="4029B827" w14:textId="77777777" w:rsidR="00676DB5" w:rsidRDefault="00BF6DCE">
            <w:pPr>
              <w:spacing w:line="360" w:lineRule="auto"/>
              <w:jc w:val="center"/>
              <w:rPr>
                <w:rFonts w:ascii="Times New Roman" w:hAnsi="Times New Roman" w:cs="Times New Roman"/>
                <w:b/>
                <w:bCs/>
              </w:rPr>
            </w:pPr>
            <w:r>
              <w:rPr>
                <w:rFonts w:ascii="Times New Roman" w:hAnsi="Times New Roman" w:cs="Times New Roman" w:hint="eastAsia"/>
                <w:b/>
                <w:bCs/>
              </w:rPr>
              <w:t>2. Working Mechanism</w:t>
            </w:r>
          </w:p>
        </w:tc>
        <w:tc>
          <w:tcPr>
            <w:tcW w:w="1953" w:type="pct"/>
            <w:tcBorders>
              <w:top w:val="single" w:sz="4" w:space="0" w:color="auto"/>
              <w:left w:val="single" w:sz="6" w:space="0" w:color="CCCCCC"/>
              <w:bottom w:val="single" w:sz="6" w:space="0" w:color="CCCCCC"/>
              <w:right w:val="single" w:sz="6" w:space="0" w:color="CCCCCC"/>
            </w:tcBorders>
            <w:tcMar>
              <w:top w:w="120" w:type="dxa"/>
              <w:left w:w="120" w:type="dxa"/>
              <w:bottom w:w="120" w:type="dxa"/>
              <w:right w:w="120" w:type="dxa"/>
            </w:tcMar>
            <w:vAlign w:val="center"/>
          </w:tcPr>
          <w:p w14:paraId="4029B828" w14:textId="77777777" w:rsidR="00676DB5" w:rsidRDefault="00BF6DCE">
            <w:pPr>
              <w:spacing w:line="360" w:lineRule="auto"/>
              <w:rPr>
                <w:rFonts w:ascii="Times New Roman" w:hAnsi="Times New Roman" w:cs="Times New Roman"/>
              </w:rPr>
            </w:pPr>
            <w:r>
              <w:rPr>
                <w:rFonts w:ascii="Times New Roman" w:hAnsi="Times New Roman" w:cs="Times New Roman"/>
              </w:rPr>
              <w:t>Operates via unidirectional diode conduction; voltage is stably clamped at −1 V independent of current magnitude and illumination.</w:t>
            </w:r>
          </w:p>
        </w:tc>
        <w:tc>
          <w:tcPr>
            <w:tcW w:w="2146" w:type="pct"/>
            <w:tcBorders>
              <w:top w:val="single" w:sz="4" w:space="0" w:color="auto"/>
              <w:left w:val="single" w:sz="6" w:space="0" w:color="CCCCCC"/>
              <w:bottom w:val="single" w:sz="6" w:space="0" w:color="CCCCCC"/>
              <w:right w:val="single" w:sz="6" w:space="0" w:color="CCCCCC"/>
            </w:tcBorders>
            <w:tcMar>
              <w:top w:w="120" w:type="dxa"/>
              <w:left w:w="120" w:type="dxa"/>
              <w:bottom w:w="120" w:type="dxa"/>
              <w:right w:w="120" w:type="dxa"/>
            </w:tcMar>
            <w:vAlign w:val="center"/>
          </w:tcPr>
          <w:p w14:paraId="4029B829" w14:textId="77777777" w:rsidR="00676DB5" w:rsidRDefault="00BF6DCE">
            <w:pPr>
              <w:spacing w:line="360" w:lineRule="auto"/>
              <w:rPr>
                <w:rFonts w:ascii="Times New Roman" w:hAnsi="Times New Roman" w:cs="Times New Roman"/>
              </w:rPr>
            </w:pPr>
            <w:r>
              <w:rPr>
                <w:rFonts w:ascii="Times New Roman" w:hAnsi="Times New Roman" w:cs="Times New Roman"/>
              </w:rPr>
              <w:t>Relies on resistive switching with electrical hysteresis; switching performance is strongly current-dependent.</w:t>
            </w:r>
          </w:p>
        </w:tc>
      </w:tr>
      <w:tr w:rsidR="00676DB5" w14:paraId="4029B82E" w14:textId="77777777">
        <w:tc>
          <w:tcPr>
            <w:tcW w:w="0" w:type="auto"/>
            <w:tcBorders>
              <w:top w:val="single" w:sz="6" w:space="0" w:color="CCCCCC"/>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2B" w14:textId="77777777" w:rsidR="00676DB5" w:rsidRDefault="00BF6DCE">
            <w:pPr>
              <w:spacing w:line="360" w:lineRule="auto"/>
              <w:jc w:val="center"/>
              <w:rPr>
                <w:rFonts w:ascii="Times New Roman" w:hAnsi="Times New Roman" w:cs="Times New Roman"/>
              </w:rPr>
            </w:pPr>
            <w:r>
              <w:rPr>
                <w:rFonts w:ascii="Times New Roman" w:hAnsi="Times New Roman" w:cs="Times New Roman" w:hint="eastAsia"/>
                <w:b/>
                <w:bCs/>
              </w:rPr>
              <w:t>3</w:t>
            </w:r>
            <w:r>
              <w:rPr>
                <w:rFonts w:ascii="Times New Roman" w:hAnsi="Times New Roman" w:cs="Times New Roman"/>
                <w:b/>
                <w:bCs/>
              </w:rPr>
              <w:t>. Fabrication Complexity</w:t>
            </w:r>
          </w:p>
        </w:tc>
        <w:tc>
          <w:tcPr>
            <w:tcW w:w="1953" w:type="pct"/>
            <w:tcBorders>
              <w:top w:val="single" w:sz="6" w:space="0" w:color="CCCCCC"/>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2C" w14:textId="77777777" w:rsidR="00676DB5" w:rsidRDefault="00BF6DCE">
            <w:pPr>
              <w:spacing w:line="360" w:lineRule="auto"/>
              <w:rPr>
                <w:rFonts w:ascii="Times New Roman" w:hAnsi="Times New Roman" w:cs="Times New Roman"/>
              </w:rPr>
            </w:pPr>
            <w:r>
              <w:rPr>
                <w:rFonts w:ascii="Times New Roman" w:hAnsi="Times New Roman" w:cs="Times New Roman"/>
              </w:rPr>
              <w:t>Moderate. The IBD is fabricated via a novel sequential deposition process that is fully compatible with conventional PSC manufacturing workflows. No complicated photolithography, bottom-side UV exposure or photoresist developing procedures are involved. The whole fabrication route contains fewer auxiliary steps, leading to low technical barriers and stable process repeatability.</w:t>
            </w:r>
          </w:p>
        </w:tc>
        <w:tc>
          <w:tcPr>
            <w:tcW w:w="2146" w:type="pct"/>
            <w:tcBorders>
              <w:top w:val="single" w:sz="6" w:space="0" w:color="CCCCCC"/>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2D" w14:textId="77777777" w:rsidR="00676DB5" w:rsidRDefault="00BF6DCE">
            <w:pPr>
              <w:spacing w:line="360" w:lineRule="auto"/>
              <w:rPr>
                <w:rFonts w:ascii="Times New Roman" w:hAnsi="Times New Roman" w:cs="Times New Roman"/>
              </w:rPr>
            </w:pPr>
            <w:r>
              <w:rPr>
                <w:rFonts w:ascii="Times New Roman" w:hAnsi="Times New Roman" w:cs="Times New Roman"/>
              </w:rPr>
              <w:t>High. The fabrication depends on multiple high-precision process steps, including selective material deposition, photoresist coating and patterning, bottom-side UV lithography, resist development, and multi-cycle thermal evaporation of dielectric layers. Strict control over film thickness and pattern alignment is required throughout the process, which greatly increases fabrication difficulty and brings notable yield risks for large-area devices.</w:t>
            </w:r>
          </w:p>
        </w:tc>
      </w:tr>
    </w:tbl>
    <w:p w14:paraId="4029B82F" w14:textId="77777777" w:rsidR="00676DB5" w:rsidRDefault="00BF6DCE">
      <w:pPr>
        <w:widowControl/>
        <w:jc w:val="left"/>
      </w:pPr>
      <w:r>
        <w:br w:type="page"/>
      </w:r>
    </w:p>
    <w:tbl>
      <w:tblPr>
        <w:tblW w:w="0" w:type="auto"/>
        <w:tblCellMar>
          <w:top w:w="15" w:type="dxa"/>
          <w:left w:w="15" w:type="dxa"/>
          <w:bottom w:w="15" w:type="dxa"/>
          <w:right w:w="15" w:type="dxa"/>
        </w:tblCellMar>
        <w:tblLook w:val="04A0" w:firstRow="1" w:lastRow="0" w:firstColumn="1" w:lastColumn="0" w:noHBand="0" w:noVBand="1"/>
      </w:tblPr>
      <w:tblGrid>
        <w:gridCol w:w="2827"/>
        <w:gridCol w:w="6521"/>
        <w:gridCol w:w="6034"/>
      </w:tblGrid>
      <w:tr w:rsidR="00676DB5" w14:paraId="4029B833" w14:textId="77777777">
        <w:tc>
          <w:tcPr>
            <w:tcW w:w="2827" w:type="dxa"/>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30" w14:textId="77777777" w:rsidR="00676DB5" w:rsidRDefault="00BF6DCE">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lastRenderedPageBreak/>
              <w:t>Comparison Aspects</w:t>
            </w:r>
          </w:p>
        </w:tc>
        <w:tc>
          <w:tcPr>
            <w:tcW w:w="6521" w:type="dxa"/>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31" w14:textId="77777777" w:rsidR="00676DB5" w:rsidRDefault="00BF6DCE">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Integrated Bypass Diode (IBD, This Work)</w:t>
            </w:r>
          </w:p>
        </w:tc>
        <w:tc>
          <w:tcPr>
            <w:tcW w:w="6034" w:type="dxa"/>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32" w14:textId="77777777" w:rsidR="00676DB5" w:rsidRDefault="00BF6DCE">
            <w:pPr>
              <w:spacing w:line="360" w:lineRule="auto"/>
              <w:jc w:val="center"/>
              <w:rPr>
                <w:rFonts w:ascii="Times New Roman" w:hAnsi="Times New Roman" w:cs="Times New Roman"/>
                <w:b/>
                <w:bCs/>
                <w:sz w:val="20"/>
                <w:szCs w:val="20"/>
              </w:rPr>
            </w:pPr>
            <w:r>
              <w:rPr>
                <w:rFonts w:ascii="Times New Roman" w:hAnsi="Times New Roman" w:cs="Times New Roman"/>
                <w:b/>
                <w:bCs/>
                <w:sz w:val="20"/>
                <w:szCs w:val="20"/>
              </w:rPr>
              <w:t>Integrated Memristor (</w:t>
            </w:r>
            <w:proofErr w:type="spellStart"/>
            <w:r>
              <w:rPr>
                <w:rFonts w:ascii="Times New Roman" w:hAnsi="Times New Roman" w:cs="Times New Roman"/>
                <w:b/>
                <w:bCs/>
                <w:sz w:val="20"/>
                <w:szCs w:val="20"/>
              </w:rPr>
              <w:t>Memsol</w:t>
            </w:r>
            <w:proofErr w:type="spellEnd"/>
            <w:r>
              <w:rPr>
                <w:rFonts w:ascii="Times New Roman" w:hAnsi="Times New Roman" w:cs="Times New Roman"/>
                <w:b/>
                <w:bCs/>
                <w:sz w:val="20"/>
                <w:szCs w:val="20"/>
              </w:rPr>
              <w:t>, Nature 2026)</w:t>
            </w:r>
          </w:p>
        </w:tc>
      </w:tr>
      <w:tr w:rsidR="00676DB5" w14:paraId="4029B83C" w14:textId="77777777">
        <w:tc>
          <w:tcPr>
            <w:tcW w:w="2827" w:type="dxa"/>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34" w14:textId="1C6280DC" w:rsidR="00676DB5" w:rsidRDefault="00BF6DCE">
            <w:pPr>
              <w:spacing w:line="360" w:lineRule="auto"/>
              <w:jc w:val="center"/>
              <w:rPr>
                <w:rFonts w:ascii="Times New Roman" w:hAnsi="Times New Roman" w:cs="Times New Roman"/>
              </w:rPr>
            </w:pPr>
            <w:r>
              <w:rPr>
                <w:rFonts w:ascii="Times New Roman" w:hAnsi="Times New Roman" w:cs="Times New Roman" w:hint="eastAsia"/>
                <w:b/>
                <w:bCs/>
              </w:rPr>
              <w:t>4</w:t>
            </w:r>
            <w:r>
              <w:rPr>
                <w:rFonts w:ascii="Times New Roman" w:hAnsi="Times New Roman" w:cs="Times New Roman"/>
                <w:b/>
                <w:bCs/>
              </w:rPr>
              <w:t xml:space="preserve">. Understanding &amp; Analysis of PSC </w:t>
            </w:r>
            <w:r w:rsidR="001B03D1">
              <w:rPr>
                <w:rFonts w:ascii="Times New Roman" w:hAnsi="Times New Roman" w:cs="Times New Roman"/>
                <w:b/>
                <w:bCs/>
              </w:rPr>
              <w:t xml:space="preserve">Reverse </w:t>
            </w:r>
            <w:r>
              <w:rPr>
                <w:rFonts w:ascii="Times New Roman" w:hAnsi="Times New Roman" w:cs="Times New Roman"/>
                <w:b/>
                <w:bCs/>
              </w:rPr>
              <w:t>Bias Failure</w:t>
            </w:r>
          </w:p>
        </w:tc>
        <w:tc>
          <w:tcPr>
            <w:tcW w:w="6521" w:type="dxa"/>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35" w14:textId="77777777" w:rsidR="00676DB5" w:rsidRDefault="00BF6DCE">
            <w:pPr>
              <w:spacing w:line="360" w:lineRule="auto"/>
              <w:rPr>
                <w:rFonts w:ascii="Times New Roman" w:hAnsi="Times New Roman" w:cs="Times New Roman"/>
              </w:rPr>
            </w:pPr>
            <w:r>
              <w:rPr>
                <w:rFonts w:ascii="Times New Roman" w:hAnsi="Times New Roman" w:cs="Times New Roman"/>
              </w:rPr>
              <w:t>In-depth and systematic.</w:t>
            </w:r>
          </w:p>
          <w:p w14:paraId="4029B836" w14:textId="77777777" w:rsidR="00676DB5" w:rsidRDefault="00BF6DCE">
            <w:pPr>
              <w:spacing w:line="360" w:lineRule="auto"/>
              <w:rPr>
                <w:rFonts w:ascii="Times New Roman" w:hAnsi="Times New Roman" w:cs="Times New Roman"/>
              </w:rPr>
            </w:pPr>
            <w:r>
              <w:rPr>
                <w:rFonts w:ascii="Times New Roman" w:hAnsi="Times New Roman" w:cs="Times New Roman"/>
              </w:rPr>
              <w:t>1. Systematically revealed the intrinsic correlation between variable illumination intensity, ion migration and reverse breakdown voltage (</w:t>
            </w:r>
            <w:r>
              <w:rPr>
                <w:rFonts w:ascii="Times New Roman" w:hAnsi="Times New Roman" w:cs="Times New Roman" w:hint="eastAsia"/>
                <w:i/>
                <w:iCs/>
              </w:rPr>
              <w:t>V</w:t>
            </w:r>
            <w:r>
              <w:rPr>
                <w:rFonts w:ascii="Times New Roman" w:hAnsi="Times New Roman" w:cs="Times New Roman" w:hint="eastAsia"/>
                <w:i/>
                <w:iCs/>
                <w:vertAlign w:val="subscript"/>
              </w:rPr>
              <w:t>BD</w:t>
            </w:r>
            <w:r>
              <w:rPr>
                <w:rFonts w:ascii="Times New Roman" w:hAnsi="Times New Roman" w:cs="Times New Roman"/>
              </w:rPr>
              <w:t>); experimental data confirmed that residual light from partial shading reduces</w:t>
            </w:r>
            <w:r>
              <w:rPr>
                <w:rFonts w:ascii="Times New Roman" w:hAnsi="Times New Roman" w:cs="Times New Roman" w:hint="eastAsia"/>
              </w:rPr>
              <w:t xml:space="preserve"> </w:t>
            </w:r>
            <w:r>
              <w:rPr>
                <w:rFonts w:ascii="Times New Roman" w:hAnsi="Times New Roman" w:cs="Times New Roman" w:hint="eastAsia"/>
                <w:i/>
                <w:iCs/>
              </w:rPr>
              <w:t>V</w:t>
            </w:r>
            <w:r>
              <w:rPr>
                <w:rFonts w:ascii="Times New Roman" w:hAnsi="Times New Roman" w:cs="Times New Roman" w:hint="eastAsia"/>
                <w:i/>
                <w:iCs/>
                <w:vertAlign w:val="subscript"/>
              </w:rPr>
              <w:t>BD</w:t>
            </w:r>
            <w:r>
              <w:rPr>
                <w:rFonts w:ascii="Times New Roman" w:hAnsi="Times New Roman" w:cs="Times New Roman"/>
              </w:rPr>
              <w:t xml:space="preserve"> by more than 20%.</w:t>
            </w:r>
          </w:p>
          <w:p w14:paraId="4029B837" w14:textId="77777777" w:rsidR="00676DB5" w:rsidRDefault="00BF6DCE">
            <w:pPr>
              <w:spacing w:line="360" w:lineRule="auto"/>
              <w:rPr>
                <w:rFonts w:ascii="Times New Roman" w:hAnsi="Times New Roman" w:cs="Times New Roman"/>
              </w:rPr>
            </w:pPr>
            <w:r>
              <w:rPr>
                <w:rFonts w:ascii="Times New Roman" w:hAnsi="Times New Roman" w:cs="Times New Roman"/>
              </w:rPr>
              <w:t>2. Clarified Zener tunneling as the dominant reverse breakdown mechanism, and elaborated how light-induced elevation of ionic conductivity accelerates device degradation under reverse bias.</w:t>
            </w:r>
          </w:p>
          <w:p w14:paraId="4029B838" w14:textId="77777777" w:rsidR="00676DB5" w:rsidRDefault="00BF6DCE">
            <w:pPr>
              <w:spacing w:line="360" w:lineRule="auto"/>
              <w:rPr>
                <w:rFonts w:ascii="Times New Roman" w:hAnsi="Times New Roman" w:cs="Times New Roman"/>
              </w:rPr>
            </w:pPr>
            <w:r>
              <w:rPr>
                <w:rFonts w:ascii="Times New Roman" w:hAnsi="Times New Roman" w:cs="Times New Roman"/>
              </w:rPr>
              <w:t>3. Multiple characterization techniques (XRD, TOF-SIMS, XPS) were applied to fully track material evolution, including perovskite decomposition, silver electrode migration and interfacial chemical changes under long-term reverse stress.</w:t>
            </w:r>
          </w:p>
        </w:tc>
        <w:tc>
          <w:tcPr>
            <w:tcW w:w="6034" w:type="dxa"/>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39" w14:textId="77777777" w:rsidR="00676DB5" w:rsidRDefault="00BF6DCE">
            <w:pPr>
              <w:spacing w:line="360" w:lineRule="auto"/>
              <w:rPr>
                <w:rFonts w:ascii="Times New Roman" w:hAnsi="Times New Roman" w:cs="Times New Roman"/>
              </w:rPr>
            </w:pPr>
            <w:r>
              <w:rPr>
                <w:rFonts w:ascii="Times New Roman" w:hAnsi="Times New Roman" w:cs="Times New Roman"/>
              </w:rPr>
              <w:t>Limited and partial.</w:t>
            </w:r>
          </w:p>
          <w:p w14:paraId="4029B83A" w14:textId="77777777" w:rsidR="00676DB5" w:rsidRDefault="00BF6DCE">
            <w:pPr>
              <w:spacing w:line="360" w:lineRule="auto"/>
              <w:rPr>
                <w:rFonts w:ascii="Times New Roman" w:hAnsi="Times New Roman" w:cs="Times New Roman"/>
              </w:rPr>
            </w:pPr>
            <w:r>
              <w:rPr>
                <w:rFonts w:ascii="Times New Roman" w:hAnsi="Times New Roman" w:cs="Times New Roman"/>
              </w:rPr>
              <w:t xml:space="preserve">1. The work only describes macroscopic failure phenomena of PSCs under reverse bias, such as hotspot generation and efficiency attenuation, without exploring the essential relationship between illumination conditions, ionic behavior and the variation of </w:t>
            </w:r>
            <w:r>
              <w:rPr>
                <w:rFonts w:ascii="Times New Roman" w:hAnsi="Times New Roman" w:cs="Times New Roman" w:hint="eastAsia"/>
                <w:i/>
                <w:iCs/>
              </w:rPr>
              <w:t>V</w:t>
            </w:r>
            <w:r>
              <w:rPr>
                <w:rFonts w:ascii="Times New Roman" w:hAnsi="Times New Roman" w:cs="Times New Roman" w:hint="eastAsia"/>
                <w:i/>
                <w:iCs/>
                <w:vertAlign w:val="subscript"/>
              </w:rPr>
              <w:t>BD</w:t>
            </w:r>
            <w:r>
              <w:rPr>
                <w:rFonts w:ascii="Times New Roman" w:hAnsi="Times New Roman" w:cs="Times New Roman"/>
              </w:rPr>
              <w:t>.</w:t>
            </w:r>
          </w:p>
          <w:p w14:paraId="4029B83B" w14:textId="77777777" w:rsidR="00676DB5" w:rsidRDefault="00BF6DCE">
            <w:pPr>
              <w:spacing w:line="360" w:lineRule="auto"/>
              <w:rPr>
                <w:rFonts w:ascii="Times New Roman" w:hAnsi="Times New Roman" w:cs="Times New Roman"/>
              </w:rPr>
            </w:pPr>
            <w:r>
              <w:rPr>
                <w:rFonts w:ascii="Times New Roman" w:hAnsi="Times New Roman" w:cs="Times New Roman"/>
              </w:rPr>
              <w:t>2. It lacks systematic investigation into the pathways of reverse breakdown, and fails to conduct quantitative analysis on material degradation and interfacial failure inside the device. No targeted characterization for electrode migration or perovskite decomposition is provided.</w:t>
            </w:r>
          </w:p>
        </w:tc>
      </w:tr>
    </w:tbl>
    <w:p w14:paraId="4029B83D" w14:textId="77777777" w:rsidR="00676DB5" w:rsidRDefault="00676DB5">
      <w:pPr>
        <w:widowControl/>
        <w:jc w:val="left"/>
      </w:pPr>
    </w:p>
    <w:p w14:paraId="4029B83E" w14:textId="77777777" w:rsidR="00676DB5" w:rsidRDefault="00BF6DCE">
      <w:pPr>
        <w:widowControl/>
        <w:jc w:val="left"/>
      </w:pPr>
      <w:r>
        <w:br w:type="page"/>
      </w:r>
    </w:p>
    <w:tbl>
      <w:tblPr>
        <w:tblW w:w="0" w:type="auto"/>
        <w:tblCellMar>
          <w:top w:w="15" w:type="dxa"/>
          <w:left w:w="15" w:type="dxa"/>
          <w:bottom w:w="15" w:type="dxa"/>
          <w:right w:w="15" w:type="dxa"/>
        </w:tblCellMar>
        <w:tblLook w:val="04A0" w:firstRow="1" w:lastRow="0" w:firstColumn="1" w:lastColumn="0" w:noHBand="0" w:noVBand="1"/>
      </w:tblPr>
      <w:tblGrid>
        <w:gridCol w:w="2211"/>
        <w:gridCol w:w="6827"/>
        <w:gridCol w:w="6344"/>
      </w:tblGrid>
      <w:tr w:rsidR="00676DB5" w14:paraId="4029B842" w14:textId="77777777">
        <w:trPr>
          <w:tblHeader/>
        </w:trPr>
        <w:tc>
          <w:tcPr>
            <w:tcW w:w="2211" w:type="dxa"/>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3F" w14:textId="77777777" w:rsidR="00676DB5" w:rsidRDefault="00BF6DCE">
            <w:pPr>
              <w:spacing w:line="360" w:lineRule="auto"/>
              <w:jc w:val="center"/>
              <w:rPr>
                <w:rFonts w:ascii="Times New Roman" w:hAnsi="Times New Roman" w:cs="Times New Roman"/>
                <w:b/>
                <w:bCs/>
              </w:rPr>
            </w:pPr>
            <w:r>
              <w:rPr>
                <w:rFonts w:ascii="Times New Roman" w:hAnsi="Times New Roman" w:cs="Times New Roman"/>
                <w:b/>
                <w:bCs/>
              </w:rPr>
              <w:lastRenderedPageBreak/>
              <w:t>Comparison Aspects</w:t>
            </w:r>
          </w:p>
        </w:tc>
        <w:tc>
          <w:tcPr>
            <w:tcW w:w="0" w:type="auto"/>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40" w14:textId="77777777" w:rsidR="00676DB5" w:rsidRDefault="00BF6DCE">
            <w:pPr>
              <w:spacing w:line="360" w:lineRule="auto"/>
              <w:jc w:val="center"/>
              <w:rPr>
                <w:rFonts w:ascii="Times New Roman" w:hAnsi="Times New Roman" w:cs="Times New Roman"/>
                <w:b/>
                <w:bCs/>
              </w:rPr>
            </w:pPr>
            <w:r>
              <w:rPr>
                <w:rFonts w:ascii="Times New Roman" w:hAnsi="Times New Roman" w:cs="Times New Roman"/>
                <w:b/>
                <w:bCs/>
              </w:rPr>
              <w:t>Integrated Bypass Diode (IBD, This Work)</w:t>
            </w:r>
          </w:p>
        </w:tc>
        <w:tc>
          <w:tcPr>
            <w:tcW w:w="0" w:type="auto"/>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41" w14:textId="77777777" w:rsidR="00676DB5" w:rsidRDefault="00BF6DCE">
            <w:pPr>
              <w:spacing w:line="360" w:lineRule="auto"/>
              <w:jc w:val="center"/>
              <w:rPr>
                <w:rFonts w:ascii="Times New Roman" w:hAnsi="Times New Roman" w:cs="Times New Roman"/>
                <w:b/>
                <w:bCs/>
              </w:rPr>
            </w:pPr>
            <w:r>
              <w:rPr>
                <w:rFonts w:ascii="Times New Roman" w:hAnsi="Times New Roman" w:cs="Times New Roman"/>
                <w:b/>
                <w:bCs/>
              </w:rPr>
              <w:t>Integrated Memristor (</w:t>
            </w:r>
            <w:proofErr w:type="spellStart"/>
            <w:r>
              <w:rPr>
                <w:rFonts w:ascii="Times New Roman" w:hAnsi="Times New Roman" w:cs="Times New Roman"/>
                <w:b/>
                <w:bCs/>
              </w:rPr>
              <w:t>Memsol</w:t>
            </w:r>
            <w:proofErr w:type="spellEnd"/>
            <w:r>
              <w:rPr>
                <w:rFonts w:ascii="Times New Roman" w:hAnsi="Times New Roman" w:cs="Times New Roman"/>
                <w:b/>
                <w:bCs/>
              </w:rPr>
              <w:t>, Nature 2026)</w:t>
            </w:r>
          </w:p>
        </w:tc>
      </w:tr>
      <w:tr w:rsidR="00676DB5" w14:paraId="4029B84C" w14:textId="77777777">
        <w:tc>
          <w:tcPr>
            <w:tcW w:w="2211" w:type="dxa"/>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43" w14:textId="45F6E230" w:rsidR="00676DB5" w:rsidRDefault="00BF6DCE">
            <w:pPr>
              <w:spacing w:line="360" w:lineRule="auto"/>
              <w:jc w:val="center"/>
              <w:rPr>
                <w:rFonts w:ascii="Times New Roman" w:hAnsi="Times New Roman" w:cs="Times New Roman"/>
              </w:rPr>
            </w:pPr>
            <w:r>
              <w:rPr>
                <w:rFonts w:ascii="Times New Roman" w:hAnsi="Times New Roman" w:cs="Times New Roman" w:hint="eastAsia"/>
                <w:b/>
                <w:bCs/>
              </w:rPr>
              <w:t>5</w:t>
            </w:r>
            <w:r>
              <w:rPr>
                <w:rFonts w:ascii="Times New Roman" w:hAnsi="Times New Roman" w:cs="Times New Roman"/>
                <w:b/>
                <w:bCs/>
              </w:rPr>
              <w:t xml:space="preserve">. Severity of </w:t>
            </w:r>
            <w:r w:rsidR="001B03D1">
              <w:rPr>
                <w:rFonts w:ascii="Times New Roman" w:hAnsi="Times New Roman" w:cs="Times New Roman"/>
                <w:b/>
                <w:bCs/>
              </w:rPr>
              <w:t xml:space="preserve">Reverse </w:t>
            </w:r>
            <w:r>
              <w:rPr>
                <w:rFonts w:ascii="Times New Roman" w:hAnsi="Times New Roman" w:cs="Times New Roman"/>
                <w:b/>
                <w:bCs/>
              </w:rPr>
              <w:t>Bias Test Conditions</w:t>
            </w:r>
          </w:p>
        </w:tc>
        <w:tc>
          <w:tcPr>
            <w:tcW w:w="0" w:type="auto"/>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44" w14:textId="77777777" w:rsidR="00676DB5" w:rsidRDefault="00BF6DCE">
            <w:pPr>
              <w:spacing w:line="360" w:lineRule="auto"/>
              <w:rPr>
                <w:rFonts w:ascii="Times New Roman" w:hAnsi="Times New Roman" w:cs="Times New Roman"/>
              </w:rPr>
            </w:pPr>
            <w:r>
              <w:rPr>
                <w:rFonts w:ascii="Times New Roman" w:hAnsi="Times New Roman" w:cs="Times New Roman"/>
              </w:rPr>
              <w:t>Extremely harsh, simulating extreme practical operating scenarios.</w:t>
            </w:r>
          </w:p>
          <w:p w14:paraId="4029B845" w14:textId="77777777" w:rsidR="00676DB5" w:rsidRDefault="00BF6DCE">
            <w:pPr>
              <w:spacing w:line="360" w:lineRule="auto"/>
              <w:rPr>
                <w:rFonts w:ascii="Times New Roman" w:hAnsi="Times New Roman" w:cs="Times New Roman"/>
              </w:rPr>
            </w:pPr>
            <w:r>
              <w:rPr>
                <w:rFonts w:ascii="Times New Roman" w:hAnsi="Times New Roman" w:cs="Times New Roman"/>
              </w:rPr>
              <w:t>1. Long-term continuous reverse bias test was carried out under a constant external reverse voltage of −5 V, which far exceeds the typical breakdown voltage of pristine PSCs.</w:t>
            </w:r>
          </w:p>
          <w:p w14:paraId="4029B846" w14:textId="77777777" w:rsidR="00676DB5" w:rsidRDefault="00BF6DCE">
            <w:pPr>
              <w:spacing w:line="360" w:lineRule="auto"/>
              <w:rPr>
                <w:rFonts w:ascii="Times New Roman" w:hAnsi="Times New Roman" w:cs="Times New Roman"/>
              </w:rPr>
            </w:pPr>
            <w:r>
              <w:rPr>
                <w:rFonts w:ascii="Times New Roman" w:hAnsi="Times New Roman" w:cs="Times New Roman"/>
              </w:rPr>
              <w:t>2. Ultra-long stability evaluation lasted for 150 hours under persistent high reverse stress; 48-hour aging tests and repeated cycling tests were also included.</w:t>
            </w:r>
          </w:p>
          <w:p w14:paraId="4029B847" w14:textId="3F36C97F" w:rsidR="00676DB5" w:rsidRDefault="00BF6DCE">
            <w:pPr>
              <w:spacing w:line="360" w:lineRule="auto"/>
              <w:rPr>
                <w:rFonts w:ascii="Times New Roman" w:hAnsi="Times New Roman" w:cs="Times New Roman"/>
              </w:rPr>
            </w:pPr>
            <w:r>
              <w:rPr>
                <w:rFonts w:ascii="Times New Roman" w:hAnsi="Times New Roman" w:cs="Times New Roman"/>
              </w:rPr>
              <w:t xml:space="preserve">3. Tests were performed across a full gradient of illumination intensities, combined with cyclic </w:t>
            </w:r>
            <w:r w:rsidR="001B03D1">
              <w:rPr>
                <w:rFonts w:ascii="Times New Roman" w:hAnsi="Times New Roman" w:cs="Times New Roman"/>
              </w:rPr>
              <w:t xml:space="preserve">reverse </w:t>
            </w:r>
            <w:r>
              <w:rPr>
                <w:rFonts w:ascii="Times New Roman" w:hAnsi="Times New Roman" w:cs="Times New Roman"/>
              </w:rPr>
              <w:t>bias aging and short-term shading impact tests to replicate complex real-world working environments.</w:t>
            </w:r>
          </w:p>
        </w:tc>
        <w:tc>
          <w:tcPr>
            <w:tcW w:w="0" w:type="auto"/>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48" w14:textId="77777777" w:rsidR="00676DB5" w:rsidRDefault="00BF6DCE">
            <w:pPr>
              <w:spacing w:line="360" w:lineRule="auto"/>
              <w:rPr>
                <w:rFonts w:ascii="Times New Roman" w:hAnsi="Times New Roman" w:cs="Times New Roman"/>
              </w:rPr>
            </w:pPr>
            <w:r>
              <w:rPr>
                <w:rFonts w:ascii="Times New Roman" w:hAnsi="Times New Roman" w:cs="Times New Roman"/>
              </w:rPr>
              <w:t>Moderate, with relatively mild stress levels.</w:t>
            </w:r>
          </w:p>
          <w:p w14:paraId="4029B849" w14:textId="77777777" w:rsidR="00676DB5" w:rsidRDefault="00BF6DCE">
            <w:pPr>
              <w:spacing w:line="360" w:lineRule="auto"/>
              <w:rPr>
                <w:rFonts w:ascii="Times New Roman" w:hAnsi="Times New Roman" w:cs="Times New Roman"/>
              </w:rPr>
            </w:pPr>
            <w:r>
              <w:rPr>
                <w:rFonts w:ascii="Times New Roman" w:hAnsi="Times New Roman" w:cs="Times New Roman"/>
              </w:rPr>
              <w:t>1. All tests were implemented under a reverse voltage below −0.75 V, and the maximum limited reverse current was restricted to 40 mA.</w:t>
            </w:r>
          </w:p>
          <w:p w14:paraId="4029B84A" w14:textId="77777777" w:rsidR="00676DB5" w:rsidRDefault="00BF6DCE">
            <w:pPr>
              <w:spacing w:line="360" w:lineRule="auto"/>
              <w:rPr>
                <w:rFonts w:ascii="Times New Roman" w:hAnsi="Times New Roman" w:cs="Times New Roman"/>
              </w:rPr>
            </w:pPr>
            <w:r>
              <w:rPr>
                <w:rFonts w:ascii="Times New Roman" w:hAnsi="Times New Roman" w:cs="Times New Roman"/>
              </w:rPr>
              <w:t>2. Only short-period cyclic tests (up to 50 cycles) and medium-temperature thermal stability tests were conducted; no long-duration high reverse voltage endurance evaluation was performed.</w:t>
            </w:r>
          </w:p>
          <w:p w14:paraId="4029B84B" w14:textId="77777777" w:rsidR="00676DB5" w:rsidRDefault="00BF6DCE">
            <w:pPr>
              <w:spacing w:line="360" w:lineRule="auto"/>
              <w:rPr>
                <w:rFonts w:ascii="Times New Roman" w:hAnsi="Times New Roman" w:cs="Times New Roman"/>
              </w:rPr>
            </w:pPr>
            <w:r>
              <w:rPr>
                <w:rFonts w:ascii="Times New Roman" w:hAnsi="Times New Roman" w:cs="Times New Roman"/>
              </w:rPr>
              <w:t>3. Experiments were mainly conducted under fixed illumination, and the test conditions are close to low-stress partial shading scenarios.</w:t>
            </w:r>
          </w:p>
        </w:tc>
      </w:tr>
    </w:tbl>
    <w:p w14:paraId="4029B84D" w14:textId="77777777" w:rsidR="00676DB5" w:rsidRDefault="00676DB5"/>
    <w:p w14:paraId="4029B84E" w14:textId="77777777" w:rsidR="00676DB5" w:rsidRDefault="00BF6DCE">
      <w:pPr>
        <w:widowControl/>
        <w:jc w:val="left"/>
      </w:pPr>
      <w:r>
        <w:br w:type="page"/>
      </w:r>
    </w:p>
    <w:tbl>
      <w:tblPr>
        <w:tblW w:w="15411" w:type="dxa"/>
        <w:tblCellMar>
          <w:top w:w="15" w:type="dxa"/>
          <w:left w:w="15" w:type="dxa"/>
          <w:bottom w:w="15" w:type="dxa"/>
          <w:right w:w="15" w:type="dxa"/>
        </w:tblCellMar>
        <w:tblLook w:val="04A0" w:firstRow="1" w:lastRow="0" w:firstColumn="1" w:lastColumn="0" w:noHBand="0" w:noVBand="1"/>
      </w:tblPr>
      <w:tblGrid>
        <w:gridCol w:w="2211"/>
        <w:gridCol w:w="6762"/>
        <w:gridCol w:w="6438"/>
      </w:tblGrid>
      <w:tr w:rsidR="00676DB5" w14:paraId="4029B852" w14:textId="77777777">
        <w:trPr>
          <w:tblHeader/>
        </w:trPr>
        <w:tc>
          <w:tcPr>
            <w:tcW w:w="2211" w:type="dxa"/>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4F" w14:textId="77777777" w:rsidR="00676DB5" w:rsidRDefault="00BF6DCE">
            <w:pPr>
              <w:spacing w:line="360" w:lineRule="auto"/>
              <w:jc w:val="center"/>
              <w:rPr>
                <w:rFonts w:ascii="Times New Roman" w:hAnsi="Times New Roman" w:cs="Times New Roman"/>
                <w:b/>
                <w:bCs/>
              </w:rPr>
            </w:pPr>
            <w:r>
              <w:rPr>
                <w:rFonts w:ascii="Times New Roman" w:hAnsi="Times New Roman" w:cs="Times New Roman"/>
                <w:b/>
                <w:bCs/>
              </w:rPr>
              <w:lastRenderedPageBreak/>
              <w:t>Comparison Aspects</w:t>
            </w:r>
          </w:p>
        </w:tc>
        <w:tc>
          <w:tcPr>
            <w:tcW w:w="0" w:type="auto"/>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50" w14:textId="77777777" w:rsidR="00676DB5" w:rsidRDefault="00BF6DCE">
            <w:pPr>
              <w:spacing w:line="360" w:lineRule="auto"/>
              <w:jc w:val="center"/>
              <w:rPr>
                <w:rFonts w:ascii="Times New Roman" w:hAnsi="Times New Roman" w:cs="Times New Roman"/>
                <w:b/>
                <w:bCs/>
              </w:rPr>
            </w:pPr>
            <w:r>
              <w:rPr>
                <w:rFonts w:ascii="Times New Roman" w:hAnsi="Times New Roman" w:cs="Times New Roman"/>
                <w:b/>
                <w:bCs/>
              </w:rPr>
              <w:t>Integrated Bypass Diode (IBD, This Work)</w:t>
            </w:r>
          </w:p>
        </w:tc>
        <w:tc>
          <w:tcPr>
            <w:tcW w:w="0" w:type="auto"/>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51" w14:textId="77777777" w:rsidR="00676DB5" w:rsidRDefault="00BF6DCE">
            <w:pPr>
              <w:spacing w:line="360" w:lineRule="auto"/>
              <w:jc w:val="center"/>
              <w:rPr>
                <w:rFonts w:ascii="Times New Roman" w:hAnsi="Times New Roman" w:cs="Times New Roman"/>
                <w:b/>
                <w:bCs/>
              </w:rPr>
            </w:pPr>
            <w:r>
              <w:rPr>
                <w:rFonts w:ascii="Times New Roman" w:hAnsi="Times New Roman" w:cs="Times New Roman"/>
                <w:b/>
                <w:bCs/>
              </w:rPr>
              <w:t>Integrated Memristor (</w:t>
            </w:r>
            <w:proofErr w:type="spellStart"/>
            <w:r>
              <w:rPr>
                <w:rFonts w:ascii="Times New Roman" w:hAnsi="Times New Roman" w:cs="Times New Roman"/>
                <w:b/>
                <w:bCs/>
              </w:rPr>
              <w:t>Memsol</w:t>
            </w:r>
            <w:proofErr w:type="spellEnd"/>
            <w:r>
              <w:rPr>
                <w:rFonts w:ascii="Times New Roman" w:hAnsi="Times New Roman" w:cs="Times New Roman"/>
                <w:b/>
                <w:bCs/>
              </w:rPr>
              <w:t>, Nature 2026)</w:t>
            </w:r>
          </w:p>
        </w:tc>
      </w:tr>
      <w:tr w:rsidR="00676DB5" w14:paraId="4029B85E" w14:textId="77777777">
        <w:tc>
          <w:tcPr>
            <w:tcW w:w="2211" w:type="dxa"/>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53" w14:textId="77777777" w:rsidR="00676DB5" w:rsidRDefault="00BF6DCE">
            <w:pPr>
              <w:spacing w:line="360" w:lineRule="auto"/>
              <w:jc w:val="center"/>
              <w:rPr>
                <w:rFonts w:ascii="Times New Roman" w:hAnsi="Times New Roman" w:cs="Times New Roman"/>
              </w:rPr>
            </w:pPr>
            <w:r>
              <w:rPr>
                <w:rFonts w:ascii="Times New Roman" w:hAnsi="Times New Roman" w:cs="Times New Roman" w:hint="eastAsia"/>
                <w:b/>
                <w:bCs/>
              </w:rPr>
              <w:t>6</w:t>
            </w:r>
            <w:r>
              <w:rPr>
                <w:rFonts w:ascii="Times New Roman" w:hAnsi="Times New Roman" w:cs="Times New Roman"/>
                <w:b/>
                <w:bCs/>
              </w:rPr>
              <w:t>. Device Resistance to Reverse Bias</w:t>
            </w:r>
          </w:p>
        </w:tc>
        <w:tc>
          <w:tcPr>
            <w:tcW w:w="0" w:type="auto"/>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54" w14:textId="77777777" w:rsidR="00676DB5" w:rsidRDefault="00BF6DCE">
            <w:pPr>
              <w:spacing w:line="360" w:lineRule="auto"/>
              <w:rPr>
                <w:rFonts w:ascii="Times New Roman" w:hAnsi="Times New Roman" w:cs="Times New Roman"/>
              </w:rPr>
            </w:pPr>
            <w:r>
              <w:rPr>
                <w:rFonts w:ascii="Times New Roman" w:hAnsi="Times New Roman" w:cs="Times New Roman"/>
              </w:rPr>
              <w:t>Outstanding anti-reverse-bias capability with stable performance.</w:t>
            </w:r>
          </w:p>
          <w:p w14:paraId="4029B855" w14:textId="77777777" w:rsidR="00676DB5" w:rsidRDefault="00BF6DCE">
            <w:pPr>
              <w:spacing w:line="360" w:lineRule="auto"/>
              <w:rPr>
                <w:rFonts w:ascii="Times New Roman" w:hAnsi="Times New Roman" w:cs="Times New Roman"/>
              </w:rPr>
            </w:pPr>
            <w:r>
              <w:rPr>
                <w:rFonts w:ascii="Times New Roman" w:hAnsi="Times New Roman" w:cs="Times New Roman"/>
              </w:rPr>
              <w:t xml:space="preserve">1. The IBD can stably clamp the device reverse voltage at approximately −1 V under all illumination levels, thoroughly eliminating the adverse impact of variable light on </w:t>
            </w:r>
            <w:r>
              <w:rPr>
                <w:rFonts w:ascii="Times New Roman" w:hAnsi="Times New Roman" w:cs="Times New Roman" w:hint="eastAsia"/>
                <w:i/>
                <w:iCs/>
              </w:rPr>
              <w:t>V</w:t>
            </w:r>
            <w:r>
              <w:rPr>
                <w:rFonts w:ascii="Times New Roman" w:hAnsi="Times New Roman" w:cs="Times New Roman" w:hint="eastAsia"/>
                <w:i/>
                <w:iCs/>
                <w:vertAlign w:val="subscript"/>
              </w:rPr>
              <w:t>BD</w:t>
            </w:r>
            <w:r>
              <w:rPr>
                <w:rFonts w:ascii="Times New Roman" w:hAnsi="Times New Roman" w:cs="Times New Roman"/>
              </w:rPr>
              <w:t>.</w:t>
            </w:r>
          </w:p>
          <w:p w14:paraId="4029B856" w14:textId="77777777" w:rsidR="00676DB5" w:rsidRDefault="00BF6DCE">
            <w:pPr>
              <w:spacing w:line="360" w:lineRule="auto"/>
              <w:rPr>
                <w:rFonts w:ascii="Times New Roman" w:hAnsi="Times New Roman" w:cs="Times New Roman"/>
              </w:rPr>
            </w:pPr>
            <w:r>
              <w:rPr>
                <w:rFonts w:ascii="Times New Roman" w:hAnsi="Times New Roman" w:cs="Times New Roman"/>
              </w:rPr>
              <w:t>2. After 150 hours of continuous −5 V reverse bias, the device still retains 87.6% of its initial PCE.</w:t>
            </w:r>
          </w:p>
          <w:p w14:paraId="4029B857" w14:textId="3C289B68" w:rsidR="00676DB5" w:rsidRDefault="00BF6DCE">
            <w:pPr>
              <w:spacing w:line="360" w:lineRule="auto"/>
              <w:rPr>
                <w:rFonts w:ascii="Times New Roman" w:hAnsi="Times New Roman" w:cs="Times New Roman"/>
              </w:rPr>
            </w:pPr>
            <w:r>
              <w:rPr>
                <w:rFonts w:ascii="Times New Roman" w:hAnsi="Times New Roman" w:cs="Times New Roman"/>
              </w:rPr>
              <w:t xml:space="preserve">3. It exhibits excellent durability against repeated </w:t>
            </w:r>
            <w:r w:rsidR="001B03D1">
              <w:rPr>
                <w:rFonts w:ascii="Times New Roman" w:hAnsi="Times New Roman" w:cs="Times New Roman"/>
              </w:rPr>
              <w:t xml:space="preserve">reverse </w:t>
            </w:r>
            <w:r>
              <w:rPr>
                <w:rFonts w:ascii="Times New Roman" w:hAnsi="Times New Roman" w:cs="Times New Roman"/>
              </w:rPr>
              <w:t>bias cycling, maintaining over 95% of the original PCE after 100 cycles.</w:t>
            </w:r>
          </w:p>
          <w:p w14:paraId="4029B858" w14:textId="77777777" w:rsidR="00676DB5" w:rsidRDefault="00BF6DCE">
            <w:pPr>
              <w:spacing w:line="360" w:lineRule="auto"/>
              <w:rPr>
                <w:rFonts w:ascii="Times New Roman" w:hAnsi="Times New Roman" w:cs="Times New Roman"/>
              </w:rPr>
            </w:pPr>
            <w:r>
              <w:rPr>
                <w:rFonts w:ascii="Times New Roman" w:hAnsi="Times New Roman" w:cs="Times New Roman"/>
              </w:rPr>
              <w:t>4. The integrated diode effectively suppresses silver diffusion, halide phase segregation and the formation of interfacial defects under reverse stress.</w:t>
            </w:r>
          </w:p>
        </w:tc>
        <w:tc>
          <w:tcPr>
            <w:tcW w:w="0" w:type="auto"/>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59" w14:textId="77777777" w:rsidR="00676DB5" w:rsidRDefault="00BF6DCE">
            <w:pPr>
              <w:spacing w:line="360" w:lineRule="auto"/>
              <w:rPr>
                <w:rFonts w:ascii="Times New Roman" w:hAnsi="Times New Roman" w:cs="Times New Roman"/>
              </w:rPr>
            </w:pPr>
            <w:r>
              <w:rPr>
                <w:rFonts w:ascii="Times New Roman" w:hAnsi="Times New Roman" w:cs="Times New Roman"/>
              </w:rPr>
              <w:t>Good basic protection performance but with obvious inherent limitations.</w:t>
            </w:r>
          </w:p>
          <w:p w14:paraId="4029B85A" w14:textId="77777777" w:rsidR="00676DB5" w:rsidRDefault="00BF6DCE">
            <w:pPr>
              <w:spacing w:line="360" w:lineRule="auto"/>
              <w:rPr>
                <w:rFonts w:ascii="Times New Roman" w:hAnsi="Times New Roman" w:cs="Times New Roman"/>
              </w:rPr>
            </w:pPr>
            <w:r>
              <w:rPr>
                <w:rFonts w:ascii="Times New Roman" w:hAnsi="Times New Roman" w:cs="Times New Roman"/>
              </w:rPr>
              <w:t>1. The memristor turns on at around −0.1 V and clamps the voltage at ~ −0.05 V, while its switching behavior is strongly dependent on the magnitude of applied current.</w:t>
            </w:r>
          </w:p>
          <w:p w14:paraId="4029B85B" w14:textId="77777777" w:rsidR="00676DB5" w:rsidRDefault="00BF6DCE">
            <w:pPr>
              <w:spacing w:line="360" w:lineRule="auto"/>
              <w:rPr>
                <w:rFonts w:ascii="Times New Roman" w:hAnsi="Times New Roman" w:cs="Times New Roman"/>
              </w:rPr>
            </w:pPr>
            <w:r>
              <w:rPr>
                <w:rFonts w:ascii="Times New Roman" w:hAnsi="Times New Roman" w:cs="Times New Roman"/>
              </w:rPr>
              <w:t>2. A single memristor can only withstand a maximum reverse current of ~40 mA; parallel integration of multiple memristor units is required for high-current operation.</w:t>
            </w:r>
          </w:p>
          <w:p w14:paraId="4029B85C" w14:textId="77777777" w:rsidR="00676DB5" w:rsidRDefault="00BF6DCE">
            <w:pPr>
              <w:spacing w:line="360" w:lineRule="auto"/>
              <w:rPr>
                <w:rFonts w:ascii="Times New Roman" w:hAnsi="Times New Roman" w:cs="Times New Roman"/>
              </w:rPr>
            </w:pPr>
            <w:r>
              <w:rPr>
                <w:rFonts w:ascii="Times New Roman" w:hAnsi="Times New Roman" w:cs="Times New Roman"/>
              </w:rPr>
              <w:t>3. Incomplete reset of the memristor occasionally occurs during cycling tests, which causes temporary power loss of the device.</w:t>
            </w:r>
          </w:p>
          <w:p w14:paraId="4029B85D" w14:textId="77777777" w:rsidR="00676DB5" w:rsidRDefault="00BF6DCE">
            <w:pPr>
              <w:spacing w:line="360" w:lineRule="auto"/>
              <w:rPr>
                <w:rFonts w:ascii="Times New Roman" w:hAnsi="Times New Roman" w:cs="Times New Roman"/>
              </w:rPr>
            </w:pPr>
            <w:r>
              <w:rPr>
                <w:rFonts w:ascii="Times New Roman" w:hAnsi="Times New Roman" w:cs="Times New Roman"/>
              </w:rPr>
              <w:t>4. No long-term high reverse voltage stability data is available to verify its durability under extreme stress.</w:t>
            </w:r>
          </w:p>
        </w:tc>
      </w:tr>
    </w:tbl>
    <w:p w14:paraId="4029B85F" w14:textId="77777777" w:rsidR="00676DB5" w:rsidRDefault="00676DB5"/>
    <w:tbl>
      <w:tblPr>
        <w:tblW w:w="0" w:type="auto"/>
        <w:tblCellMar>
          <w:top w:w="15" w:type="dxa"/>
          <w:left w:w="15" w:type="dxa"/>
          <w:bottom w:w="15" w:type="dxa"/>
          <w:right w:w="15" w:type="dxa"/>
        </w:tblCellMar>
        <w:tblLook w:val="04A0" w:firstRow="1" w:lastRow="0" w:firstColumn="1" w:lastColumn="0" w:noHBand="0" w:noVBand="1"/>
      </w:tblPr>
      <w:tblGrid>
        <w:gridCol w:w="2211"/>
        <w:gridCol w:w="6826"/>
        <w:gridCol w:w="6345"/>
      </w:tblGrid>
      <w:tr w:rsidR="00676DB5" w14:paraId="4029B863" w14:textId="77777777">
        <w:trPr>
          <w:trHeight w:val="425"/>
          <w:tblHeader/>
        </w:trPr>
        <w:tc>
          <w:tcPr>
            <w:tcW w:w="2211" w:type="dxa"/>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60" w14:textId="77777777" w:rsidR="00676DB5" w:rsidRDefault="00BF6DCE">
            <w:pPr>
              <w:spacing w:line="360" w:lineRule="auto"/>
              <w:jc w:val="center"/>
              <w:rPr>
                <w:rFonts w:ascii="Times New Roman" w:hAnsi="Times New Roman" w:cs="Times New Roman"/>
                <w:b/>
                <w:bCs/>
              </w:rPr>
            </w:pPr>
            <w:r>
              <w:rPr>
                <w:rFonts w:ascii="Times New Roman" w:hAnsi="Times New Roman" w:cs="Times New Roman"/>
                <w:b/>
                <w:bCs/>
              </w:rPr>
              <w:lastRenderedPageBreak/>
              <w:t>Comparison Aspects</w:t>
            </w:r>
          </w:p>
        </w:tc>
        <w:tc>
          <w:tcPr>
            <w:tcW w:w="0" w:type="auto"/>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61" w14:textId="77777777" w:rsidR="00676DB5" w:rsidRDefault="00BF6DCE">
            <w:pPr>
              <w:spacing w:line="360" w:lineRule="auto"/>
              <w:jc w:val="center"/>
              <w:rPr>
                <w:rFonts w:ascii="Times New Roman" w:hAnsi="Times New Roman" w:cs="Times New Roman"/>
                <w:b/>
                <w:bCs/>
              </w:rPr>
            </w:pPr>
            <w:r>
              <w:rPr>
                <w:rFonts w:ascii="Times New Roman" w:hAnsi="Times New Roman" w:cs="Times New Roman"/>
                <w:b/>
                <w:bCs/>
              </w:rPr>
              <w:t>Integrated Bypass Diode (IBD, This Work)</w:t>
            </w:r>
          </w:p>
        </w:tc>
        <w:tc>
          <w:tcPr>
            <w:tcW w:w="0" w:type="auto"/>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62" w14:textId="77777777" w:rsidR="00676DB5" w:rsidRDefault="00BF6DCE">
            <w:pPr>
              <w:spacing w:line="360" w:lineRule="auto"/>
              <w:jc w:val="center"/>
              <w:rPr>
                <w:rFonts w:ascii="Times New Roman" w:hAnsi="Times New Roman" w:cs="Times New Roman"/>
                <w:b/>
                <w:bCs/>
              </w:rPr>
            </w:pPr>
            <w:r>
              <w:rPr>
                <w:rFonts w:ascii="Times New Roman" w:hAnsi="Times New Roman" w:cs="Times New Roman"/>
                <w:b/>
                <w:bCs/>
              </w:rPr>
              <w:t>Integrated Memristor (</w:t>
            </w:r>
            <w:proofErr w:type="spellStart"/>
            <w:r>
              <w:rPr>
                <w:rFonts w:ascii="Times New Roman" w:hAnsi="Times New Roman" w:cs="Times New Roman"/>
                <w:b/>
                <w:bCs/>
              </w:rPr>
              <w:t>Memsol</w:t>
            </w:r>
            <w:proofErr w:type="spellEnd"/>
            <w:r>
              <w:rPr>
                <w:rFonts w:ascii="Times New Roman" w:hAnsi="Times New Roman" w:cs="Times New Roman"/>
                <w:b/>
                <w:bCs/>
              </w:rPr>
              <w:t>, Nature 2026)</w:t>
            </w:r>
          </w:p>
        </w:tc>
      </w:tr>
      <w:tr w:rsidR="00676DB5" w14:paraId="4029B86F" w14:textId="77777777">
        <w:trPr>
          <w:trHeight w:val="6576"/>
        </w:trPr>
        <w:tc>
          <w:tcPr>
            <w:tcW w:w="2211" w:type="dxa"/>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64" w14:textId="77777777" w:rsidR="00676DB5" w:rsidRDefault="00BF6DCE">
            <w:pPr>
              <w:spacing w:line="360" w:lineRule="auto"/>
              <w:jc w:val="center"/>
              <w:rPr>
                <w:rFonts w:ascii="Times New Roman" w:hAnsi="Times New Roman" w:cs="Times New Roman"/>
              </w:rPr>
            </w:pPr>
            <w:r>
              <w:rPr>
                <w:rFonts w:ascii="Times New Roman" w:hAnsi="Times New Roman" w:cs="Times New Roman" w:hint="eastAsia"/>
                <w:b/>
                <w:bCs/>
              </w:rPr>
              <w:t>7</w:t>
            </w:r>
            <w:r>
              <w:rPr>
                <w:rFonts w:ascii="Times New Roman" w:hAnsi="Times New Roman" w:cs="Times New Roman"/>
                <w:b/>
                <w:bCs/>
              </w:rPr>
              <w:t>. Significance for Large-Scale PSC Mass Production</w:t>
            </w:r>
          </w:p>
        </w:tc>
        <w:tc>
          <w:tcPr>
            <w:tcW w:w="0" w:type="auto"/>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65" w14:textId="77777777" w:rsidR="00676DB5" w:rsidRDefault="00BF6DCE">
            <w:pPr>
              <w:spacing w:line="360" w:lineRule="auto"/>
              <w:rPr>
                <w:rFonts w:ascii="Times New Roman" w:hAnsi="Times New Roman" w:cs="Times New Roman"/>
              </w:rPr>
            </w:pPr>
            <w:r>
              <w:rPr>
                <w:rFonts w:ascii="Times New Roman" w:hAnsi="Times New Roman" w:cs="Times New Roman"/>
              </w:rPr>
              <w:t>Highly promising for industrialization and module application.</w:t>
            </w:r>
          </w:p>
          <w:p w14:paraId="4029B866" w14:textId="77777777" w:rsidR="00676DB5" w:rsidRDefault="00BF6DCE">
            <w:pPr>
              <w:spacing w:line="360" w:lineRule="auto"/>
              <w:rPr>
                <w:rFonts w:ascii="Times New Roman" w:hAnsi="Times New Roman" w:cs="Times New Roman"/>
              </w:rPr>
            </w:pPr>
            <w:r>
              <w:rPr>
                <w:rFonts w:ascii="Times New Roman" w:hAnsi="Times New Roman" w:cs="Times New Roman"/>
              </w:rPr>
              <w:t>1. The simple structure and fabrication process are highly compatible with existing commercial PSC and module production lines, requiring low production line retrofitting cost.</w:t>
            </w:r>
          </w:p>
          <w:p w14:paraId="4029B867" w14:textId="77777777" w:rsidR="00676DB5" w:rsidRDefault="00BF6DCE">
            <w:pPr>
              <w:spacing w:line="360" w:lineRule="auto"/>
              <w:rPr>
                <w:rFonts w:ascii="Times New Roman" w:hAnsi="Times New Roman" w:cs="Times New Roman"/>
              </w:rPr>
            </w:pPr>
            <w:r>
              <w:rPr>
                <w:rFonts w:ascii="Times New Roman" w:hAnsi="Times New Roman" w:cs="Times New Roman"/>
              </w:rPr>
              <w:t>2. The overall power loss caused by IBD integration is controllable: the relative efficiency loss is about 8.3% for high-resistivity perovskite films, and drops to below 1% for low-resistivity perovskite materials.</w:t>
            </w:r>
          </w:p>
          <w:p w14:paraId="4029B868" w14:textId="77777777" w:rsidR="00676DB5" w:rsidRDefault="00BF6DCE">
            <w:pPr>
              <w:spacing w:line="360" w:lineRule="auto"/>
              <w:rPr>
                <w:rFonts w:ascii="Times New Roman" w:hAnsi="Times New Roman" w:cs="Times New Roman"/>
              </w:rPr>
            </w:pPr>
            <w:r>
              <w:rPr>
                <w:rFonts w:ascii="Times New Roman" w:hAnsi="Times New Roman" w:cs="Times New Roman"/>
              </w:rPr>
              <w:t>3. The device maintains stable performance under diverse real-world shading and illumination conditions, perfectly adapting to outdoor module operation.</w:t>
            </w:r>
          </w:p>
          <w:p w14:paraId="4029B869" w14:textId="77777777" w:rsidR="00676DB5" w:rsidRDefault="00BF6DCE">
            <w:pPr>
              <w:spacing w:line="360" w:lineRule="auto"/>
              <w:rPr>
                <w:rFonts w:ascii="Times New Roman" w:hAnsi="Times New Roman" w:cs="Times New Roman"/>
              </w:rPr>
            </w:pPr>
            <w:r>
              <w:rPr>
                <w:rFonts w:ascii="Times New Roman" w:hAnsi="Times New Roman" w:cs="Times New Roman"/>
              </w:rPr>
              <w:t>4. Superior long-term reliability effectively reduces the failure rate and after-sales maintenance risks of photovoltaic modules. Besides, module-level numerical simulations prove that IBD-equipped strings retain high power output under severe partial shading.</w:t>
            </w:r>
          </w:p>
        </w:tc>
        <w:tc>
          <w:tcPr>
            <w:tcW w:w="0" w:type="auto"/>
            <w:tcBorders>
              <w:top w:val="single" w:sz="12" w:space="0" w:color="auto"/>
              <w:left w:val="single" w:sz="6" w:space="0" w:color="CCCCCC"/>
              <w:bottom w:val="single" w:sz="12" w:space="0" w:color="auto"/>
              <w:right w:val="single" w:sz="6" w:space="0" w:color="CCCCCC"/>
            </w:tcBorders>
            <w:tcMar>
              <w:top w:w="120" w:type="dxa"/>
              <w:left w:w="120" w:type="dxa"/>
              <w:bottom w:w="120" w:type="dxa"/>
              <w:right w:w="120" w:type="dxa"/>
            </w:tcMar>
            <w:vAlign w:val="center"/>
          </w:tcPr>
          <w:p w14:paraId="4029B86A" w14:textId="77777777" w:rsidR="00676DB5" w:rsidRDefault="00BF6DCE">
            <w:pPr>
              <w:spacing w:line="360" w:lineRule="auto"/>
              <w:rPr>
                <w:rFonts w:ascii="Times New Roman" w:hAnsi="Times New Roman" w:cs="Times New Roman"/>
              </w:rPr>
            </w:pPr>
            <w:r>
              <w:rPr>
                <w:rFonts w:ascii="Times New Roman" w:hAnsi="Times New Roman" w:cs="Times New Roman"/>
              </w:rPr>
              <w:t>Restricted and challenging for large-scale manufacturing and practical deployment.</w:t>
            </w:r>
          </w:p>
          <w:p w14:paraId="4029B86B" w14:textId="77777777" w:rsidR="00676DB5" w:rsidRDefault="00BF6DCE">
            <w:pPr>
              <w:spacing w:line="360" w:lineRule="auto"/>
              <w:rPr>
                <w:rFonts w:ascii="Times New Roman" w:hAnsi="Times New Roman" w:cs="Times New Roman"/>
              </w:rPr>
            </w:pPr>
            <w:r>
              <w:rPr>
                <w:rFonts w:ascii="Times New Roman" w:hAnsi="Times New Roman" w:cs="Times New Roman"/>
              </w:rPr>
              <w:t>1. Complicated lithography and selective deposition processes push up production cost and reduce manufacturing yield, which is unfavorable for the fabrication of large-area perovskite modules.</w:t>
            </w:r>
          </w:p>
          <w:p w14:paraId="4029B86C" w14:textId="77777777" w:rsidR="00676DB5" w:rsidRDefault="00BF6DCE">
            <w:pPr>
              <w:spacing w:line="360" w:lineRule="auto"/>
              <w:rPr>
                <w:rFonts w:ascii="Times New Roman" w:hAnsi="Times New Roman" w:cs="Times New Roman"/>
              </w:rPr>
            </w:pPr>
            <w:r>
              <w:rPr>
                <w:rFonts w:ascii="Times New Roman" w:hAnsi="Times New Roman" w:cs="Times New Roman"/>
              </w:rPr>
              <w:t>2. The limited current tolerance of a single memristor requires parallel arrangement of multiple units for large-area cells, bringing technical challenges in synchronous switching and uniform heat distribution.</w:t>
            </w:r>
          </w:p>
          <w:p w14:paraId="4029B86D" w14:textId="77777777" w:rsidR="00676DB5" w:rsidRDefault="00BF6DCE">
            <w:pPr>
              <w:spacing w:line="360" w:lineRule="auto"/>
              <w:rPr>
                <w:rFonts w:ascii="Times New Roman" w:hAnsi="Times New Roman" w:cs="Times New Roman"/>
              </w:rPr>
            </w:pPr>
            <w:r>
              <w:rPr>
                <w:rFonts w:ascii="Times New Roman" w:hAnsi="Times New Roman" w:cs="Times New Roman"/>
              </w:rPr>
              <w:t>3. The occasional incomplete reset of memristor may lead to persistent potential power loss during long-term field operation.</w:t>
            </w:r>
          </w:p>
          <w:p w14:paraId="4029B86E" w14:textId="77777777" w:rsidR="00676DB5" w:rsidRDefault="00BF6DCE">
            <w:pPr>
              <w:spacing w:line="360" w:lineRule="auto"/>
              <w:rPr>
                <w:rFonts w:ascii="Times New Roman" w:hAnsi="Times New Roman" w:cs="Times New Roman"/>
              </w:rPr>
            </w:pPr>
            <w:r>
              <w:rPr>
                <w:rFonts w:ascii="Times New Roman" w:hAnsi="Times New Roman" w:cs="Times New Roman"/>
              </w:rPr>
              <w:t>4. The introduced photoresist and other organic layers may introduce extra hidden risks to the long-term outdoor stability of PSCs. Meanwhile, no module-level energy yield simulation is reported to verify its performance in large-size strings.</w:t>
            </w:r>
          </w:p>
        </w:tc>
      </w:tr>
    </w:tbl>
    <w:p w14:paraId="4029B870" w14:textId="77777777" w:rsidR="00676DB5" w:rsidRDefault="00676DB5">
      <w:pPr>
        <w:spacing w:line="360" w:lineRule="auto"/>
        <w:rPr>
          <w:rFonts w:ascii="Times New Roman" w:hAnsi="Times New Roman" w:cs="Times New Roman"/>
        </w:rPr>
      </w:pPr>
    </w:p>
    <w:p w14:paraId="4029B871" w14:textId="77777777" w:rsidR="00676DB5" w:rsidRDefault="00BF6DCE">
      <w:pPr>
        <w:widowControl/>
        <w:jc w:val="left"/>
        <w:rPr>
          <w:rFonts w:ascii="Times New Roman" w:hAnsi="Times New Roman" w:cs="Times New Roman"/>
        </w:rPr>
      </w:pPr>
      <w:r>
        <w:rPr>
          <w:rFonts w:ascii="Times New Roman" w:hAnsi="Times New Roman" w:cs="Times New Roman"/>
        </w:rPr>
        <w:br w:type="page"/>
      </w:r>
    </w:p>
    <w:p w14:paraId="4029B872" w14:textId="534133BF" w:rsidR="00676DB5" w:rsidRDefault="00BF6DCE">
      <w:pPr>
        <w:spacing w:line="360" w:lineRule="auto"/>
        <w:rPr>
          <w:rFonts w:ascii="Times New Roman" w:hAnsi="Times New Roman" w:cs="Times New Roman"/>
        </w:rPr>
      </w:pPr>
      <w:r>
        <w:rPr>
          <w:rFonts w:ascii="Times New Roman" w:hAnsi="Times New Roman" w:cs="Times New Roman" w:hint="eastAsia"/>
          <w:b/>
          <w:bCs/>
        </w:rPr>
        <w:lastRenderedPageBreak/>
        <w:t xml:space="preserve">Notes: </w:t>
      </w:r>
      <w:r>
        <w:rPr>
          <w:rFonts w:ascii="Times New Roman" w:hAnsi="Times New Roman" w:cs="Times New Roman"/>
        </w:rPr>
        <w:t xml:space="preserve">The two strategies realize </w:t>
      </w:r>
      <w:r w:rsidR="001B03D1">
        <w:rPr>
          <w:rFonts w:ascii="Times New Roman" w:hAnsi="Times New Roman" w:cs="Times New Roman"/>
        </w:rPr>
        <w:t xml:space="preserve">reverse </w:t>
      </w:r>
      <w:r>
        <w:rPr>
          <w:rFonts w:ascii="Times New Roman" w:hAnsi="Times New Roman" w:cs="Times New Roman"/>
        </w:rPr>
        <w:t>bias protection by different working principles. This work adopts an integrated bypass diode</w:t>
      </w:r>
      <w:r>
        <w:rPr>
          <w:rFonts w:ascii="Times New Roman" w:hAnsi="Times New Roman" w:cs="Times New Roman" w:hint="eastAsia"/>
        </w:rPr>
        <w:t xml:space="preserve"> (IBD)</w:t>
      </w:r>
      <w:r>
        <w:rPr>
          <w:rFonts w:ascii="Times New Roman" w:hAnsi="Times New Roman" w:cs="Times New Roman"/>
        </w:rPr>
        <w:t xml:space="preserve"> with simpler fabrication, superior long-term stability under high reverse voltage, and systematic mechanism exploration regarding illumination-dependent </w:t>
      </w:r>
      <w:r>
        <w:rPr>
          <w:rFonts w:ascii="Times New Roman" w:hAnsi="Times New Roman" w:cs="Times New Roman" w:hint="eastAsia"/>
          <w:i/>
          <w:iCs/>
        </w:rPr>
        <w:t>V</w:t>
      </w:r>
      <w:r>
        <w:rPr>
          <w:rFonts w:ascii="Times New Roman" w:hAnsi="Times New Roman" w:cs="Times New Roman" w:hint="eastAsia"/>
          <w:i/>
          <w:iCs/>
          <w:vertAlign w:val="subscript"/>
        </w:rPr>
        <w:t>BD</w:t>
      </w:r>
      <w:r>
        <w:rPr>
          <w:rFonts w:ascii="Times New Roman" w:hAnsi="Times New Roman" w:cs="Times New Roman"/>
        </w:rPr>
        <w:t xml:space="preserve">. The integrated memristor requires sophisticated lithography processes and shows current-dependent switching behavior. The IBD proposed in this work not only achieves reliable </w:t>
      </w:r>
      <w:r w:rsidR="001B03D1">
        <w:rPr>
          <w:rFonts w:ascii="Times New Roman" w:hAnsi="Times New Roman" w:cs="Times New Roman"/>
        </w:rPr>
        <w:t xml:space="preserve">reverse </w:t>
      </w:r>
      <w:r>
        <w:rPr>
          <w:rFonts w:ascii="Times New Roman" w:hAnsi="Times New Roman" w:cs="Times New Roman"/>
        </w:rPr>
        <w:t>bias protection for perovskite solar cells, but also delivers an in-depth exploration of the fundamental failure mechanisms of PSCs under realistic partial shading. The relevant conclusions can provide universal guidance for the reliability optimization of perovskite photovoltaic technology.</w:t>
      </w:r>
      <w:r>
        <w:rPr>
          <w:rFonts w:ascii="Times New Roman" w:hAnsi="Times New Roman" w:cs="Times New Roman" w:hint="eastAsia"/>
        </w:rPr>
        <w:t xml:space="preserve"> </w:t>
      </w:r>
    </w:p>
    <w:p w14:paraId="4029B873" w14:textId="2F9B3B3E" w:rsidR="00676DB5" w:rsidRDefault="00BF6DCE">
      <w:pPr>
        <w:spacing w:line="360" w:lineRule="auto"/>
        <w:rPr>
          <w:rFonts w:ascii="Times New Roman" w:hAnsi="Times New Roman" w:cs="Times New Roman"/>
        </w:rPr>
        <w:sectPr w:rsidR="00676DB5">
          <w:pgSz w:w="16838" w:h="11906" w:orient="landscape"/>
          <w:pgMar w:top="720" w:right="720" w:bottom="720" w:left="720" w:header="851" w:footer="992" w:gutter="0"/>
          <w:cols w:space="425"/>
          <w:docGrid w:type="lines" w:linePitch="312"/>
        </w:sectPr>
      </w:pPr>
      <w:r>
        <w:rPr>
          <w:rFonts w:ascii="Times New Roman" w:hAnsi="Times New Roman" w:cs="Times New Roman"/>
        </w:rPr>
        <w:t xml:space="preserve">Compared with the memristor-based </w:t>
      </w:r>
      <w:proofErr w:type="spellStart"/>
      <w:r>
        <w:rPr>
          <w:rFonts w:ascii="Times New Roman" w:hAnsi="Times New Roman" w:cs="Times New Roman"/>
        </w:rPr>
        <w:t>Memsol</w:t>
      </w:r>
      <w:proofErr w:type="spellEnd"/>
      <w:r>
        <w:rPr>
          <w:rFonts w:ascii="Times New Roman" w:hAnsi="Times New Roman" w:cs="Times New Roman"/>
        </w:rPr>
        <w:t xml:space="preserve"> device published in Nature (2026), the IBD solution achieves a superior comprehensive balance in multiple key dimensions, including fabrication feasibility, long-term anti-stress reliability, </w:t>
      </w:r>
      <w:r w:rsidR="001B03D1">
        <w:rPr>
          <w:rFonts w:ascii="Times New Roman" w:hAnsi="Times New Roman" w:cs="Times New Roman"/>
        </w:rPr>
        <w:t xml:space="preserve">reverse </w:t>
      </w:r>
      <w:r>
        <w:rPr>
          <w:rFonts w:ascii="Times New Roman" w:hAnsi="Times New Roman" w:cs="Times New Roman"/>
        </w:rPr>
        <w:t>bias endurance and production compatibility. Benefiting from simpler device architecture, mature manufacturing process, stronger tolerance to extreme reverse stress and stable performance under variable illumination, the IBD strategy possesses greater practical value and broader application prospects for the future commercialization and large-scale deployment of perovskite solar modules.</w:t>
      </w:r>
    </w:p>
    <w:p w14:paraId="4029B874" w14:textId="77777777" w:rsidR="00676DB5" w:rsidRDefault="00BF6DCE">
      <w:pPr>
        <w:spacing w:line="360" w:lineRule="auto"/>
        <w:jc w:val="left"/>
        <w:rPr>
          <w:rFonts w:ascii="Times New Roman" w:eastAsia="微软雅黑" w:hAnsi="Times New Roman" w:cs="Times New Roman"/>
          <w:b/>
          <w:bCs/>
          <w:color w:val="000000"/>
          <w:kern w:val="24"/>
          <w:szCs w:val="21"/>
        </w:rPr>
      </w:pPr>
      <w:r>
        <w:rPr>
          <w:rFonts w:ascii="Times New Roman" w:hAnsi="Times New Roman" w:cs="Times New Roman"/>
          <w:b/>
          <w:bCs/>
          <w:sz w:val="28"/>
          <w:szCs w:val="28"/>
        </w:rPr>
        <w:lastRenderedPageBreak/>
        <w:t>References</w:t>
      </w:r>
    </w:p>
    <w:p w14:paraId="4029B875" w14:textId="77777777" w:rsidR="00676DB5" w:rsidRDefault="00BF6DCE">
      <w:pPr>
        <w:pStyle w:val="EndNoteBibliography"/>
        <w:ind w:left="720" w:hanging="720"/>
        <w:rPr>
          <w:rFonts w:hint="default"/>
        </w:rPr>
      </w:pPr>
      <w:r>
        <w:rPr>
          <w:rFonts w:ascii="Times New Roman" w:eastAsia="微软雅黑" w:hAnsi="Times New Roman" w:cs="Times New Roman" w:hint="default"/>
          <w:b/>
          <w:bCs/>
          <w:color w:val="000000"/>
          <w:kern w:val="24"/>
          <w:szCs w:val="21"/>
        </w:rPr>
        <w:fldChar w:fldCharType="begin"/>
      </w:r>
      <w:r>
        <w:rPr>
          <w:rFonts w:ascii="Times New Roman" w:eastAsia="微软雅黑" w:hAnsi="Times New Roman" w:cs="Times New Roman" w:hint="default"/>
          <w:b/>
          <w:bCs/>
          <w:color w:val="000000"/>
          <w:kern w:val="24"/>
          <w:szCs w:val="21"/>
        </w:rPr>
        <w:instrText xml:space="preserve"> ADDIN EN.REFLIST </w:instrText>
      </w:r>
      <w:r>
        <w:rPr>
          <w:rFonts w:ascii="Times New Roman" w:eastAsia="微软雅黑" w:hAnsi="Times New Roman" w:cs="Times New Roman" w:hint="default"/>
          <w:b/>
          <w:bCs/>
          <w:color w:val="000000"/>
          <w:kern w:val="24"/>
          <w:szCs w:val="21"/>
        </w:rPr>
        <w:fldChar w:fldCharType="separate"/>
      </w:r>
      <w:r>
        <w:t>1</w:t>
      </w:r>
      <w:r>
        <w:tab/>
        <w:t>Henzel, J.</w:t>
      </w:r>
      <w:r>
        <w:rPr>
          <w:i/>
        </w:rPr>
        <w:t xml:space="preserve"> et al.</w:t>
      </w:r>
      <w:r>
        <w:t xml:space="preserve"> The impact of low-intensity illumination on the reverse bias behavior of perovskite solar cells. </w:t>
      </w:r>
      <w:r>
        <w:rPr>
          <w:i/>
        </w:rPr>
        <w:t>Journal of Materials Chemistry A</w:t>
      </w:r>
      <w:r>
        <w:t xml:space="preserve"> </w:t>
      </w:r>
      <w:r>
        <w:rPr>
          <w:b/>
        </w:rPr>
        <w:t>13</w:t>
      </w:r>
      <w:r>
        <w:t xml:space="preserve">, 31755-31769 (2025). </w:t>
      </w:r>
      <w:hyperlink r:id="rId22" w:history="1">
        <w:r>
          <w:rPr>
            <w:rStyle w:val="Hyperlink"/>
          </w:rPr>
          <w:t>https://doi.org/10.1039/D5TA04100G</w:t>
        </w:r>
      </w:hyperlink>
    </w:p>
    <w:p w14:paraId="4029B876" w14:textId="77777777" w:rsidR="00676DB5" w:rsidRDefault="00BF6DCE">
      <w:pPr>
        <w:pStyle w:val="EndNoteBibliography"/>
        <w:ind w:left="720" w:hanging="720"/>
        <w:rPr>
          <w:rFonts w:hint="default"/>
        </w:rPr>
      </w:pPr>
      <w:r>
        <w:t>2</w:t>
      </w:r>
      <w:r>
        <w:tab/>
        <w:t>Bao, Y.</w:t>
      </w:r>
      <w:r>
        <w:rPr>
          <w:i/>
        </w:rPr>
        <w:t xml:space="preserve"> et al.</w:t>
      </w:r>
      <w:r>
        <w:t xml:space="preserve"> Reverse-Bias Breakdown Mechanisms and Mitigation Strategies in Perovskite Cells and Tandems. </w:t>
      </w:r>
      <w:r>
        <w:rPr>
          <w:i/>
        </w:rPr>
        <w:t>Advanced Functional Materials</w:t>
      </w:r>
      <w:r>
        <w:t xml:space="preserve"> </w:t>
      </w:r>
      <w:r>
        <w:rPr>
          <w:b/>
        </w:rPr>
        <w:t>n/a</w:t>
      </w:r>
      <w:r>
        <w:t xml:space="preserve">, e24250 (2025). </w:t>
      </w:r>
      <w:hyperlink r:id="rId23" w:history="1">
        <w:r>
          <w:rPr>
            <w:rStyle w:val="Hyperlink"/>
          </w:rPr>
          <w:t>https://doi.org/https://doi.org/10.1002/adfm.202524250</w:t>
        </w:r>
      </w:hyperlink>
    </w:p>
    <w:p w14:paraId="4029B877" w14:textId="77777777" w:rsidR="00676DB5" w:rsidRDefault="00BF6DCE">
      <w:pPr>
        <w:pStyle w:val="EndNoteBibliography"/>
        <w:ind w:left="720" w:hanging="720"/>
        <w:rPr>
          <w:rFonts w:hint="default"/>
        </w:rPr>
      </w:pPr>
      <w:r>
        <w:t>3</w:t>
      </w:r>
      <w:r>
        <w:tab/>
        <w:t xml:space="preserve">Bowring, A. R., Bertoluzzi, L., O'Regan, B. C. &amp; McGehee, M. D. Reverse Bias Behavior of Halide Perovskite Solar Cells. </w:t>
      </w:r>
      <w:r>
        <w:rPr>
          <w:i/>
        </w:rPr>
        <w:t>Advanced Energy Materials</w:t>
      </w:r>
      <w:r>
        <w:t xml:space="preserve"> </w:t>
      </w:r>
      <w:r>
        <w:rPr>
          <w:b/>
        </w:rPr>
        <w:t>8</w:t>
      </w:r>
      <w:r>
        <w:t xml:space="preserve">, 1702365 (2018). </w:t>
      </w:r>
      <w:hyperlink r:id="rId24" w:history="1">
        <w:r>
          <w:rPr>
            <w:rStyle w:val="Hyperlink"/>
          </w:rPr>
          <w:t>https://doi.org/https://doi.org/10.1002/aenm.201702365</w:t>
        </w:r>
      </w:hyperlink>
    </w:p>
    <w:p w14:paraId="4029B878" w14:textId="77777777" w:rsidR="00676DB5" w:rsidRDefault="00BF6DCE">
      <w:pPr>
        <w:pStyle w:val="EndNoteBibliography"/>
        <w:ind w:left="720" w:hanging="720"/>
        <w:rPr>
          <w:rFonts w:hint="default"/>
        </w:rPr>
      </w:pPr>
      <w:r>
        <w:t>4</w:t>
      </w:r>
      <w:r>
        <w:tab/>
        <w:t>Aydin, E.</w:t>
      </w:r>
      <w:r>
        <w:rPr>
          <w:i/>
        </w:rPr>
        <w:t xml:space="preserve"> et al.</w:t>
      </w:r>
      <w:r>
        <w:t xml:space="preserve"> Ligand-bridged charge extraction and enhanced quantum efficiency enable efficient n</w:t>
      </w:r>
      <w:r>
        <w:t>–</w:t>
      </w:r>
      <w:r>
        <w:t>i</w:t>
      </w:r>
      <w:r>
        <w:t>–</w:t>
      </w:r>
      <w:r>
        <w:t xml:space="preserve">p perovskite/silicon tandem solar cells. </w:t>
      </w:r>
      <w:r>
        <w:rPr>
          <w:i/>
        </w:rPr>
        <w:t>Energy &amp; Environmental Science</w:t>
      </w:r>
      <w:r>
        <w:t xml:space="preserve"> </w:t>
      </w:r>
      <w:r>
        <w:rPr>
          <w:b/>
        </w:rPr>
        <w:t>14</w:t>
      </w:r>
      <w:r>
        <w:t xml:space="preserve">, 4377-4390 (2021). </w:t>
      </w:r>
    </w:p>
    <w:p w14:paraId="4029B879" w14:textId="77777777" w:rsidR="00676DB5" w:rsidRDefault="00BF6DCE">
      <w:pPr>
        <w:pStyle w:val="EndNoteBibliography"/>
        <w:ind w:left="720" w:hanging="720"/>
        <w:rPr>
          <w:rFonts w:hint="default"/>
        </w:rPr>
      </w:pPr>
      <w:r>
        <w:t>5</w:t>
      </w:r>
      <w:r>
        <w:tab/>
        <w:t xml:space="preserve">Dussouillez, M. S. M. </w:t>
      </w:r>
      <w:r>
        <w:rPr>
          <w:i/>
        </w:rPr>
        <w:t>Identification and Mitigation of Degradation Mechanisms Induced by Heat and Light in NiOx-based Perovskite Solar Cells</w:t>
      </w:r>
      <w:r>
        <w:t>, EPFL, (2024).</w:t>
      </w:r>
    </w:p>
    <w:p w14:paraId="4029B87A" w14:textId="77777777" w:rsidR="00676DB5" w:rsidRDefault="00BF6DCE">
      <w:pPr>
        <w:pStyle w:val="EndNoteBibliography"/>
        <w:ind w:left="720" w:hanging="720"/>
        <w:rPr>
          <w:rFonts w:hint="default"/>
        </w:rPr>
      </w:pPr>
      <w:r>
        <w:t>6</w:t>
      </w:r>
      <w:r>
        <w:tab/>
        <w:t xml:space="preserve">Kuzyk, N. &amp; Kutsiy, S. OPTIMIZATION OF THE PEROVSKITE SOLAR CELL STRUCTURE. </w:t>
      </w:r>
      <w:r>
        <w:rPr>
          <w:i/>
        </w:rPr>
        <w:t>Information and communication technologies, electronic engineering</w:t>
      </w:r>
      <w:r>
        <w:t xml:space="preserve"> </w:t>
      </w:r>
      <w:r>
        <w:rPr>
          <w:b/>
        </w:rPr>
        <w:t>4</w:t>
      </w:r>
      <w:r>
        <w:t xml:space="preserve">, 163-171 (2024). </w:t>
      </w:r>
      <w:hyperlink r:id="rId25" w:history="1">
        <w:r>
          <w:rPr>
            <w:rStyle w:val="Hyperlink"/>
          </w:rPr>
          <w:t>https://doi.org/10.23939/ictee2024.01.163</w:t>
        </w:r>
      </w:hyperlink>
    </w:p>
    <w:p w14:paraId="4029B87B" w14:textId="77777777" w:rsidR="00676DB5" w:rsidRDefault="00BF6DCE">
      <w:pPr>
        <w:pStyle w:val="EndNoteBibliography"/>
        <w:ind w:left="720" w:hanging="720"/>
        <w:rPr>
          <w:rFonts w:hint="default"/>
        </w:rPr>
      </w:pPr>
      <w:r>
        <w:t>7</w:t>
      </w:r>
      <w:r>
        <w:tab/>
        <w:t>Messmer, C.</w:t>
      </w:r>
      <w:r>
        <w:rPr>
          <w:i/>
        </w:rPr>
        <w:t xml:space="preserve"> et al.</w:t>
      </w:r>
      <w:r>
        <w:t xml:space="preserve"> Toward more reliable measurement procedures of perovskite</w:t>
      </w:r>
      <w:r>
        <w:t>‐</w:t>
      </w:r>
      <w:r>
        <w:t xml:space="preserve">silicon tandem solar cells: The role of transient device effects and measurement conditions. </w:t>
      </w:r>
      <w:r>
        <w:rPr>
          <w:i/>
        </w:rPr>
        <w:t>Progress in Photovoltaics: Research and Applications</w:t>
      </w:r>
      <w:r>
        <w:t xml:space="preserve"> </w:t>
      </w:r>
      <w:r>
        <w:rPr>
          <w:b/>
        </w:rPr>
        <w:t>33</w:t>
      </w:r>
      <w:r>
        <w:t xml:space="preserve">, 126-142 (2025). </w:t>
      </w:r>
    </w:p>
    <w:p w14:paraId="4029B87C" w14:textId="77777777" w:rsidR="00676DB5" w:rsidRDefault="00BF6DCE">
      <w:pPr>
        <w:pStyle w:val="EndNoteBibliography"/>
        <w:ind w:left="720" w:hanging="720"/>
        <w:rPr>
          <w:rFonts w:hint="default"/>
        </w:rPr>
      </w:pPr>
      <w:r>
        <w:t>8</w:t>
      </w:r>
      <w:r>
        <w:tab/>
        <w:t>Patel, U.</w:t>
      </w:r>
      <w:r>
        <w:rPr>
          <w:i/>
        </w:rPr>
        <w:t xml:space="preserve"> et al.</w:t>
      </w:r>
      <w:r>
        <w:t xml:space="preserve"> SnO2 as Electron Transport Layer in CsPbBr3 Perovskite Solar Cells: Experimental and Simulation Approaches. </w:t>
      </w:r>
      <w:r>
        <w:rPr>
          <w:i/>
        </w:rPr>
        <w:t>ACS Applied Energy Materials</w:t>
      </w:r>
      <w:r>
        <w:t xml:space="preserve"> </w:t>
      </w:r>
      <w:r>
        <w:rPr>
          <w:b/>
        </w:rPr>
        <w:t>9</w:t>
      </w:r>
      <w:r>
        <w:t xml:space="preserve">, 593-605 (2025). </w:t>
      </w:r>
    </w:p>
    <w:p w14:paraId="4029B87D" w14:textId="77777777" w:rsidR="00676DB5" w:rsidRDefault="00BF6DCE">
      <w:pPr>
        <w:pStyle w:val="EndNoteBibliography"/>
        <w:ind w:left="720" w:hanging="720"/>
        <w:rPr>
          <w:rFonts w:hint="default"/>
        </w:rPr>
      </w:pPr>
      <w:r>
        <w:t>9</w:t>
      </w:r>
      <w:r>
        <w:tab/>
        <w:t xml:space="preserve">Singh, P. K. &amp; Dwivedi, D. K. </w:t>
      </w:r>
      <w:r>
        <w:rPr>
          <w:i/>
        </w:rPr>
        <w:t>Perovskite Solar Cells: Sustainable Materials, Device Design, Renewable Energy Applications</w:t>
      </w:r>
      <w:r>
        <w:t>.  (Walter de Gruyter GmbH &amp; Co KG, 2025).</w:t>
      </w:r>
    </w:p>
    <w:p w14:paraId="4029B87E" w14:textId="77777777" w:rsidR="00676DB5" w:rsidRDefault="00BF6DCE">
      <w:pPr>
        <w:pStyle w:val="EndNoteBibliography"/>
        <w:ind w:left="720" w:hanging="720"/>
        <w:rPr>
          <w:rFonts w:hint="default"/>
        </w:rPr>
      </w:pPr>
      <w:r>
        <w:t>10</w:t>
      </w:r>
      <w:r>
        <w:tab/>
        <w:t>Gao, Y.</w:t>
      </w:r>
      <w:r>
        <w:rPr>
          <w:i/>
        </w:rPr>
        <w:t xml:space="preserve"> et al.</w:t>
      </w:r>
      <w:r>
        <w:t xml:space="preserve"> Performance optimization of monolithic all-perovskite tandem solar cells under standard and real-world solar spectra. </w:t>
      </w:r>
      <w:r>
        <w:rPr>
          <w:i/>
        </w:rPr>
        <w:t>Joule</w:t>
      </w:r>
      <w:r>
        <w:t xml:space="preserve"> </w:t>
      </w:r>
      <w:r>
        <w:rPr>
          <w:b/>
        </w:rPr>
        <w:t>6</w:t>
      </w:r>
      <w:r>
        <w:t xml:space="preserve">, 1944-1963 (2022). </w:t>
      </w:r>
    </w:p>
    <w:p w14:paraId="4029B87F" w14:textId="77777777" w:rsidR="00676DB5" w:rsidRDefault="00BF6DCE">
      <w:pPr>
        <w:pStyle w:val="EndNoteBibliography"/>
        <w:ind w:left="720" w:hanging="720"/>
        <w:rPr>
          <w:rFonts w:hint="default"/>
        </w:rPr>
      </w:pPr>
      <w:r>
        <w:t>11</w:t>
      </w:r>
      <w:r>
        <w:tab/>
        <w:t xml:space="preserve">Green, M. A. Solar cells: operating principles, technology, and system applications.  (1981). </w:t>
      </w:r>
    </w:p>
    <w:p w14:paraId="4029B880" w14:textId="77777777" w:rsidR="00676DB5" w:rsidRDefault="00BF6DCE">
      <w:pPr>
        <w:pStyle w:val="EndNoteBibliography"/>
        <w:ind w:left="720" w:hanging="720"/>
        <w:rPr>
          <w:rFonts w:hint="default"/>
        </w:rPr>
      </w:pPr>
      <w:r>
        <w:t>12</w:t>
      </w:r>
      <w:r>
        <w:tab/>
        <w:t xml:space="preserve">Lan, D. &amp; Green, M. A. Combatting temperature and reverse-bias challenges facing perovskite solar cells. </w:t>
      </w:r>
      <w:r>
        <w:rPr>
          <w:i/>
        </w:rPr>
        <w:t>Joule</w:t>
      </w:r>
      <w:r>
        <w:t xml:space="preserve"> </w:t>
      </w:r>
      <w:r>
        <w:rPr>
          <w:b/>
        </w:rPr>
        <w:t>6</w:t>
      </w:r>
      <w:r>
        <w:t xml:space="preserve">, 1782-1797 (2022). </w:t>
      </w:r>
      <w:hyperlink r:id="rId26" w:history="1">
        <w:r>
          <w:rPr>
            <w:rStyle w:val="Hyperlink"/>
          </w:rPr>
          <w:t>https://doi.org/10.1016/j.joule.2022.06.014</w:t>
        </w:r>
      </w:hyperlink>
    </w:p>
    <w:p w14:paraId="4029B881" w14:textId="77777777" w:rsidR="00676DB5" w:rsidRDefault="00BF6DCE">
      <w:pPr>
        <w:pStyle w:val="EndNoteBibliography"/>
        <w:ind w:left="720" w:hanging="720"/>
        <w:rPr>
          <w:rFonts w:hint="default"/>
        </w:rPr>
      </w:pPr>
      <w:r>
        <w:t>13</w:t>
      </w:r>
      <w:r>
        <w:tab/>
        <w:t>Mohammadi, M.</w:t>
      </w:r>
      <w:r>
        <w:rPr>
          <w:i/>
        </w:rPr>
        <w:t xml:space="preserve"> et al.</w:t>
      </w:r>
      <w:r>
        <w:t xml:space="preserve"> Integrated memristor for mitigating reverse-bias in perovskite solar cells. </w:t>
      </w:r>
      <w:r>
        <w:rPr>
          <w:i/>
        </w:rPr>
        <w:t>Nature</w:t>
      </w:r>
      <w:r>
        <w:t xml:space="preserve"> </w:t>
      </w:r>
      <w:r>
        <w:rPr>
          <w:b/>
        </w:rPr>
        <w:t>651</w:t>
      </w:r>
      <w:r>
        <w:t xml:space="preserve">, 933-939 (2026). </w:t>
      </w:r>
      <w:hyperlink r:id="rId27" w:history="1">
        <w:r>
          <w:rPr>
            <w:rStyle w:val="Hyperlink"/>
          </w:rPr>
          <w:t>https://doi.org/10.1038/s41586-026-10275-3</w:t>
        </w:r>
      </w:hyperlink>
    </w:p>
    <w:p w14:paraId="4029B882" w14:textId="17AEA140" w:rsidR="00676DB5" w:rsidRDefault="00BF6DCE">
      <w:pPr>
        <w:spacing w:line="360" w:lineRule="auto"/>
        <w:rPr>
          <w:rFonts w:ascii="Times New Roman" w:eastAsia="微软雅黑" w:hAnsi="Times New Roman" w:cs="Times New Roman"/>
          <w:b/>
          <w:bCs/>
          <w:color w:val="000000"/>
          <w:kern w:val="24"/>
          <w:szCs w:val="21"/>
        </w:rPr>
      </w:pPr>
      <w:r>
        <w:rPr>
          <w:rFonts w:ascii="Times New Roman" w:eastAsia="微软雅黑" w:hAnsi="Times New Roman" w:cs="Times New Roman"/>
          <w:b/>
          <w:bCs/>
          <w:color w:val="000000"/>
          <w:kern w:val="24"/>
          <w:szCs w:val="21"/>
        </w:rPr>
        <w:fldChar w:fldCharType="end"/>
      </w:r>
    </w:p>
    <w:sectPr w:rsidR="00676DB5">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CharisSIL">
    <w:altName w:val="Segoe Print"/>
    <w:charset w:val="00"/>
    <w:family w:val="auto"/>
    <w:pitch w:val="default"/>
  </w:font>
  <w:font w:name="STIX-Regular">
    <w:altName w:val="Segoe Print"/>
    <w:charset w:val="00"/>
    <w:family w:val="auto"/>
    <w:pitch w:val="default"/>
  </w:font>
  <w:font w:name="微软雅黑">
    <w:panose1 w:val="020B0503020204020204"/>
    <w:charset w:val="86"/>
    <w:family w:val="swiss"/>
    <w:pitch w:val="variable"/>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defaultTabStop w:val="420"/>
  <w:drawingGridHorizontalSpacing w:val="105"/>
  <w:drawingGridVerticalSpacing w:val="156"/>
  <w:displayHorizontalDrawingGridEvery w:val="2"/>
  <w:displayVerticalDrawingGridEvery w:val="2"/>
  <w:noPunctuationKerning/>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ature Cop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ax05raw0dp0sde5sszvt5f3tzpff5xteaxz&quot;&gt;My EndNote Library&lt;record-ids&gt;&lt;item&gt;29&lt;/item&gt;&lt;item&gt;54&lt;/item&gt;&lt;item&gt;57&lt;/item&gt;&lt;item&gt;68&lt;/item&gt;&lt;item&gt;79&lt;/item&gt;&lt;item&gt;80&lt;/item&gt;&lt;item&gt;81&lt;/item&gt;&lt;item&gt;82&lt;/item&gt;&lt;item&gt;83&lt;/item&gt;&lt;item&gt;84&lt;/item&gt;&lt;item&gt;85&lt;/item&gt;&lt;item&gt;86&lt;/item&gt;&lt;item&gt;88&lt;/item&gt;&lt;/record-ids&gt;&lt;/item&gt;&lt;/Libraries&gt;"/>
  </w:docVars>
  <w:rsids>
    <w:rsidRoot w:val="00CA41A7"/>
    <w:rsid w:val="00042542"/>
    <w:rsid w:val="0005715F"/>
    <w:rsid w:val="0008752E"/>
    <w:rsid w:val="000930B1"/>
    <w:rsid w:val="000E7C5F"/>
    <w:rsid w:val="000F7193"/>
    <w:rsid w:val="00100F5C"/>
    <w:rsid w:val="00101900"/>
    <w:rsid w:val="00120757"/>
    <w:rsid w:val="00144E80"/>
    <w:rsid w:val="001712F6"/>
    <w:rsid w:val="0018271B"/>
    <w:rsid w:val="001876AB"/>
    <w:rsid w:val="001A16CF"/>
    <w:rsid w:val="001B03D1"/>
    <w:rsid w:val="001B550A"/>
    <w:rsid w:val="001C6990"/>
    <w:rsid w:val="001D5109"/>
    <w:rsid w:val="001E286D"/>
    <w:rsid w:val="001F25E0"/>
    <w:rsid w:val="001F556A"/>
    <w:rsid w:val="00225B7C"/>
    <w:rsid w:val="002464E5"/>
    <w:rsid w:val="0024682B"/>
    <w:rsid w:val="0028611D"/>
    <w:rsid w:val="002917EB"/>
    <w:rsid w:val="002A5EF1"/>
    <w:rsid w:val="002B5341"/>
    <w:rsid w:val="002C610C"/>
    <w:rsid w:val="002E497C"/>
    <w:rsid w:val="003074B4"/>
    <w:rsid w:val="00334151"/>
    <w:rsid w:val="003704EC"/>
    <w:rsid w:val="00377D76"/>
    <w:rsid w:val="003805D7"/>
    <w:rsid w:val="00380705"/>
    <w:rsid w:val="003C3EED"/>
    <w:rsid w:val="003C4A9E"/>
    <w:rsid w:val="003D1132"/>
    <w:rsid w:val="00423A24"/>
    <w:rsid w:val="00434282"/>
    <w:rsid w:val="00444A89"/>
    <w:rsid w:val="00461D0A"/>
    <w:rsid w:val="00485379"/>
    <w:rsid w:val="00485EB1"/>
    <w:rsid w:val="00490E7B"/>
    <w:rsid w:val="004A2640"/>
    <w:rsid w:val="004B056E"/>
    <w:rsid w:val="004B4027"/>
    <w:rsid w:val="004C5BDF"/>
    <w:rsid w:val="004D20EE"/>
    <w:rsid w:val="004D263B"/>
    <w:rsid w:val="004F5CD8"/>
    <w:rsid w:val="004F796D"/>
    <w:rsid w:val="00505EFA"/>
    <w:rsid w:val="005474CD"/>
    <w:rsid w:val="00556163"/>
    <w:rsid w:val="0056174C"/>
    <w:rsid w:val="005808AC"/>
    <w:rsid w:val="00583008"/>
    <w:rsid w:val="005A0B22"/>
    <w:rsid w:val="005A10BE"/>
    <w:rsid w:val="005D5AC8"/>
    <w:rsid w:val="005E78C5"/>
    <w:rsid w:val="005F6DD8"/>
    <w:rsid w:val="00601A57"/>
    <w:rsid w:val="00606E63"/>
    <w:rsid w:val="006279C9"/>
    <w:rsid w:val="00633B31"/>
    <w:rsid w:val="00657D25"/>
    <w:rsid w:val="00676DB5"/>
    <w:rsid w:val="00697B24"/>
    <w:rsid w:val="006A6EB2"/>
    <w:rsid w:val="006C2073"/>
    <w:rsid w:val="007042F1"/>
    <w:rsid w:val="00726F6B"/>
    <w:rsid w:val="0076155C"/>
    <w:rsid w:val="007772D3"/>
    <w:rsid w:val="00784CBC"/>
    <w:rsid w:val="00795C70"/>
    <w:rsid w:val="00796BA1"/>
    <w:rsid w:val="007A5D56"/>
    <w:rsid w:val="007B134A"/>
    <w:rsid w:val="007C40D8"/>
    <w:rsid w:val="007E71F8"/>
    <w:rsid w:val="0082273E"/>
    <w:rsid w:val="0082608E"/>
    <w:rsid w:val="00836963"/>
    <w:rsid w:val="00873DA7"/>
    <w:rsid w:val="008B306B"/>
    <w:rsid w:val="008C0AA5"/>
    <w:rsid w:val="008C3672"/>
    <w:rsid w:val="008C7A87"/>
    <w:rsid w:val="008F167B"/>
    <w:rsid w:val="00901D67"/>
    <w:rsid w:val="00915B5D"/>
    <w:rsid w:val="00943253"/>
    <w:rsid w:val="00964507"/>
    <w:rsid w:val="009B283C"/>
    <w:rsid w:val="009B760B"/>
    <w:rsid w:val="009C5657"/>
    <w:rsid w:val="009C7C33"/>
    <w:rsid w:val="009E310F"/>
    <w:rsid w:val="009F096D"/>
    <w:rsid w:val="009F7B6D"/>
    <w:rsid w:val="00A13018"/>
    <w:rsid w:val="00A23418"/>
    <w:rsid w:val="00A26D86"/>
    <w:rsid w:val="00A30E16"/>
    <w:rsid w:val="00A31F3A"/>
    <w:rsid w:val="00A8379A"/>
    <w:rsid w:val="00A85D9E"/>
    <w:rsid w:val="00A90930"/>
    <w:rsid w:val="00A94EF5"/>
    <w:rsid w:val="00AA0013"/>
    <w:rsid w:val="00AA22C4"/>
    <w:rsid w:val="00AB49E6"/>
    <w:rsid w:val="00AC0332"/>
    <w:rsid w:val="00AD7079"/>
    <w:rsid w:val="00AE7EE9"/>
    <w:rsid w:val="00B1483A"/>
    <w:rsid w:val="00B33D1D"/>
    <w:rsid w:val="00B40867"/>
    <w:rsid w:val="00B65121"/>
    <w:rsid w:val="00B6661E"/>
    <w:rsid w:val="00B81A25"/>
    <w:rsid w:val="00B8295E"/>
    <w:rsid w:val="00B94201"/>
    <w:rsid w:val="00B973D5"/>
    <w:rsid w:val="00BE0874"/>
    <w:rsid w:val="00BF5757"/>
    <w:rsid w:val="00BF6DCE"/>
    <w:rsid w:val="00C03260"/>
    <w:rsid w:val="00C04798"/>
    <w:rsid w:val="00C10CCB"/>
    <w:rsid w:val="00C5144A"/>
    <w:rsid w:val="00C66249"/>
    <w:rsid w:val="00C67268"/>
    <w:rsid w:val="00C827F3"/>
    <w:rsid w:val="00C97F45"/>
    <w:rsid w:val="00CA41A7"/>
    <w:rsid w:val="00CC45CE"/>
    <w:rsid w:val="00CD5504"/>
    <w:rsid w:val="00CF04EF"/>
    <w:rsid w:val="00CF61D6"/>
    <w:rsid w:val="00D2699C"/>
    <w:rsid w:val="00D46FF8"/>
    <w:rsid w:val="00D57C5E"/>
    <w:rsid w:val="00DB375D"/>
    <w:rsid w:val="00DD7A02"/>
    <w:rsid w:val="00DF1CF6"/>
    <w:rsid w:val="00E02537"/>
    <w:rsid w:val="00E32E31"/>
    <w:rsid w:val="00E41D68"/>
    <w:rsid w:val="00E47333"/>
    <w:rsid w:val="00E55A17"/>
    <w:rsid w:val="00E63CA2"/>
    <w:rsid w:val="00E76707"/>
    <w:rsid w:val="00E775EE"/>
    <w:rsid w:val="00E91B07"/>
    <w:rsid w:val="00EE6E1B"/>
    <w:rsid w:val="00F15CA2"/>
    <w:rsid w:val="00F43F28"/>
    <w:rsid w:val="00F453E2"/>
    <w:rsid w:val="00F623AA"/>
    <w:rsid w:val="00F9776D"/>
    <w:rsid w:val="00FE0F3A"/>
    <w:rsid w:val="00FE7658"/>
    <w:rsid w:val="00FF3113"/>
    <w:rsid w:val="00FF7812"/>
    <w:rsid w:val="063C23D9"/>
    <w:rsid w:val="1F334A11"/>
    <w:rsid w:val="1F351E3E"/>
    <w:rsid w:val="25144BD6"/>
    <w:rsid w:val="2C820AD6"/>
    <w:rsid w:val="334A0966"/>
    <w:rsid w:val="3C207479"/>
    <w:rsid w:val="3EDE66B4"/>
    <w:rsid w:val="4B2748A7"/>
    <w:rsid w:val="570974F7"/>
    <w:rsid w:val="5F0C077E"/>
    <w:rsid w:val="65C45E74"/>
    <w:rsid w:val="68611AB3"/>
    <w:rsid w:val="73D73B1A"/>
    <w:rsid w:val="745569D3"/>
    <w:rsid w:val="74747308"/>
    <w:rsid w:val="75F81AE5"/>
    <w:rsid w:val="76A76DE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029B73D"/>
  <w14:defaultImageDpi w14:val="32767"/>
  <w15:docId w15:val="{A2E62235-E54D-45B4-A116-89F251C38F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rPr>
      <w:rFonts w:asciiTheme="minorHAnsi" w:eastAsiaTheme="minorEastAsia" w:hAnsiTheme="minorHAnsi" w:cstheme="minorBidi"/>
      <w:kern w:val="2"/>
      <w:sz w:val="21"/>
      <w:szCs w:val="22"/>
    </w:rPr>
  </w:style>
  <w:style w:type="paragraph" w:styleId="Heading1">
    <w:name w:val="heading 1"/>
    <w:basedOn w:val="Normal"/>
    <w:next w:val="Normal"/>
    <w:link w:val="Heading1Char"/>
    <w:uiPriority w:val="9"/>
    <w:qFormat/>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Heading2">
    <w:name w:val="heading 2"/>
    <w:basedOn w:val="Normal"/>
    <w:next w:val="Normal"/>
    <w:link w:val="Heading2Char"/>
    <w:uiPriority w:val="9"/>
    <w:semiHidden/>
    <w:unhideWhenUsed/>
    <w:qFormat/>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Heading3">
    <w:name w:val="heading 3"/>
    <w:basedOn w:val="Normal"/>
    <w:next w:val="Normal"/>
    <w:link w:val="Heading3Char"/>
    <w:uiPriority w:val="9"/>
    <w:semiHidden/>
    <w:unhideWhenUsed/>
    <w:qFormat/>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Heading4">
    <w:name w:val="heading 4"/>
    <w:basedOn w:val="Normal"/>
    <w:next w:val="Normal"/>
    <w:link w:val="Heading4Char"/>
    <w:uiPriority w:val="9"/>
    <w:semiHidden/>
    <w:unhideWhenUsed/>
    <w:qFormat/>
    <w:pPr>
      <w:keepNext/>
      <w:keepLines/>
      <w:spacing w:before="80" w:after="40"/>
      <w:outlineLvl w:val="3"/>
    </w:pPr>
    <w:rPr>
      <w:rFonts w:cstheme="majorBidi"/>
      <w:color w:val="0F4761" w:themeColor="accent1" w:themeShade="BF"/>
      <w:sz w:val="28"/>
      <w:szCs w:val="28"/>
    </w:rPr>
  </w:style>
  <w:style w:type="paragraph" w:styleId="Heading5">
    <w:name w:val="heading 5"/>
    <w:basedOn w:val="Normal"/>
    <w:next w:val="Normal"/>
    <w:link w:val="Heading5Char"/>
    <w:uiPriority w:val="9"/>
    <w:semiHidden/>
    <w:unhideWhenUsed/>
    <w:qFormat/>
    <w:pPr>
      <w:keepNext/>
      <w:keepLines/>
      <w:spacing w:before="80" w:after="40"/>
      <w:outlineLvl w:val="4"/>
    </w:pPr>
    <w:rPr>
      <w:rFonts w:cstheme="majorBidi"/>
      <w:color w:val="0F4761" w:themeColor="accent1" w:themeShade="BF"/>
      <w:sz w:val="24"/>
      <w:szCs w:val="24"/>
    </w:rPr>
  </w:style>
  <w:style w:type="paragraph" w:styleId="Heading6">
    <w:name w:val="heading 6"/>
    <w:basedOn w:val="Normal"/>
    <w:next w:val="Normal"/>
    <w:link w:val="Heading6Char"/>
    <w:uiPriority w:val="9"/>
    <w:semiHidden/>
    <w:unhideWhenUsed/>
    <w:qFormat/>
    <w:pPr>
      <w:keepNext/>
      <w:keepLines/>
      <w:spacing w:before="40"/>
      <w:outlineLvl w:val="5"/>
    </w:pPr>
    <w:rPr>
      <w:rFonts w:cstheme="majorBidi"/>
      <w:b/>
      <w:bCs/>
      <w:color w:val="0F4761" w:themeColor="accent1" w:themeShade="BF"/>
    </w:rPr>
  </w:style>
  <w:style w:type="paragraph" w:styleId="Heading7">
    <w:name w:val="heading 7"/>
    <w:basedOn w:val="Normal"/>
    <w:next w:val="Normal"/>
    <w:link w:val="Heading7Char"/>
    <w:uiPriority w:val="9"/>
    <w:semiHidden/>
    <w:unhideWhenUsed/>
    <w:qFormat/>
    <w:pPr>
      <w:keepNext/>
      <w:keepLines/>
      <w:spacing w:before="40"/>
      <w:outlineLvl w:val="6"/>
    </w:pPr>
    <w:rPr>
      <w:rFonts w:cstheme="majorBidi"/>
      <w:b/>
      <w:bCs/>
      <w:color w:val="595959" w:themeColor="text1" w:themeTint="A6"/>
    </w:rPr>
  </w:style>
  <w:style w:type="paragraph" w:styleId="Heading8">
    <w:name w:val="heading 8"/>
    <w:basedOn w:val="Normal"/>
    <w:next w:val="Normal"/>
    <w:link w:val="Heading8Char"/>
    <w:uiPriority w:val="9"/>
    <w:semiHidden/>
    <w:unhideWhenUsed/>
    <w:qFormat/>
    <w:pPr>
      <w:keepNext/>
      <w:keepLines/>
      <w:outlineLvl w:val="7"/>
    </w:pPr>
    <w:rPr>
      <w:rFonts w:cstheme="majorBidi"/>
      <w:color w:val="595959" w:themeColor="text1" w:themeTint="A6"/>
    </w:rPr>
  </w:style>
  <w:style w:type="paragraph" w:styleId="Heading9">
    <w:name w:val="heading 9"/>
    <w:basedOn w:val="Normal"/>
    <w:next w:val="Normal"/>
    <w:link w:val="Heading9Char"/>
    <w:uiPriority w:val="9"/>
    <w:semiHidden/>
    <w:unhideWhenUsed/>
    <w:qFormat/>
    <w:pPr>
      <w:keepNext/>
      <w:keepLines/>
      <w:outlineLvl w:val="8"/>
    </w:pPr>
    <w:rPr>
      <w:rFonts w:eastAsiaTheme="majorEastAsia" w:cstheme="majorBidi"/>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semiHidden/>
    <w:unhideWhenUsed/>
    <w:qFormat/>
    <w:pPr>
      <w:jc w:val="left"/>
    </w:pPr>
  </w:style>
  <w:style w:type="paragraph" w:styleId="Subtitle">
    <w:name w:val="Subtitle"/>
    <w:basedOn w:val="Normal"/>
    <w:next w:val="Normal"/>
    <w:link w:val="SubtitleChar"/>
    <w:uiPriority w:val="11"/>
    <w:qFormat/>
    <w:pPr>
      <w:spacing w:after="160"/>
      <w:jc w:val="center"/>
    </w:pPr>
    <w:rPr>
      <w:rFonts w:asciiTheme="majorHAnsi" w:eastAsiaTheme="majorEastAsia" w:hAnsiTheme="majorHAnsi" w:cstheme="majorBidi"/>
      <w:color w:val="595959" w:themeColor="text1" w:themeTint="A6"/>
      <w:spacing w:val="15"/>
      <w:sz w:val="28"/>
      <w:szCs w:val="28"/>
    </w:rPr>
  </w:style>
  <w:style w:type="paragraph" w:styleId="NormalWeb">
    <w:name w:val="Normal (Web)"/>
    <w:basedOn w:val="Normal"/>
    <w:uiPriority w:val="99"/>
    <w:semiHidden/>
    <w:unhideWhenUsed/>
    <w:qFormat/>
    <w:pPr>
      <w:spacing w:beforeAutospacing="1" w:afterAutospacing="1"/>
      <w:jc w:val="left"/>
    </w:pPr>
    <w:rPr>
      <w:rFonts w:cs="Times New Roman"/>
      <w:kern w:val="0"/>
      <w:sz w:val="24"/>
    </w:rPr>
  </w:style>
  <w:style w:type="paragraph" w:styleId="Title">
    <w:name w:val="Title"/>
    <w:basedOn w:val="Normal"/>
    <w:next w:val="Normal"/>
    <w:link w:val="TitleChar"/>
    <w:uiPriority w:val="10"/>
    <w:qFormat/>
    <w:pPr>
      <w:spacing w:after="80"/>
      <w:contextualSpacing/>
      <w:jc w:val="center"/>
    </w:pPr>
    <w:rPr>
      <w:rFonts w:asciiTheme="majorHAnsi" w:eastAsiaTheme="majorEastAsia" w:hAnsiTheme="majorHAnsi" w:cstheme="majorBidi"/>
      <w:spacing w:val="-10"/>
      <w:kern w:val="28"/>
      <w:sz w:val="56"/>
      <w:szCs w:val="56"/>
    </w:rPr>
  </w:style>
  <w:style w:type="paragraph" w:styleId="CommentSubject">
    <w:name w:val="annotation subject"/>
    <w:basedOn w:val="CommentText"/>
    <w:next w:val="CommentText"/>
    <w:link w:val="CommentSubjectChar"/>
    <w:uiPriority w:val="99"/>
    <w:semiHidden/>
    <w:unhideWhenUsed/>
    <w:qFormat/>
    <w:rPr>
      <w:b/>
      <w:bCs/>
    </w:rPr>
  </w:style>
  <w:style w:type="character" w:styleId="Hyperlink">
    <w:name w:val="Hyperlink"/>
    <w:basedOn w:val="DefaultParagraphFont"/>
    <w:uiPriority w:val="99"/>
    <w:semiHidden/>
    <w:unhideWhenUsed/>
    <w:qFormat/>
    <w:rPr>
      <w:color w:val="0000FF"/>
      <w:u w:val="single"/>
    </w:rPr>
  </w:style>
  <w:style w:type="character" w:styleId="CommentReference">
    <w:name w:val="annotation reference"/>
    <w:basedOn w:val="DefaultParagraphFont"/>
    <w:uiPriority w:val="99"/>
    <w:semiHidden/>
    <w:unhideWhenUsed/>
    <w:qFormat/>
    <w:rPr>
      <w:sz w:val="21"/>
      <w:szCs w:val="21"/>
    </w:rPr>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0F4761" w:themeColor="accent1" w:themeShade="BF"/>
      <w:sz w:val="48"/>
      <w:szCs w:val="48"/>
    </w:rPr>
  </w:style>
  <w:style w:type="character" w:customStyle="1" w:styleId="Heading2Char">
    <w:name w:val="Heading 2 Char"/>
    <w:basedOn w:val="DefaultParagraphFont"/>
    <w:link w:val="Heading2"/>
    <w:uiPriority w:val="9"/>
    <w:semiHidden/>
    <w:qFormat/>
    <w:rPr>
      <w:rFonts w:asciiTheme="majorHAnsi" w:eastAsiaTheme="majorEastAsia" w:hAnsiTheme="majorHAnsi" w:cstheme="majorBidi"/>
      <w:color w:val="0F4761" w:themeColor="accent1" w:themeShade="BF"/>
      <w:sz w:val="40"/>
      <w:szCs w:val="40"/>
    </w:rPr>
  </w:style>
  <w:style w:type="character" w:customStyle="1" w:styleId="Heading3Char">
    <w:name w:val="Heading 3 Char"/>
    <w:basedOn w:val="DefaultParagraphFont"/>
    <w:link w:val="Heading3"/>
    <w:uiPriority w:val="9"/>
    <w:semiHidden/>
    <w:qFormat/>
    <w:rPr>
      <w:rFonts w:asciiTheme="majorHAnsi" w:eastAsiaTheme="majorEastAsia" w:hAnsiTheme="majorHAnsi" w:cstheme="majorBidi"/>
      <w:color w:val="0F4761" w:themeColor="accent1" w:themeShade="BF"/>
      <w:sz w:val="32"/>
      <w:szCs w:val="32"/>
    </w:rPr>
  </w:style>
  <w:style w:type="character" w:customStyle="1" w:styleId="Heading4Char">
    <w:name w:val="Heading 4 Char"/>
    <w:basedOn w:val="DefaultParagraphFont"/>
    <w:link w:val="Heading4"/>
    <w:uiPriority w:val="9"/>
    <w:semiHidden/>
    <w:qFormat/>
    <w:rPr>
      <w:rFonts w:cstheme="majorBidi"/>
      <w:color w:val="0F4761" w:themeColor="accent1" w:themeShade="BF"/>
      <w:sz w:val="28"/>
      <w:szCs w:val="28"/>
    </w:rPr>
  </w:style>
  <w:style w:type="character" w:customStyle="1" w:styleId="Heading5Char">
    <w:name w:val="Heading 5 Char"/>
    <w:basedOn w:val="DefaultParagraphFont"/>
    <w:link w:val="Heading5"/>
    <w:uiPriority w:val="9"/>
    <w:semiHidden/>
    <w:qFormat/>
    <w:rPr>
      <w:rFonts w:cstheme="majorBidi"/>
      <w:color w:val="0F4761" w:themeColor="accent1" w:themeShade="BF"/>
      <w:sz w:val="24"/>
      <w:szCs w:val="24"/>
    </w:rPr>
  </w:style>
  <w:style w:type="character" w:customStyle="1" w:styleId="Heading6Char">
    <w:name w:val="Heading 6 Char"/>
    <w:basedOn w:val="DefaultParagraphFont"/>
    <w:link w:val="Heading6"/>
    <w:uiPriority w:val="9"/>
    <w:semiHidden/>
    <w:qFormat/>
    <w:rPr>
      <w:rFonts w:cstheme="majorBidi"/>
      <w:b/>
      <w:bCs/>
      <w:color w:val="0F4761" w:themeColor="accent1" w:themeShade="BF"/>
    </w:rPr>
  </w:style>
  <w:style w:type="character" w:customStyle="1" w:styleId="Heading7Char">
    <w:name w:val="Heading 7 Char"/>
    <w:basedOn w:val="DefaultParagraphFont"/>
    <w:link w:val="Heading7"/>
    <w:uiPriority w:val="9"/>
    <w:semiHidden/>
    <w:qFormat/>
    <w:rPr>
      <w:rFonts w:cstheme="majorBidi"/>
      <w:b/>
      <w:bCs/>
      <w:color w:val="595959" w:themeColor="text1" w:themeTint="A6"/>
    </w:rPr>
  </w:style>
  <w:style w:type="character" w:customStyle="1" w:styleId="Heading8Char">
    <w:name w:val="Heading 8 Char"/>
    <w:basedOn w:val="DefaultParagraphFont"/>
    <w:link w:val="Heading8"/>
    <w:uiPriority w:val="9"/>
    <w:semiHidden/>
    <w:qFormat/>
    <w:rPr>
      <w:rFonts w:cstheme="majorBidi"/>
      <w:color w:val="595959" w:themeColor="text1" w:themeTint="A6"/>
    </w:rPr>
  </w:style>
  <w:style w:type="character" w:customStyle="1" w:styleId="Heading9Char">
    <w:name w:val="Heading 9 Char"/>
    <w:basedOn w:val="DefaultParagraphFont"/>
    <w:link w:val="Heading9"/>
    <w:uiPriority w:val="9"/>
    <w:semiHidden/>
    <w:qFormat/>
    <w:rPr>
      <w:rFonts w:eastAsiaTheme="majorEastAsia" w:cstheme="majorBidi"/>
      <w:color w:val="595959" w:themeColor="text1" w:themeTint="A6"/>
    </w:rPr>
  </w:style>
  <w:style w:type="character" w:customStyle="1" w:styleId="TitleChar">
    <w:name w:val="Title Char"/>
    <w:basedOn w:val="DefaultParagraphFont"/>
    <w:link w:val="Title"/>
    <w:uiPriority w:val="10"/>
    <w:qFormat/>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qFormat/>
    <w:rPr>
      <w:rFonts w:asciiTheme="majorHAnsi" w:eastAsiaTheme="majorEastAsia" w:hAnsiTheme="majorHAnsi" w:cstheme="majorBidi"/>
      <w:color w:val="595959" w:themeColor="text1" w:themeTint="A6"/>
      <w:spacing w:val="15"/>
      <w:sz w:val="28"/>
      <w:szCs w:val="28"/>
    </w:rPr>
  </w:style>
  <w:style w:type="paragraph" w:styleId="Quote">
    <w:name w:val="Quote"/>
    <w:basedOn w:val="Normal"/>
    <w:next w:val="Normal"/>
    <w:link w:val="QuoteChar"/>
    <w:uiPriority w:val="29"/>
    <w:qFormat/>
    <w:pPr>
      <w:spacing w:before="160" w:after="160"/>
      <w:jc w:val="center"/>
    </w:pPr>
    <w:rPr>
      <w:i/>
      <w:iCs/>
      <w:color w:val="404040" w:themeColor="text1" w:themeTint="BF"/>
    </w:rPr>
  </w:style>
  <w:style w:type="character" w:customStyle="1" w:styleId="QuoteChar">
    <w:name w:val="Quote Char"/>
    <w:basedOn w:val="DefaultParagraphFont"/>
    <w:link w:val="Quote"/>
    <w:uiPriority w:val="29"/>
    <w:qFormat/>
    <w:rPr>
      <w:i/>
      <w:iCs/>
      <w:color w:val="404040" w:themeColor="text1" w:themeTint="BF"/>
    </w:rPr>
  </w:style>
  <w:style w:type="paragraph" w:styleId="ListParagraph">
    <w:name w:val="List Paragraph"/>
    <w:basedOn w:val="Normal"/>
    <w:uiPriority w:val="34"/>
    <w:qFormat/>
    <w:pPr>
      <w:ind w:left="720"/>
      <w:contextualSpacing/>
    </w:pPr>
  </w:style>
  <w:style w:type="character" w:customStyle="1" w:styleId="1">
    <w:name w:val="明显强调1"/>
    <w:basedOn w:val="DefaultParagraphFont"/>
    <w:uiPriority w:val="21"/>
    <w:qFormat/>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qFormat/>
    <w:rPr>
      <w:i/>
      <w:iCs/>
      <w:color w:val="0F4761" w:themeColor="accent1" w:themeShade="BF"/>
    </w:rPr>
  </w:style>
  <w:style w:type="character" w:customStyle="1" w:styleId="10">
    <w:name w:val="明显参考1"/>
    <w:basedOn w:val="DefaultParagraphFont"/>
    <w:uiPriority w:val="32"/>
    <w:qFormat/>
    <w:rPr>
      <w:b/>
      <w:bCs/>
      <w:smallCaps/>
      <w:color w:val="0F4761" w:themeColor="accent1" w:themeShade="BF"/>
      <w:spacing w:val="5"/>
    </w:rPr>
  </w:style>
  <w:style w:type="paragraph" w:customStyle="1" w:styleId="EndNoteBibliographyTitle">
    <w:name w:val="EndNote Bibliography Title"/>
    <w:qFormat/>
    <w:pPr>
      <w:jc w:val="center"/>
    </w:pPr>
    <w:rPr>
      <w:rFonts w:ascii="等线" w:eastAsia="等线" w:hAnsi="等线" w:cs="等线" w:hint="eastAsia"/>
      <w:kern w:val="2"/>
      <w:szCs w:val="22"/>
    </w:rPr>
  </w:style>
  <w:style w:type="paragraph" w:customStyle="1" w:styleId="EndNoteBibliography">
    <w:name w:val="EndNote Bibliography"/>
    <w:qFormat/>
    <w:pPr>
      <w:jc w:val="both"/>
    </w:pPr>
    <w:rPr>
      <w:rFonts w:ascii="等线" w:eastAsia="等线" w:hAnsi="等线" w:cs="等线" w:hint="eastAsia"/>
      <w:kern w:val="2"/>
      <w:szCs w:val="22"/>
    </w:rPr>
  </w:style>
  <w:style w:type="character" w:customStyle="1" w:styleId="CommentTextChar">
    <w:name w:val="Comment Text Char"/>
    <w:basedOn w:val="DefaultParagraphFont"/>
    <w:link w:val="CommentText"/>
    <w:uiPriority w:val="99"/>
    <w:semiHidden/>
    <w:qFormat/>
    <w:rPr>
      <w:rFonts w:asciiTheme="minorHAnsi" w:eastAsiaTheme="minorEastAsia" w:hAnsiTheme="minorHAnsi" w:cstheme="minorBidi"/>
      <w:kern w:val="2"/>
      <w:sz w:val="21"/>
      <w:szCs w:val="22"/>
    </w:rPr>
  </w:style>
  <w:style w:type="character" w:customStyle="1" w:styleId="CommentSubjectChar">
    <w:name w:val="Comment Subject Char"/>
    <w:basedOn w:val="CommentTextChar"/>
    <w:link w:val="CommentSubject"/>
    <w:uiPriority w:val="99"/>
    <w:semiHidden/>
    <w:qFormat/>
    <w:rPr>
      <w:rFonts w:asciiTheme="minorHAnsi" w:eastAsiaTheme="minorEastAsia" w:hAnsiTheme="minorHAnsi" w:cstheme="minorBidi"/>
      <w:b/>
      <w:bCs/>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tiff"/><Relationship Id="rId18" Type="http://schemas.openxmlformats.org/officeDocument/2006/relationships/image" Target="media/image14.tiff"/><Relationship Id="rId26" Type="http://schemas.openxmlformats.org/officeDocument/2006/relationships/hyperlink" Target="https://doi.org/10.1016/j.joule.2022.06.014" TargetMode="External"/><Relationship Id="rId3" Type="http://schemas.openxmlformats.org/officeDocument/2006/relationships/settings" Target="settings.xml"/><Relationship Id="rId21" Type="http://schemas.openxmlformats.org/officeDocument/2006/relationships/image" Target="media/image17.tiff"/><Relationship Id="rId7" Type="http://schemas.openxmlformats.org/officeDocument/2006/relationships/image" Target="media/image3.png"/><Relationship Id="rId12" Type="http://schemas.openxmlformats.org/officeDocument/2006/relationships/image" Target="media/image8.tiff"/><Relationship Id="rId17" Type="http://schemas.openxmlformats.org/officeDocument/2006/relationships/image" Target="media/image13.tiff"/><Relationship Id="rId25" Type="http://schemas.openxmlformats.org/officeDocument/2006/relationships/hyperlink" Target="https://doi.org/10.23939/ictee2024.01.163" TargetMode="External"/><Relationship Id="rId2" Type="http://schemas.openxmlformats.org/officeDocument/2006/relationships/styles" Target="styles.xml"/><Relationship Id="rId16" Type="http://schemas.openxmlformats.org/officeDocument/2006/relationships/image" Target="media/image12.tiff"/><Relationship Id="rId20" Type="http://schemas.openxmlformats.org/officeDocument/2006/relationships/image" Target="media/image16.tif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tiff"/><Relationship Id="rId24" Type="http://schemas.openxmlformats.org/officeDocument/2006/relationships/hyperlink" Target="https://doi.org/https://doi.org/10.1002/aenm.201702365" TargetMode="External"/><Relationship Id="rId5" Type="http://schemas.openxmlformats.org/officeDocument/2006/relationships/image" Target="media/image1.png"/><Relationship Id="rId15" Type="http://schemas.openxmlformats.org/officeDocument/2006/relationships/image" Target="media/image11.tiff"/><Relationship Id="rId23" Type="http://schemas.openxmlformats.org/officeDocument/2006/relationships/hyperlink" Target="https://doi.org/https://doi.org/10.1002/adfm.202524250" TargetMode="External"/><Relationship Id="rId28" Type="http://schemas.openxmlformats.org/officeDocument/2006/relationships/fontTable" Target="fontTable.xml"/><Relationship Id="rId10" Type="http://schemas.openxmlformats.org/officeDocument/2006/relationships/image" Target="media/image6.tiff"/><Relationship Id="rId19" Type="http://schemas.openxmlformats.org/officeDocument/2006/relationships/image" Target="media/image15.tiff"/><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tiff"/><Relationship Id="rId22" Type="http://schemas.openxmlformats.org/officeDocument/2006/relationships/hyperlink" Target="https://doi.org/10.1039/D5TA04100G" TargetMode="External"/><Relationship Id="rId27" Type="http://schemas.openxmlformats.org/officeDocument/2006/relationships/hyperlink" Target="https://doi.org/10.1038/s41586-026-10275-3"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084DBF13-7BD3-4B36-8607-1EB03FA065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25</Pages>
  <Words>5021</Words>
  <Characters>28620</Characters>
  <Application>Microsoft Office Word</Application>
  <DocSecurity>0</DocSecurity>
  <Lines>238</Lines>
  <Paragraphs>67</Paragraphs>
  <ScaleCrop>false</ScaleCrop>
  <Company/>
  <LinksUpToDate>false</LinksUpToDate>
  <CharactersWithSpaces>33574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yu zhang</cp:lastModifiedBy>
  <cp:revision>67</cp:revision>
  <cp:lastPrinted>2026-06-11T14:45:00Z</cp:lastPrinted>
  <dcterms:created xsi:type="dcterms:W3CDTF">2026-04-20T10:21:00Z</dcterms:created>
  <dcterms:modified xsi:type="dcterms:W3CDTF">2026-06-12T03:41:00Z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eyJoZGlkIjoiOTc3M2Y5NzIzMDFlZjAyY2Q4Njk5ODkyYjFjNzBiNTQiLCJ1c2VySWQiOiI0NTcyNjcyODMifQ==</vt:lpwstr>
  </property>
  <property fmtid="{D5CDD505-2E9C-101B-9397-08002B2CF9AE}" pid="3" name="KSOProductBuildVer">
    <vt:lpwstr>2052-12.1.0.26895</vt:lpwstr>
  </property>
  <property fmtid="{D5CDD505-2E9C-101B-9397-08002B2CF9AE}" pid="4" name="ICV">
    <vt:lpwstr>81623369186843D9B6306448DBB877E1_13</vt:lpwstr>
  </property>
</Properties>
</file>