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8F936">
      <w:pPr>
        <w:rPr>
          <w:rFonts w:ascii="Times New Roman" w:hAnsi="Times New Roman" w:cs="Times New Roman"/>
          <w:b/>
          <w:bCs/>
          <w:szCs w:val="21"/>
        </w:rPr>
      </w:pPr>
      <w:r>
        <w:rPr>
          <w:rFonts w:ascii="Times New Roman" w:hAnsi="Times New Roman" w:eastAsia="宋体" w:cs="Times New Roman"/>
          <w:b/>
          <w:bCs/>
          <w:szCs w:val="21"/>
        </w:rPr>
        <w:t xml:space="preserve">Table </w:t>
      </w:r>
      <w:r>
        <w:rPr>
          <w:rFonts w:hint="eastAsia" w:ascii="Times New Roman" w:hAnsi="Times New Roman" w:eastAsia="宋体" w:cs="Times New Roman"/>
          <w:b/>
          <w:bCs/>
          <w:szCs w:val="21"/>
        </w:rPr>
        <w:t>S1</w:t>
      </w:r>
      <w:r>
        <w:rPr>
          <w:rFonts w:ascii="Times New Roman" w:hAnsi="Times New Roman" w:eastAsia="宋体" w:cs="Times New Roman"/>
          <w:b/>
          <w:bCs/>
          <w:szCs w:val="21"/>
        </w:rPr>
        <w:t xml:space="preserve"> </w:t>
      </w:r>
      <w:r>
        <w:rPr>
          <w:rFonts w:ascii="Times New Roman" w:hAnsi="Times New Roman" w:cs="Times New Roman"/>
          <w:b/>
          <w:bCs/>
          <w:szCs w:val="21"/>
        </w:rPr>
        <w:t>Gene signatures and computational parameters used for bioinformatic analyses</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4"/>
        <w:gridCol w:w="1279"/>
        <w:gridCol w:w="5674"/>
        <w:gridCol w:w="2008"/>
        <w:gridCol w:w="1723"/>
      </w:tblGrid>
      <w:tr w14:paraId="6E61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B2D7E82">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Signature / parameter</w:t>
            </w:r>
          </w:p>
        </w:tc>
        <w:tc>
          <w:tcPr>
            <w:tcW w:w="0" w:type="auto"/>
            <w:vAlign w:val="center"/>
          </w:tcPr>
          <w:p w14:paraId="2B5B1EAA">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Category</w:t>
            </w:r>
          </w:p>
        </w:tc>
        <w:tc>
          <w:tcPr>
            <w:tcW w:w="0" w:type="auto"/>
            <w:vAlign w:val="center"/>
          </w:tcPr>
          <w:p w14:paraId="61B426A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Gene list / value</w:t>
            </w:r>
          </w:p>
        </w:tc>
        <w:tc>
          <w:tcPr>
            <w:tcW w:w="0" w:type="auto"/>
            <w:vAlign w:val="center"/>
          </w:tcPr>
          <w:p w14:paraId="573B34F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Source / method</w:t>
            </w:r>
          </w:p>
        </w:tc>
        <w:tc>
          <w:tcPr>
            <w:tcW w:w="0" w:type="auto"/>
            <w:vAlign w:val="center"/>
          </w:tcPr>
          <w:p w14:paraId="156C14A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Used in figure / analysis</w:t>
            </w:r>
          </w:p>
        </w:tc>
      </w:tr>
      <w:tr w14:paraId="3FAC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24F0B4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Proliferation</w:t>
            </w:r>
          </w:p>
        </w:tc>
        <w:tc>
          <w:tcPr>
            <w:tcW w:w="0" w:type="auto"/>
            <w:vAlign w:val="center"/>
          </w:tcPr>
          <w:p w14:paraId="1D6F847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5A39D0D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MKI67, PCNA, CCNB1, CCND1, CDK2, CDK4, AURKA, PLK1, TOP2A, CENPA</w:t>
            </w:r>
          </w:p>
        </w:tc>
        <w:tc>
          <w:tcPr>
            <w:tcW w:w="0" w:type="auto"/>
            <w:vAlign w:val="center"/>
          </w:tcPr>
          <w:p w14:paraId="770E0C3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70F69B3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1F, Fig. S1E</w:t>
            </w:r>
          </w:p>
        </w:tc>
      </w:tr>
      <w:tr w14:paraId="12A1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720B4EC">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Apoptosis resistance</w:t>
            </w:r>
          </w:p>
        </w:tc>
        <w:tc>
          <w:tcPr>
            <w:tcW w:w="0" w:type="auto"/>
            <w:vAlign w:val="center"/>
          </w:tcPr>
          <w:p w14:paraId="6CC9B45F">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11199D4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BCL2, BCL2L1, MCL1, BIRC5, XIAP, BIRC2, BIRC3, CFLAR, BCL2A1</w:t>
            </w:r>
          </w:p>
        </w:tc>
        <w:tc>
          <w:tcPr>
            <w:tcW w:w="0" w:type="auto"/>
            <w:vAlign w:val="center"/>
          </w:tcPr>
          <w:p w14:paraId="1EB3242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597FB07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1F, Fig. S1E</w:t>
            </w:r>
          </w:p>
        </w:tc>
      </w:tr>
      <w:tr w14:paraId="1609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2AFC254">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Invasion</w:t>
            </w:r>
          </w:p>
        </w:tc>
        <w:tc>
          <w:tcPr>
            <w:tcW w:w="0" w:type="auto"/>
            <w:vAlign w:val="center"/>
          </w:tcPr>
          <w:p w14:paraId="3BBEF41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27A725E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MMP2, MMP9, MMP14, TIMP1, SNAI1, SNAI2, TWIST1, ZEB1, CDH2, FN1</w:t>
            </w:r>
          </w:p>
        </w:tc>
        <w:tc>
          <w:tcPr>
            <w:tcW w:w="0" w:type="auto"/>
            <w:vAlign w:val="center"/>
          </w:tcPr>
          <w:p w14:paraId="5266831C">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41C0A1B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1F, Fig. S1E</w:t>
            </w:r>
          </w:p>
        </w:tc>
      </w:tr>
      <w:tr w14:paraId="3180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9FDB91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Metastasis</w:t>
            </w:r>
          </w:p>
        </w:tc>
        <w:tc>
          <w:tcPr>
            <w:tcW w:w="0" w:type="auto"/>
            <w:vAlign w:val="center"/>
          </w:tcPr>
          <w:p w14:paraId="65B26F3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09614BE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CXCR4, CXCL12, MMP7, MMP13, POSTN, SPP1, TGFB1, FN1, VIM, CD44</w:t>
            </w:r>
          </w:p>
        </w:tc>
        <w:tc>
          <w:tcPr>
            <w:tcW w:w="0" w:type="auto"/>
            <w:vAlign w:val="center"/>
          </w:tcPr>
          <w:p w14:paraId="74A8A15F">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0443A0E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1F, Fig. S1E</w:t>
            </w:r>
          </w:p>
        </w:tc>
      </w:tr>
      <w:tr w14:paraId="3709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C9B8EC0">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Epithelial-mesenchymal transition (EMT)</w:t>
            </w:r>
          </w:p>
        </w:tc>
        <w:tc>
          <w:tcPr>
            <w:tcW w:w="0" w:type="auto"/>
            <w:vAlign w:val="center"/>
          </w:tcPr>
          <w:p w14:paraId="36C0210F">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03C116F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CDH2, VIM, FN1, SNAI1, SNAI2, TWIST1, ZEB1, ZEB2, MMP9, IL6</w:t>
            </w:r>
          </w:p>
        </w:tc>
        <w:tc>
          <w:tcPr>
            <w:tcW w:w="0" w:type="auto"/>
            <w:vAlign w:val="center"/>
          </w:tcPr>
          <w:p w14:paraId="219AC56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499367F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2E</w:t>
            </w:r>
          </w:p>
        </w:tc>
      </w:tr>
      <w:tr w14:paraId="1556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AD6D96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Epithelialness</w:t>
            </w:r>
          </w:p>
        </w:tc>
        <w:tc>
          <w:tcPr>
            <w:tcW w:w="0" w:type="auto"/>
            <w:vAlign w:val="center"/>
          </w:tcPr>
          <w:p w14:paraId="1F6049AC">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4BF716F0">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CDH1, EPCAM, KRT8, KRT18, KRT19, CLDN1, OCLN, CDH3, MUC1, TJP1</w:t>
            </w:r>
          </w:p>
        </w:tc>
        <w:tc>
          <w:tcPr>
            <w:tcW w:w="0" w:type="auto"/>
            <w:vAlign w:val="center"/>
          </w:tcPr>
          <w:p w14:paraId="6137CBA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348CB70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Bioinformatic feature scoring</w:t>
            </w:r>
          </w:p>
        </w:tc>
      </w:tr>
      <w:tr w14:paraId="32EC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85CA59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Stemness</w:t>
            </w:r>
          </w:p>
        </w:tc>
        <w:tc>
          <w:tcPr>
            <w:tcW w:w="0" w:type="auto"/>
            <w:vAlign w:val="center"/>
          </w:tcPr>
          <w:p w14:paraId="554A48CF">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1DD7FFB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SOX2, POU5F1 (OCT4), NANOG, ALDH1A1, PROM1 (CD133), KLF4, MYC, LIN28A, CD44, ITGA6</w:t>
            </w:r>
          </w:p>
        </w:tc>
        <w:tc>
          <w:tcPr>
            <w:tcW w:w="0" w:type="auto"/>
            <w:vAlign w:val="center"/>
          </w:tcPr>
          <w:p w14:paraId="027928FC">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7D25EC70">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Bioinformatic feature scoring</w:t>
            </w:r>
          </w:p>
        </w:tc>
      </w:tr>
      <w:tr w14:paraId="3499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534B8C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Metabolic reprogramming</w:t>
            </w:r>
          </w:p>
        </w:tc>
        <w:tc>
          <w:tcPr>
            <w:tcW w:w="0" w:type="auto"/>
            <w:vAlign w:val="center"/>
          </w:tcPr>
          <w:p w14:paraId="42A18C9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4A9BAF6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SLC2A1 (GLUT1), HK2, PKM2, LDHA, GLUL, GLUD1, HIF1A, SLC1A5, GLS1, FASN</w:t>
            </w:r>
          </w:p>
        </w:tc>
        <w:tc>
          <w:tcPr>
            <w:tcW w:w="0" w:type="auto"/>
            <w:vAlign w:val="center"/>
          </w:tcPr>
          <w:p w14:paraId="51A5233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4744C72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Bioinformatic feature scoring</w:t>
            </w:r>
          </w:p>
        </w:tc>
      </w:tr>
      <w:tr w14:paraId="7F6F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02BC8EA">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Angiogenesis, Immune evasion, Chemoresistance, Radioresistance, Cell cycle progression, DNA damage response</w:t>
            </w:r>
          </w:p>
        </w:tc>
        <w:tc>
          <w:tcPr>
            <w:tcW w:w="0" w:type="auto"/>
            <w:vAlign w:val="center"/>
          </w:tcPr>
          <w:p w14:paraId="7AC76104">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Malignant feature</w:t>
            </w:r>
          </w:p>
        </w:tc>
        <w:tc>
          <w:tcPr>
            <w:tcW w:w="0" w:type="auto"/>
            <w:vAlign w:val="center"/>
          </w:tcPr>
          <w:p w14:paraId="4DE1D68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9. Angiogenesis: VEGFA, VEGFB, PGF, ANGPT1, ANGPT2, PDGFB; 10. Immune evasion: CD274 (PD-L1), CTLA4, LAG3, TIGIT, IDO1, IL10, TGFB1; 11. Chemoresistance: ABCB1, ABCC1, ABCG2, MGMT, ERCC1; 12. Radioresistance: ATM, ATR, CHK1, CHK2, RAD51; 13. Cell cycle progression: CCND1, CCNE1, CDK4, CDK6, CDKN1A (p21), CDKN1B (p27); 14. DNA damage response: BRCA1, BRCA2, TP53, ATM, ATR</w:t>
            </w:r>
          </w:p>
        </w:tc>
        <w:tc>
          <w:tcPr>
            <w:tcW w:w="0" w:type="auto"/>
            <w:vAlign w:val="center"/>
          </w:tcPr>
          <w:p w14:paraId="6BEEFD0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AddModuleScore (Seurat v4.1.1)</w:t>
            </w:r>
          </w:p>
        </w:tc>
        <w:tc>
          <w:tcPr>
            <w:tcW w:w="0" w:type="auto"/>
            <w:vAlign w:val="center"/>
          </w:tcPr>
          <w:p w14:paraId="4A6E2AD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1F, Fan cohort validation</w:t>
            </w:r>
          </w:p>
        </w:tc>
      </w:tr>
      <w:tr w14:paraId="4D48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21CC75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hdWGCNA soft threshold</w:t>
            </w:r>
          </w:p>
        </w:tc>
        <w:tc>
          <w:tcPr>
            <w:tcW w:w="0" w:type="auto"/>
            <w:vAlign w:val="center"/>
          </w:tcPr>
          <w:p w14:paraId="5517603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Network parameter</w:t>
            </w:r>
          </w:p>
        </w:tc>
        <w:tc>
          <w:tcPr>
            <w:tcW w:w="0" w:type="auto"/>
            <w:vAlign w:val="center"/>
          </w:tcPr>
          <w:p w14:paraId="7CD40110">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9</w:t>
            </w:r>
          </w:p>
        </w:tc>
        <w:tc>
          <w:tcPr>
            <w:tcW w:w="0" w:type="auto"/>
            <w:vAlign w:val="center"/>
          </w:tcPr>
          <w:p w14:paraId="6C39BB2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hdWGCNA R package (v1.0.0)</w:t>
            </w:r>
          </w:p>
        </w:tc>
        <w:tc>
          <w:tcPr>
            <w:tcW w:w="0" w:type="auto"/>
            <w:vAlign w:val="center"/>
          </w:tcPr>
          <w:p w14:paraId="7DCD6FDA">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2A, Fig. S2A</w:t>
            </w:r>
          </w:p>
        </w:tc>
      </w:tr>
      <w:tr w14:paraId="1D3E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237F91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Number of hdWGCNA modules</w:t>
            </w:r>
          </w:p>
        </w:tc>
        <w:tc>
          <w:tcPr>
            <w:tcW w:w="0" w:type="auto"/>
            <w:vAlign w:val="center"/>
          </w:tcPr>
          <w:p w14:paraId="385CB56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Network parameter</w:t>
            </w:r>
          </w:p>
        </w:tc>
        <w:tc>
          <w:tcPr>
            <w:tcW w:w="0" w:type="auto"/>
            <w:vAlign w:val="center"/>
          </w:tcPr>
          <w:p w14:paraId="57A7675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12</w:t>
            </w:r>
          </w:p>
        </w:tc>
        <w:tc>
          <w:tcPr>
            <w:tcW w:w="0" w:type="auto"/>
            <w:vAlign w:val="center"/>
          </w:tcPr>
          <w:p w14:paraId="4C3547C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hdWGCNA R package (v1.0.0)</w:t>
            </w:r>
          </w:p>
        </w:tc>
        <w:tc>
          <w:tcPr>
            <w:tcW w:w="0" w:type="auto"/>
            <w:vAlign w:val="center"/>
          </w:tcPr>
          <w:p w14:paraId="33108EB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2A</w:t>
            </w:r>
          </w:p>
        </w:tc>
      </w:tr>
      <w:tr w14:paraId="486D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08476A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RNA metabolic processes</w:t>
            </w:r>
          </w:p>
        </w:tc>
        <w:tc>
          <w:tcPr>
            <w:tcW w:w="0" w:type="auto"/>
            <w:vAlign w:val="center"/>
          </w:tcPr>
          <w:p w14:paraId="44C803C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Functional signature</w:t>
            </w:r>
          </w:p>
        </w:tc>
        <w:tc>
          <w:tcPr>
            <w:tcW w:w="0" w:type="auto"/>
            <w:vAlign w:val="center"/>
          </w:tcPr>
          <w:p w14:paraId="4846152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GO:0016070 core genes: RBM8A, SF3B1, U2AF1, SRSF1, SRSF2, HNRNPA1, HNRNPA2B1, POLR2A, POLR2B</w:t>
            </w:r>
          </w:p>
        </w:tc>
        <w:tc>
          <w:tcPr>
            <w:tcW w:w="0" w:type="auto"/>
            <w:vAlign w:val="center"/>
          </w:tcPr>
          <w:p w14:paraId="43A7536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GO term enrichment, module-based analysis</w:t>
            </w:r>
          </w:p>
        </w:tc>
        <w:tc>
          <w:tcPr>
            <w:tcW w:w="0" w:type="auto"/>
            <w:vAlign w:val="center"/>
          </w:tcPr>
          <w:p w14:paraId="0537CAD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2C–E</w:t>
            </w:r>
          </w:p>
        </w:tc>
      </w:tr>
      <w:tr w14:paraId="1328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2048082">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Histone modification</w:t>
            </w:r>
          </w:p>
        </w:tc>
        <w:tc>
          <w:tcPr>
            <w:tcW w:w="0" w:type="auto"/>
            <w:vAlign w:val="center"/>
          </w:tcPr>
          <w:p w14:paraId="71C2C208">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Functional signature</w:t>
            </w:r>
          </w:p>
        </w:tc>
        <w:tc>
          <w:tcPr>
            <w:tcW w:w="0" w:type="auto"/>
            <w:vAlign w:val="center"/>
          </w:tcPr>
          <w:p w14:paraId="579A9FB2">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GO:0016570 core genes: HDAC9, HDAC1, HDAC2, HDAC3, SIRT1, SIRT3, KAT2A, KAT2B, EZH2, SUV39H1, DNMT1, DNMT3A</w:t>
            </w:r>
          </w:p>
        </w:tc>
        <w:tc>
          <w:tcPr>
            <w:tcW w:w="0" w:type="auto"/>
            <w:vAlign w:val="center"/>
          </w:tcPr>
          <w:p w14:paraId="61ED53F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GO term enrichment, module-based analysis</w:t>
            </w:r>
          </w:p>
        </w:tc>
        <w:tc>
          <w:tcPr>
            <w:tcW w:w="0" w:type="auto"/>
            <w:vAlign w:val="center"/>
          </w:tcPr>
          <w:p w14:paraId="68BC196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2D, Fig. 4A–B</w:t>
            </w:r>
          </w:p>
        </w:tc>
      </w:tr>
      <w:tr w14:paraId="39F1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04B4F8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C2 cluster signature</w:t>
            </w:r>
          </w:p>
        </w:tc>
        <w:tc>
          <w:tcPr>
            <w:tcW w:w="0" w:type="auto"/>
            <w:vAlign w:val="center"/>
          </w:tcPr>
          <w:p w14:paraId="3435FFA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Cluster signature</w:t>
            </w:r>
          </w:p>
        </w:tc>
        <w:tc>
          <w:tcPr>
            <w:tcW w:w="0" w:type="auto"/>
            <w:vAlign w:val="center"/>
          </w:tcPr>
          <w:p w14:paraId="169E545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Top 100 upregulated DEGs in C2 cluster (FDR &lt; 0.01, log2FC &gt; 1.5; including RBM8A, HDAC9)</w:t>
            </w:r>
          </w:p>
        </w:tc>
        <w:tc>
          <w:tcPr>
            <w:tcW w:w="0" w:type="auto"/>
            <w:vAlign w:val="center"/>
          </w:tcPr>
          <w:p w14:paraId="53161B7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ssGSEA (GSVA R package, v1.48.0)</w:t>
            </w:r>
          </w:p>
        </w:tc>
        <w:tc>
          <w:tcPr>
            <w:tcW w:w="0" w:type="auto"/>
            <w:vAlign w:val="center"/>
          </w:tcPr>
          <w:p w14:paraId="1228953A">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TCGA-LIHC, GSE14520 survival analysis</w:t>
            </w:r>
          </w:p>
        </w:tc>
      </w:tr>
      <w:tr w14:paraId="7A4F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11EA33A">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Drug resistance-associated processes</w:t>
            </w:r>
          </w:p>
        </w:tc>
        <w:tc>
          <w:tcPr>
            <w:tcW w:w="0" w:type="auto"/>
            <w:vAlign w:val="center"/>
          </w:tcPr>
          <w:p w14:paraId="0F68909C">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Functional signature</w:t>
            </w:r>
          </w:p>
        </w:tc>
        <w:tc>
          <w:tcPr>
            <w:tcW w:w="0" w:type="auto"/>
            <w:vAlign w:val="center"/>
          </w:tcPr>
          <w:p w14:paraId="39806E6A">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GO:0042493, GO:0006950 core genes: ABCB1, ABCC1, ABCG2, CYP3A4, CYP3A5, GSTP1, MGMT, ERCC1</w:t>
            </w:r>
          </w:p>
        </w:tc>
        <w:tc>
          <w:tcPr>
            <w:tcW w:w="0" w:type="auto"/>
            <w:vAlign w:val="center"/>
          </w:tcPr>
          <w:p w14:paraId="0F18B144">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GO term enrichment</w:t>
            </w:r>
          </w:p>
        </w:tc>
        <w:tc>
          <w:tcPr>
            <w:tcW w:w="0" w:type="auto"/>
            <w:vAlign w:val="center"/>
          </w:tcPr>
          <w:p w14:paraId="415523E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7A–B</w:t>
            </w:r>
          </w:p>
        </w:tc>
      </w:tr>
      <w:tr w14:paraId="0F43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FA9E958">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ABC transporter function</w:t>
            </w:r>
          </w:p>
        </w:tc>
        <w:tc>
          <w:tcPr>
            <w:tcW w:w="0" w:type="auto"/>
            <w:vAlign w:val="center"/>
          </w:tcPr>
          <w:p w14:paraId="1469AD9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Drug resistance signature</w:t>
            </w:r>
          </w:p>
        </w:tc>
        <w:tc>
          <w:tcPr>
            <w:tcW w:w="0" w:type="auto"/>
            <w:vAlign w:val="center"/>
          </w:tcPr>
          <w:p w14:paraId="35360EF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ABCB1, ABCC1, ABCC2, ABCG2, ABCA1, ABCB4, ABCC3, ABCC4</w:t>
            </w:r>
          </w:p>
        </w:tc>
        <w:tc>
          <w:tcPr>
            <w:tcW w:w="0" w:type="auto"/>
            <w:vAlign w:val="center"/>
          </w:tcPr>
          <w:p w14:paraId="75E8022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Spatial functional scoring</w:t>
            </w:r>
          </w:p>
        </w:tc>
        <w:tc>
          <w:tcPr>
            <w:tcW w:w="0" w:type="auto"/>
            <w:vAlign w:val="center"/>
          </w:tcPr>
          <w:p w14:paraId="60A75A6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7B</w:t>
            </w:r>
          </w:p>
        </w:tc>
      </w:tr>
      <w:tr w14:paraId="5D9C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8E0A024">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Drug metabolism</w:t>
            </w:r>
          </w:p>
        </w:tc>
        <w:tc>
          <w:tcPr>
            <w:tcW w:w="0" w:type="auto"/>
            <w:vAlign w:val="center"/>
          </w:tcPr>
          <w:p w14:paraId="1C6C47F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Drug resistance signature</w:t>
            </w:r>
          </w:p>
        </w:tc>
        <w:tc>
          <w:tcPr>
            <w:tcW w:w="0" w:type="auto"/>
            <w:vAlign w:val="center"/>
          </w:tcPr>
          <w:p w14:paraId="0112969F">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CYP3A4, CYP3A5, CYP2D6, CYP2C9, GSTP1, UGT1A1, NAT2, FMO3, ADH1A, ALDH2</w:t>
            </w:r>
          </w:p>
        </w:tc>
        <w:tc>
          <w:tcPr>
            <w:tcW w:w="0" w:type="auto"/>
            <w:vAlign w:val="center"/>
          </w:tcPr>
          <w:p w14:paraId="4128FFD8">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Spatial functional scoring</w:t>
            </w:r>
          </w:p>
        </w:tc>
        <w:tc>
          <w:tcPr>
            <w:tcW w:w="0" w:type="auto"/>
            <w:vAlign w:val="center"/>
          </w:tcPr>
          <w:p w14:paraId="5CEBD02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Fig. 7B</w:t>
            </w:r>
          </w:p>
        </w:tc>
      </w:tr>
    </w:tbl>
    <w:p w14:paraId="699A3B67">
      <w:pPr>
        <w:spacing w:line="480" w:lineRule="auto"/>
        <w:rPr>
          <w:rFonts w:ascii="Times New Roman" w:hAnsi="Times New Roman" w:cs="Times New Roman"/>
          <w:szCs w:val="21"/>
        </w:rPr>
      </w:pPr>
      <w:r>
        <w:rPr>
          <w:rFonts w:ascii="Times New Roman" w:hAnsi="Times New Roman" w:cs="Times New Roman"/>
          <w:szCs w:val="21"/>
        </w:rPr>
        <w:t>All bioinformatic analyses were performed in R (v4.1.1). Malignant feature scores were calculated using the AddModuleScore function in Seurat. Signature scores were computed via ssGSEA in the GSVA package. GO terms were obtained from the Gene Ontology database. Abbreviations: DEG, differentially expressed gene; FDR, false discovery rate; log2FC, log2 fold change; EMT, epithelial-mesenchymal transition; ssGSEA, single-sample gene set enrichment analysis.</w:t>
      </w:r>
    </w:p>
    <w:p w14:paraId="1AAD97D5">
      <w:pPr>
        <w:widowControl/>
        <w:jc w:val="left"/>
        <w:rPr>
          <w:rFonts w:hint="eastAsia"/>
        </w:rPr>
      </w:pPr>
    </w:p>
    <w:p w14:paraId="1236B500">
      <w:pPr>
        <w:widowControl/>
        <w:jc w:val="left"/>
        <w:rPr>
          <w:rFonts w:hint="eastAsia"/>
        </w:rPr>
      </w:pPr>
    </w:p>
    <w:p w14:paraId="7C47B91F">
      <w:pPr>
        <w:widowControl/>
        <w:jc w:val="left"/>
        <w:rPr>
          <w:rFonts w:hint="eastAsia"/>
        </w:rPr>
      </w:pPr>
    </w:p>
    <w:p w14:paraId="431F2A8E">
      <w:pPr>
        <w:widowControl/>
        <w:jc w:val="left"/>
        <w:rPr>
          <w:rFonts w:hint="eastAsia"/>
        </w:rPr>
      </w:pPr>
    </w:p>
    <w:p w14:paraId="4116EF87">
      <w:pPr>
        <w:widowControl/>
        <w:jc w:val="left"/>
        <w:rPr>
          <w:rFonts w:hint="eastAsia"/>
        </w:rPr>
      </w:pPr>
    </w:p>
    <w:p w14:paraId="34B7388C">
      <w:pPr>
        <w:widowControl/>
        <w:jc w:val="left"/>
        <w:rPr>
          <w:rFonts w:hint="eastAsia"/>
        </w:rPr>
      </w:pPr>
    </w:p>
    <w:p w14:paraId="2B5DBC83">
      <w:pPr>
        <w:jc w:val="center"/>
        <w:rPr>
          <w:rFonts w:ascii="Times New Roman" w:hAnsi="Times New Roman" w:cs="Times New Roman"/>
          <w:b/>
          <w:bCs/>
          <w:szCs w:val="21"/>
        </w:rPr>
      </w:pPr>
      <w:r>
        <w:rPr>
          <w:rFonts w:ascii="Times New Roman" w:hAnsi="Times New Roman" w:eastAsia="宋体" w:cs="Times New Roman"/>
          <w:b/>
          <w:bCs/>
          <w:szCs w:val="21"/>
        </w:rPr>
        <w:t xml:space="preserve">Table </w:t>
      </w:r>
      <w:r>
        <w:rPr>
          <w:rFonts w:hint="eastAsia" w:ascii="Times New Roman" w:hAnsi="Times New Roman" w:eastAsia="宋体" w:cs="Times New Roman"/>
          <w:b/>
          <w:bCs/>
          <w:szCs w:val="21"/>
        </w:rPr>
        <w:t>S2</w:t>
      </w:r>
      <w:r>
        <w:rPr>
          <w:rFonts w:ascii="Times New Roman" w:hAnsi="Times New Roman" w:eastAsia="宋体" w:cs="Times New Roman"/>
          <w:b/>
          <w:bCs/>
          <w:szCs w:val="21"/>
        </w:rPr>
        <w:t xml:space="preserve"> </w:t>
      </w:r>
      <w:r>
        <w:rPr>
          <w:rFonts w:ascii="Times New Roman" w:hAnsi="Times New Roman" w:cs="Times New Roman"/>
          <w:b/>
          <w:bCs/>
          <w:szCs w:val="21"/>
        </w:rPr>
        <w:t>Public and in-house datasets/cohorts used in this study</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8"/>
        <w:gridCol w:w="2489"/>
        <w:gridCol w:w="2370"/>
        <w:gridCol w:w="3342"/>
        <w:gridCol w:w="3679"/>
      </w:tblGrid>
      <w:tr w14:paraId="5A57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615C7B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Cohort / dataset</w:t>
            </w:r>
          </w:p>
        </w:tc>
        <w:tc>
          <w:tcPr>
            <w:tcW w:w="0" w:type="auto"/>
            <w:vAlign w:val="center"/>
          </w:tcPr>
          <w:p w14:paraId="4C9C181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Data type</w:t>
            </w:r>
          </w:p>
        </w:tc>
        <w:tc>
          <w:tcPr>
            <w:tcW w:w="0" w:type="auto"/>
            <w:vAlign w:val="center"/>
          </w:tcPr>
          <w:p w14:paraId="1B55FFC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Sample size</w:t>
            </w:r>
          </w:p>
        </w:tc>
        <w:tc>
          <w:tcPr>
            <w:tcW w:w="0" w:type="auto"/>
            <w:vAlign w:val="center"/>
          </w:tcPr>
          <w:p w14:paraId="4D43518F">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Disease context</w:t>
            </w:r>
          </w:p>
        </w:tc>
        <w:tc>
          <w:tcPr>
            <w:tcW w:w="0" w:type="auto"/>
            <w:vAlign w:val="center"/>
          </w:tcPr>
          <w:p w14:paraId="2A9CBEF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b/>
                <w:bCs/>
                <w:color w:val="000000"/>
                <w:kern w:val="0"/>
                <w:sz w:val="21"/>
                <w:szCs w:val="21"/>
                <w:lang w:bidi="ar"/>
              </w:rPr>
              <w:t>Main use in this study</w:t>
            </w:r>
          </w:p>
        </w:tc>
      </w:tr>
      <w:tr w14:paraId="53E9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675E29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In-house cohort</w:t>
            </w:r>
          </w:p>
        </w:tc>
        <w:tc>
          <w:tcPr>
            <w:tcW w:w="0" w:type="auto"/>
            <w:vAlign w:val="center"/>
          </w:tcPr>
          <w:p w14:paraId="53832F1F">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scRNA-seq + spatial transcriptomics</w:t>
            </w:r>
          </w:p>
        </w:tc>
        <w:tc>
          <w:tcPr>
            <w:tcW w:w="0" w:type="auto"/>
            <w:vAlign w:val="center"/>
          </w:tcPr>
          <w:p w14:paraId="6AB397C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6 HCC, 1 cirrhotic liver, 1 normal liver</w:t>
            </w:r>
          </w:p>
        </w:tc>
        <w:tc>
          <w:tcPr>
            <w:tcW w:w="0" w:type="auto"/>
            <w:vAlign w:val="center"/>
          </w:tcPr>
          <w:p w14:paraId="06D3374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Hepatocellular carcinoma (HCC)</w:t>
            </w:r>
          </w:p>
        </w:tc>
        <w:tc>
          <w:tcPr>
            <w:tcW w:w="0" w:type="auto"/>
            <w:vAlign w:val="center"/>
          </w:tcPr>
          <w:p w14:paraId="6FFCE4FA">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Discovery cohort for cell atlas and spatial validation</w:t>
            </w:r>
          </w:p>
        </w:tc>
      </w:tr>
      <w:tr w14:paraId="1EB1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4B6FBF8">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In-house ER group</w:t>
            </w:r>
          </w:p>
        </w:tc>
        <w:tc>
          <w:tcPr>
            <w:tcW w:w="0" w:type="auto"/>
            <w:vAlign w:val="center"/>
          </w:tcPr>
          <w:p w14:paraId="6AED2BF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Clinical subgroup</w:t>
            </w:r>
          </w:p>
        </w:tc>
        <w:tc>
          <w:tcPr>
            <w:tcW w:w="0" w:type="auto"/>
            <w:vAlign w:val="center"/>
          </w:tcPr>
          <w:p w14:paraId="27BC788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n=2 (HCC#2, HCC#5)</w:t>
            </w:r>
          </w:p>
        </w:tc>
        <w:tc>
          <w:tcPr>
            <w:tcW w:w="0" w:type="auto"/>
            <w:vAlign w:val="center"/>
          </w:tcPr>
          <w:p w14:paraId="046885C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HCC with early recurrence (≤12 months post-resection)</w:t>
            </w:r>
          </w:p>
        </w:tc>
        <w:tc>
          <w:tcPr>
            <w:tcW w:w="0" w:type="auto"/>
            <w:vAlign w:val="center"/>
          </w:tcPr>
          <w:p w14:paraId="38E0AF48">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Identification of ER-enriched C2 cell cluster</w:t>
            </w:r>
          </w:p>
        </w:tc>
      </w:tr>
      <w:tr w14:paraId="50E3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FF3A22C">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In-house NER group</w:t>
            </w:r>
          </w:p>
        </w:tc>
        <w:tc>
          <w:tcPr>
            <w:tcW w:w="0" w:type="auto"/>
            <w:vAlign w:val="center"/>
          </w:tcPr>
          <w:p w14:paraId="10A13A98">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Clinical subgroup</w:t>
            </w:r>
          </w:p>
        </w:tc>
        <w:tc>
          <w:tcPr>
            <w:tcW w:w="0" w:type="auto"/>
            <w:vAlign w:val="center"/>
          </w:tcPr>
          <w:p w14:paraId="14518D12">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n=3 (HCC#1, HCC#3, HCC#4)</w:t>
            </w:r>
          </w:p>
        </w:tc>
        <w:tc>
          <w:tcPr>
            <w:tcW w:w="0" w:type="auto"/>
            <w:vAlign w:val="center"/>
          </w:tcPr>
          <w:p w14:paraId="179DB9B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HCC without early recurrence</w:t>
            </w:r>
          </w:p>
        </w:tc>
        <w:tc>
          <w:tcPr>
            <w:tcW w:w="0" w:type="auto"/>
            <w:vAlign w:val="center"/>
          </w:tcPr>
          <w:p w14:paraId="18E9801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Control group for C2 cluster comparison</w:t>
            </w:r>
          </w:p>
        </w:tc>
      </w:tr>
      <w:tr w14:paraId="6BEA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6E7FED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Fan et al. cohort</w:t>
            </w:r>
          </w:p>
        </w:tc>
        <w:tc>
          <w:tcPr>
            <w:tcW w:w="0" w:type="auto"/>
            <w:vAlign w:val="center"/>
          </w:tcPr>
          <w:p w14:paraId="4D293C5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scRNA-seq (epithelial cells)</w:t>
            </w:r>
          </w:p>
        </w:tc>
        <w:tc>
          <w:tcPr>
            <w:tcW w:w="0" w:type="auto"/>
            <w:vAlign w:val="center"/>
          </w:tcPr>
          <w:p w14:paraId="41FC266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2,730 epithelial cells</w:t>
            </w:r>
          </w:p>
        </w:tc>
        <w:tc>
          <w:tcPr>
            <w:tcW w:w="0" w:type="auto"/>
            <w:vAlign w:val="center"/>
          </w:tcPr>
          <w:p w14:paraId="015A06A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HCC with recurrence</w:t>
            </w:r>
          </w:p>
        </w:tc>
        <w:tc>
          <w:tcPr>
            <w:tcW w:w="0" w:type="auto"/>
            <w:vAlign w:val="center"/>
          </w:tcPr>
          <w:p w14:paraId="75BCED5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Label transfer validation of C2-like cluster</w:t>
            </w:r>
          </w:p>
        </w:tc>
      </w:tr>
      <w:tr w14:paraId="1B41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653BE7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Kagohara cohort</w:t>
            </w:r>
          </w:p>
        </w:tc>
        <w:tc>
          <w:tcPr>
            <w:tcW w:w="0" w:type="auto"/>
            <w:vAlign w:val="center"/>
          </w:tcPr>
          <w:p w14:paraId="75BFA1B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Spatial transcriptomics</w:t>
            </w:r>
          </w:p>
        </w:tc>
        <w:tc>
          <w:tcPr>
            <w:tcW w:w="0" w:type="auto"/>
            <w:vAlign w:val="center"/>
          </w:tcPr>
          <w:p w14:paraId="53AAECCD">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n=12 primary HCC</w:t>
            </w:r>
          </w:p>
        </w:tc>
        <w:tc>
          <w:tcPr>
            <w:tcW w:w="0" w:type="auto"/>
            <w:vAlign w:val="center"/>
          </w:tcPr>
          <w:p w14:paraId="5F4B44B8">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Hepatocellular carcinoma (HCC)</w:t>
            </w:r>
          </w:p>
        </w:tc>
        <w:tc>
          <w:tcPr>
            <w:tcW w:w="0" w:type="auto"/>
            <w:vAlign w:val="center"/>
          </w:tcPr>
          <w:p w14:paraId="65983549">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External spatial validation of C2 cluster enrichment</w:t>
            </w:r>
          </w:p>
        </w:tc>
      </w:tr>
      <w:tr w14:paraId="21D7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D9C2936">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PD-1 + TKI treatment cohort</w:t>
            </w:r>
          </w:p>
        </w:tc>
        <w:tc>
          <w:tcPr>
            <w:tcW w:w="0" w:type="auto"/>
            <w:vAlign w:val="center"/>
          </w:tcPr>
          <w:p w14:paraId="5AE5BEC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Spatial transcriptomics</w:t>
            </w:r>
          </w:p>
        </w:tc>
        <w:tc>
          <w:tcPr>
            <w:tcW w:w="0" w:type="auto"/>
            <w:vAlign w:val="center"/>
          </w:tcPr>
          <w:p w14:paraId="3AD4C10B">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n=7</w:t>
            </w:r>
          </w:p>
        </w:tc>
        <w:tc>
          <w:tcPr>
            <w:tcW w:w="0" w:type="auto"/>
            <w:vAlign w:val="center"/>
          </w:tcPr>
          <w:p w14:paraId="0EFE9A4A">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HCC treated with PD-1 inhibitor plus TKI</w:t>
            </w:r>
          </w:p>
        </w:tc>
        <w:tc>
          <w:tcPr>
            <w:tcW w:w="0" w:type="auto"/>
            <w:vAlign w:val="center"/>
          </w:tcPr>
          <w:p w14:paraId="5871D3CF">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Comparison of C2 abundance in responders vs non-responders</w:t>
            </w:r>
          </w:p>
        </w:tc>
      </w:tr>
      <w:tr w14:paraId="648F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7ECD4E2">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TCGA-LIHC</w:t>
            </w:r>
          </w:p>
        </w:tc>
        <w:tc>
          <w:tcPr>
            <w:tcW w:w="0" w:type="auto"/>
            <w:vAlign w:val="center"/>
          </w:tcPr>
          <w:p w14:paraId="03AFD8D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Bulk RNA-seq</w:t>
            </w:r>
          </w:p>
        </w:tc>
        <w:tc>
          <w:tcPr>
            <w:tcW w:w="0" w:type="auto"/>
            <w:vAlign w:val="center"/>
          </w:tcPr>
          <w:p w14:paraId="0C1F6C4E">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n=374</w:t>
            </w:r>
          </w:p>
        </w:tc>
        <w:tc>
          <w:tcPr>
            <w:tcW w:w="0" w:type="auto"/>
            <w:vAlign w:val="center"/>
          </w:tcPr>
          <w:p w14:paraId="2C8AB3E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Hepatocellular carcinoma (HCC)</w:t>
            </w:r>
          </w:p>
        </w:tc>
        <w:tc>
          <w:tcPr>
            <w:tcW w:w="0" w:type="auto"/>
            <w:vAlign w:val="center"/>
          </w:tcPr>
          <w:p w14:paraId="60241D9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C2 signature scoring; OS/RFS and ER/NER validation</w:t>
            </w:r>
          </w:p>
        </w:tc>
      </w:tr>
      <w:tr w14:paraId="2BED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E10D100">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GSE14520</w:t>
            </w:r>
          </w:p>
        </w:tc>
        <w:tc>
          <w:tcPr>
            <w:tcW w:w="0" w:type="auto"/>
            <w:vAlign w:val="center"/>
          </w:tcPr>
          <w:p w14:paraId="162EEE67">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Bulk RNA-seq</w:t>
            </w:r>
          </w:p>
        </w:tc>
        <w:tc>
          <w:tcPr>
            <w:tcW w:w="0" w:type="auto"/>
            <w:vAlign w:val="center"/>
          </w:tcPr>
          <w:p w14:paraId="217CB392">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n=221</w:t>
            </w:r>
          </w:p>
        </w:tc>
        <w:tc>
          <w:tcPr>
            <w:tcW w:w="0" w:type="auto"/>
            <w:vAlign w:val="center"/>
          </w:tcPr>
          <w:p w14:paraId="4801ACD3">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Hepatocellular carcinoma (HCC)</w:t>
            </w:r>
          </w:p>
        </w:tc>
        <w:tc>
          <w:tcPr>
            <w:tcW w:w="0" w:type="auto"/>
            <w:vAlign w:val="center"/>
          </w:tcPr>
          <w:p w14:paraId="034FEAC1">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C2 signature scoring and survival validation</w:t>
            </w:r>
          </w:p>
        </w:tc>
      </w:tr>
      <w:tr w14:paraId="0DDE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75CC40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Andrews normal liver cohort</w:t>
            </w:r>
          </w:p>
        </w:tc>
        <w:tc>
          <w:tcPr>
            <w:tcW w:w="0" w:type="auto"/>
            <w:vAlign w:val="center"/>
          </w:tcPr>
          <w:p w14:paraId="1CD8CEB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scRNA-seq</w:t>
            </w:r>
          </w:p>
        </w:tc>
        <w:tc>
          <w:tcPr>
            <w:tcW w:w="0" w:type="auto"/>
            <w:vAlign w:val="center"/>
          </w:tcPr>
          <w:p w14:paraId="447EB5E5">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n=3 normal liver tissues</w:t>
            </w:r>
          </w:p>
        </w:tc>
        <w:tc>
          <w:tcPr>
            <w:tcW w:w="0" w:type="auto"/>
            <w:vAlign w:val="center"/>
          </w:tcPr>
          <w:p w14:paraId="4C14D840">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Normal human liver</w:t>
            </w:r>
          </w:p>
        </w:tc>
        <w:tc>
          <w:tcPr>
            <w:tcW w:w="0" w:type="auto"/>
            <w:vAlign w:val="center"/>
          </w:tcPr>
          <w:p w14:paraId="56B8E2B8">
            <w:pPr>
              <w:widowControl/>
              <w:jc w:val="left"/>
              <w:textAlignment w:val="center"/>
              <w:rPr>
                <w:rFonts w:ascii="Times New Roman" w:hAnsi="Times New Roman" w:eastAsia="宋体" w:cs="Times New Roman"/>
                <w:kern w:val="0"/>
                <w:sz w:val="20"/>
                <w:szCs w:val="21"/>
              </w:rPr>
            </w:pPr>
            <w:r>
              <w:rPr>
                <w:rFonts w:ascii="Times New Roman" w:hAnsi="Times New Roman" w:eastAsia="宋体" w:cs="Times New Roman"/>
                <w:color w:val="000000"/>
                <w:kern w:val="0"/>
                <w:sz w:val="21"/>
                <w:szCs w:val="21"/>
                <w:lang w:bidi="ar"/>
              </w:rPr>
              <w:t>Normal control for DEG analysis</w:t>
            </w:r>
          </w:p>
        </w:tc>
      </w:tr>
    </w:tbl>
    <w:p w14:paraId="2EE1623A">
      <w:pPr>
        <w:spacing w:line="480" w:lineRule="auto"/>
        <w:rPr>
          <w:rFonts w:ascii="Times New Roman" w:hAnsi="Times New Roman" w:cs="Times New Roman"/>
          <w:szCs w:val="21"/>
        </w:rPr>
      </w:pPr>
      <w:r>
        <w:rPr>
          <w:rFonts w:ascii="Times New Roman" w:hAnsi="Times New Roman" w:cs="Times New Roman"/>
          <w:szCs w:val="21"/>
        </w:rPr>
        <w:t>In-house cohorts were approved by the Ethics Committee of the Affiliated Tumor Hospital of Guangxi Medical University. Public datasets were obtained from published studies or public databases and used under their respective data access policies. Abbreviations: ER, early recurrence; NER, non-early recurrence; OS, overall survival; RFS, recurrence-free survival; DEG, differentially expressed gene.</w:t>
      </w:r>
    </w:p>
    <w:p w14:paraId="6F73303A">
      <w:pPr>
        <w:jc w:val="center"/>
        <w:rPr>
          <w:rFonts w:ascii="Times New Roman" w:hAnsi="Times New Roman" w:cs="Times New Roman"/>
          <w:b/>
          <w:bCs/>
          <w:szCs w:val="21"/>
        </w:rPr>
      </w:pPr>
      <w:r>
        <w:rPr>
          <w:rFonts w:ascii="Times New Roman" w:hAnsi="Times New Roman" w:eastAsia="宋体" w:cs="Times New Roman"/>
          <w:b/>
          <w:bCs/>
          <w:szCs w:val="21"/>
        </w:rPr>
        <w:t xml:space="preserve">Table </w:t>
      </w:r>
      <w:r>
        <w:rPr>
          <w:rFonts w:hint="eastAsia" w:ascii="Times New Roman" w:hAnsi="Times New Roman" w:eastAsia="宋体" w:cs="Times New Roman"/>
          <w:b/>
          <w:bCs/>
          <w:szCs w:val="21"/>
        </w:rPr>
        <w:t>S</w:t>
      </w:r>
      <w:r>
        <w:rPr>
          <w:rFonts w:ascii="Times New Roman" w:hAnsi="Times New Roman" w:eastAsia="宋体" w:cs="Times New Roman"/>
          <w:b/>
          <w:bCs/>
          <w:szCs w:val="21"/>
        </w:rPr>
        <w:t xml:space="preserve">3 </w:t>
      </w:r>
      <w:r>
        <w:rPr>
          <w:rFonts w:ascii="Times New Roman" w:hAnsi="Times New Roman" w:cs="Times New Roman"/>
          <w:b/>
          <w:bCs/>
          <w:szCs w:val="21"/>
        </w:rPr>
        <w:t>Oligonucleotides, mutants, and reporter constructs used in this study</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1287"/>
        <w:gridCol w:w="2276"/>
        <w:gridCol w:w="1796"/>
        <w:gridCol w:w="5929"/>
        <w:gridCol w:w="1334"/>
      </w:tblGrid>
      <w:tr w14:paraId="378B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310E257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Item</w:t>
            </w:r>
          </w:p>
        </w:tc>
        <w:tc>
          <w:tcPr>
            <w:tcW w:w="1420" w:type="dxa"/>
            <w:vAlign w:val="center"/>
          </w:tcPr>
          <w:p w14:paraId="06C044F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Type</w:t>
            </w:r>
          </w:p>
        </w:tc>
        <w:tc>
          <w:tcPr>
            <w:tcW w:w="1420" w:type="dxa"/>
            <w:vAlign w:val="center"/>
          </w:tcPr>
          <w:p w14:paraId="1921649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Vector / backbone</w:t>
            </w:r>
          </w:p>
        </w:tc>
        <w:tc>
          <w:tcPr>
            <w:tcW w:w="1420" w:type="dxa"/>
            <w:vAlign w:val="center"/>
          </w:tcPr>
          <w:p w14:paraId="311C873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Insert / target region</w:t>
            </w:r>
          </w:p>
        </w:tc>
        <w:tc>
          <w:tcPr>
            <w:tcW w:w="1421" w:type="dxa"/>
            <w:vAlign w:val="center"/>
          </w:tcPr>
          <w:p w14:paraId="2E7C0FB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Sequence / mutation detail</w:t>
            </w:r>
          </w:p>
        </w:tc>
        <w:tc>
          <w:tcPr>
            <w:tcW w:w="1421" w:type="dxa"/>
            <w:vAlign w:val="center"/>
          </w:tcPr>
          <w:p w14:paraId="6873A4F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Purpose</w:t>
            </w:r>
          </w:p>
        </w:tc>
      </w:tr>
      <w:tr w14:paraId="188A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7BE015F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sh-RBM8A#1</w:t>
            </w:r>
          </w:p>
        </w:tc>
        <w:tc>
          <w:tcPr>
            <w:tcW w:w="1420" w:type="dxa"/>
            <w:vAlign w:val="center"/>
          </w:tcPr>
          <w:p w14:paraId="5EB8B30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shRNA</w:t>
            </w:r>
          </w:p>
        </w:tc>
        <w:tc>
          <w:tcPr>
            <w:tcW w:w="1420" w:type="dxa"/>
            <w:vAlign w:val="center"/>
          </w:tcPr>
          <w:p w14:paraId="6EB9C44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pLKO.1-puro</w:t>
            </w:r>
          </w:p>
        </w:tc>
        <w:tc>
          <w:tcPr>
            <w:tcW w:w="1420" w:type="dxa"/>
            <w:vAlign w:val="center"/>
          </w:tcPr>
          <w:p w14:paraId="67ABA75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RBM8A</w:t>
            </w:r>
          </w:p>
        </w:tc>
        <w:tc>
          <w:tcPr>
            <w:tcW w:w="1421" w:type="dxa"/>
            <w:vAlign w:val="center"/>
          </w:tcPr>
          <w:p w14:paraId="3F40976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5'-CCGGGCAGAAGATGATGAAGATGATCTCGAGATCATCTTCATCATCTTCTGCTTTTTG-3'</w:t>
            </w:r>
          </w:p>
        </w:tc>
        <w:tc>
          <w:tcPr>
            <w:tcW w:w="1421" w:type="dxa"/>
            <w:vAlign w:val="center"/>
          </w:tcPr>
          <w:p w14:paraId="2BFCB3CB">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Stable knockdown of endogenous RBM8A</w:t>
            </w:r>
          </w:p>
        </w:tc>
      </w:tr>
      <w:tr w14:paraId="6F18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07BDE0D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sh-RBM8A#2</w:t>
            </w:r>
          </w:p>
        </w:tc>
        <w:tc>
          <w:tcPr>
            <w:tcW w:w="1420" w:type="dxa"/>
            <w:vAlign w:val="center"/>
          </w:tcPr>
          <w:p w14:paraId="1A66408A">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shRNA</w:t>
            </w:r>
          </w:p>
        </w:tc>
        <w:tc>
          <w:tcPr>
            <w:tcW w:w="1420" w:type="dxa"/>
            <w:vAlign w:val="center"/>
          </w:tcPr>
          <w:p w14:paraId="5FC6B1B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pLKO.1-puro</w:t>
            </w:r>
          </w:p>
        </w:tc>
        <w:tc>
          <w:tcPr>
            <w:tcW w:w="1420" w:type="dxa"/>
            <w:vAlign w:val="center"/>
          </w:tcPr>
          <w:p w14:paraId="649CB38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RBM8A</w:t>
            </w:r>
          </w:p>
        </w:tc>
        <w:tc>
          <w:tcPr>
            <w:tcW w:w="1421" w:type="dxa"/>
            <w:vAlign w:val="center"/>
          </w:tcPr>
          <w:p w14:paraId="6AA08AD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5'-CCGGGCAAGATGATGAAGATGATGGCTCGAGCCATCATCTTCATCATCTTGCTTTTTG-3'</w:t>
            </w:r>
          </w:p>
        </w:tc>
        <w:tc>
          <w:tcPr>
            <w:tcW w:w="1421" w:type="dxa"/>
            <w:vAlign w:val="center"/>
          </w:tcPr>
          <w:p w14:paraId="2BFB9F3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Stable RBM8A knockdown (off-target control)</w:t>
            </w:r>
          </w:p>
        </w:tc>
      </w:tr>
      <w:tr w14:paraId="7808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28D8535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sh-NC</w:t>
            </w:r>
          </w:p>
        </w:tc>
        <w:tc>
          <w:tcPr>
            <w:tcW w:w="1420" w:type="dxa"/>
            <w:vAlign w:val="center"/>
          </w:tcPr>
          <w:p w14:paraId="0E00F1C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shRNA control</w:t>
            </w:r>
          </w:p>
        </w:tc>
        <w:tc>
          <w:tcPr>
            <w:tcW w:w="1420" w:type="dxa"/>
            <w:vAlign w:val="center"/>
          </w:tcPr>
          <w:p w14:paraId="5547AD8A">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pLKO.1-puro</w:t>
            </w:r>
          </w:p>
        </w:tc>
        <w:tc>
          <w:tcPr>
            <w:tcW w:w="1420" w:type="dxa"/>
            <w:vAlign w:val="center"/>
          </w:tcPr>
          <w:p w14:paraId="39D96FF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Non-targeting</w:t>
            </w:r>
          </w:p>
        </w:tc>
        <w:tc>
          <w:tcPr>
            <w:tcW w:w="1421" w:type="dxa"/>
            <w:vAlign w:val="center"/>
          </w:tcPr>
          <w:p w14:paraId="65A8E84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5'-CCGGCAACAAGATGAAGAGCACCAACTCGAGTTGGTGCTCTTCATCTTGTTGTTTTTG-3'</w:t>
            </w:r>
          </w:p>
        </w:tc>
        <w:tc>
          <w:tcPr>
            <w:tcW w:w="1421" w:type="dxa"/>
            <w:vAlign w:val="center"/>
          </w:tcPr>
          <w:p w14:paraId="1BE33F8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Negative control for shRNA</w:t>
            </w:r>
          </w:p>
        </w:tc>
      </w:tr>
      <w:tr w14:paraId="6FD5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7218EAC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si-RBM8A</w:t>
            </w:r>
          </w:p>
        </w:tc>
        <w:tc>
          <w:tcPr>
            <w:tcW w:w="1420" w:type="dxa"/>
            <w:vAlign w:val="center"/>
          </w:tcPr>
          <w:p w14:paraId="40F3DCE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siRNA</w:t>
            </w:r>
          </w:p>
        </w:tc>
        <w:tc>
          <w:tcPr>
            <w:tcW w:w="1420" w:type="dxa"/>
            <w:vAlign w:val="center"/>
          </w:tcPr>
          <w:p w14:paraId="666DCF6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Synthetic oligonucleotide</w:t>
            </w:r>
          </w:p>
        </w:tc>
        <w:tc>
          <w:tcPr>
            <w:tcW w:w="1420" w:type="dxa"/>
            <w:vAlign w:val="center"/>
          </w:tcPr>
          <w:p w14:paraId="1DBA5B3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RBM8A</w:t>
            </w:r>
          </w:p>
        </w:tc>
        <w:tc>
          <w:tcPr>
            <w:tcW w:w="1421" w:type="dxa"/>
            <w:vAlign w:val="center"/>
          </w:tcPr>
          <w:p w14:paraId="114A1AA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Sense: 5'-GCAGAAGATGATGAAGATGAT-3'; Antisense: 5'-ATCATCTTCATCATCTTCTGC-3'</w:t>
            </w:r>
          </w:p>
        </w:tc>
        <w:tc>
          <w:tcPr>
            <w:tcW w:w="1421" w:type="dxa"/>
            <w:vAlign w:val="center"/>
          </w:tcPr>
          <w:p w14:paraId="62EE6CE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Transient RBM8A knockdown for RNA stability assay</w:t>
            </w:r>
          </w:p>
        </w:tc>
      </w:tr>
      <w:tr w14:paraId="109B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5BBF4CDA">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si-NC</w:t>
            </w:r>
          </w:p>
        </w:tc>
        <w:tc>
          <w:tcPr>
            <w:tcW w:w="1420" w:type="dxa"/>
            <w:vAlign w:val="center"/>
          </w:tcPr>
          <w:p w14:paraId="54F4348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siRNA control</w:t>
            </w:r>
          </w:p>
        </w:tc>
        <w:tc>
          <w:tcPr>
            <w:tcW w:w="1420" w:type="dxa"/>
            <w:vAlign w:val="center"/>
          </w:tcPr>
          <w:p w14:paraId="378F8651">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Synthetic oligonucleotide</w:t>
            </w:r>
          </w:p>
        </w:tc>
        <w:tc>
          <w:tcPr>
            <w:tcW w:w="1420" w:type="dxa"/>
            <w:vAlign w:val="center"/>
          </w:tcPr>
          <w:p w14:paraId="1820AD8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Non-targeting</w:t>
            </w:r>
          </w:p>
        </w:tc>
        <w:tc>
          <w:tcPr>
            <w:tcW w:w="1421" w:type="dxa"/>
            <w:vAlign w:val="center"/>
          </w:tcPr>
          <w:p w14:paraId="38AD5D7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Sense: 5'-UUCUCCGAACGUGUCACGU-3'; Antisense: 5'-ACGUGACACGUUCGGAGAA-3'</w:t>
            </w:r>
          </w:p>
        </w:tc>
        <w:tc>
          <w:tcPr>
            <w:tcW w:w="1421" w:type="dxa"/>
            <w:vAlign w:val="center"/>
          </w:tcPr>
          <w:p w14:paraId="6DE8A1FB">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Negative control for siRNA</w:t>
            </w:r>
          </w:p>
        </w:tc>
      </w:tr>
      <w:tr w14:paraId="1F29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2941BA6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si-HDAC9</w:t>
            </w:r>
          </w:p>
        </w:tc>
        <w:tc>
          <w:tcPr>
            <w:tcW w:w="1420" w:type="dxa"/>
            <w:vAlign w:val="center"/>
          </w:tcPr>
          <w:p w14:paraId="599A09E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siRNA</w:t>
            </w:r>
          </w:p>
        </w:tc>
        <w:tc>
          <w:tcPr>
            <w:tcW w:w="1420" w:type="dxa"/>
            <w:vAlign w:val="center"/>
          </w:tcPr>
          <w:p w14:paraId="057A5A4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Synthetic oligonucleotide</w:t>
            </w:r>
          </w:p>
        </w:tc>
        <w:tc>
          <w:tcPr>
            <w:tcW w:w="1420" w:type="dxa"/>
            <w:vAlign w:val="center"/>
          </w:tcPr>
          <w:p w14:paraId="41E71A1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w:t>
            </w:r>
          </w:p>
        </w:tc>
        <w:tc>
          <w:tcPr>
            <w:tcW w:w="1421" w:type="dxa"/>
            <w:vAlign w:val="center"/>
          </w:tcPr>
          <w:p w14:paraId="59E076D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Validated human HDAC9 targeting sequence</w:t>
            </w:r>
          </w:p>
        </w:tc>
        <w:tc>
          <w:tcPr>
            <w:tcW w:w="1421" w:type="dxa"/>
            <w:vAlign w:val="center"/>
          </w:tcPr>
          <w:p w14:paraId="133CD0F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Transient HDAC9 knockdown for functional assays</w:t>
            </w:r>
          </w:p>
        </w:tc>
      </w:tr>
      <w:tr w14:paraId="1C0E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0393C18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RBM8A-OE</w:t>
            </w:r>
          </w:p>
        </w:tc>
        <w:tc>
          <w:tcPr>
            <w:tcW w:w="1420" w:type="dxa"/>
            <w:vAlign w:val="center"/>
          </w:tcPr>
          <w:p w14:paraId="5674CC3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Expression construct</w:t>
            </w:r>
          </w:p>
        </w:tc>
        <w:tc>
          <w:tcPr>
            <w:tcW w:w="1420" w:type="dxa"/>
            <w:vAlign w:val="center"/>
          </w:tcPr>
          <w:p w14:paraId="59CBF25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pCDH-CMV-MCS-EF1α-GreenPuro</w:t>
            </w:r>
          </w:p>
        </w:tc>
        <w:tc>
          <w:tcPr>
            <w:tcW w:w="1420" w:type="dxa"/>
            <w:vAlign w:val="center"/>
          </w:tcPr>
          <w:p w14:paraId="001DA81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Full-length human RBM8A cDNA (NM_005175.3)</w:t>
            </w:r>
          </w:p>
        </w:tc>
        <w:tc>
          <w:tcPr>
            <w:tcW w:w="1421" w:type="dxa"/>
            <w:vAlign w:val="center"/>
          </w:tcPr>
          <w:p w14:paraId="0CC626B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Cloned from human cDNA; Sanger sequenced</w:t>
            </w:r>
          </w:p>
        </w:tc>
        <w:tc>
          <w:tcPr>
            <w:tcW w:w="1421" w:type="dxa"/>
            <w:vAlign w:val="center"/>
          </w:tcPr>
          <w:p w14:paraId="28C8025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Stable overexpression of RBM8A</w:t>
            </w:r>
          </w:p>
        </w:tc>
      </w:tr>
      <w:tr w14:paraId="3822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753F50B1">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Empty vector</w:t>
            </w:r>
          </w:p>
        </w:tc>
        <w:tc>
          <w:tcPr>
            <w:tcW w:w="1420" w:type="dxa"/>
            <w:vAlign w:val="center"/>
          </w:tcPr>
          <w:p w14:paraId="19077A4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Vector control</w:t>
            </w:r>
          </w:p>
        </w:tc>
        <w:tc>
          <w:tcPr>
            <w:tcW w:w="1420" w:type="dxa"/>
            <w:vAlign w:val="center"/>
          </w:tcPr>
          <w:p w14:paraId="4EEB655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pCDH-CMV-MCS-EF1α-GreenPuro</w:t>
            </w:r>
          </w:p>
        </w:tc>
        <w:tc>
          <w:tcPr>
            <w:tcW w:w="1420" w:type="dxa"/>
            <w:vAlign w:val="center"/>
          </w:tcPr>
          <w:p w14:paraId="379B8922">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None</w:t>
            </w:r>
          </w:p>
        </w:tc>
        <w:tc>
          <w:tcPr>
            <w:tcW w:w="1421" w:type="dxa"/>
            <w:vAlign w:val="center"/>
          </w:tcPr>
          <w:p w14:paraId="64E89E9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w:t>
            </w:r>
          </w:p>
        </w:tc>
        <w:tc>
          <w:tcPr>
            <w:tcW w:w="1421" w:type="dxa"/>
            <w:vAlign w:val="center"/>
          </w:tcPr>
          <w:p w14:paraId="4B19CEE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Negative control for overexpression</w:t>
            </w:r>
          </w:p>
        </w:tc>
      </w:tr>
      <w:tr w14:paraId="5BC1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2D73550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RBM8A-W73V</w:t>
            </w:r>
          </w:p>
        </w:tc>
        <w:tc>
          <w:tcPr>
            <w:tcW w:w="1420" w:type="dxa"/>
            <w:vAlign w:val="center"/>
          </w:tcPr>
          <w:p w14:paraId="3C92A3A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Dominant-negative mutant</w:t>
            </w:r>
          </w:p>
        </w:tc>
        <w:tc>
          <w:tcPr>
            <w:tcW w:w="1420" w:type="dxa"/>
            <w:vAlign w:val="center"/>
          </w:tcPr>
          <w:p w14:paraId="609DD00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pCDH-CMV-MCS-EF1α-GreenPuro</w:t>
            </w:r>
          </w:p>
        </w:tc>
        <w:tc>
          <w:tcPr>
            <w:tcW w:w="1420" w:type="dxa"/>
            <w:vAlign w:val="center"/>
          </w:tcPr>
          <w:p w14:paraId="2143895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RBM8A</w:t>
            </w:r>
          </w:p>
        </w:tc>
        <w:tc>
          <w:tcPr>
            <w:tcW w:w="1421" w:type="dxa"/>
            <w:vAlign w:val="center"/>
          </w:tcPr>
          <w:p w14:paraId="36F9C4A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Trp73Val (W73V); Sanger sequenced</w:t>
            </w:r>
          </w:p>
        </w:tc>
        <w:tc>
          <w:tcPr>
            <w:tcW w:w="1421" w:type="dxa"/>
            <w:vAlign w:val="center"/>
          </w:tcPr>
          <w:p w14:paraId="26F9E48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Functional validation of RBM8A dominant-negative activity</w:t>
            </w:r>
          </w:p>
        </w:tc>
      </w:tr>
      <w:tr w14:paraId="461F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3847E6E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HDAC9-OE</w:t>
            </w:r>
          </w:p>
        </w:tc>
        <w:tc>
          <w:tcPr>
            <w:tcW w:w="1420" w:type="dxa"/>
            <w:vAlign w:val="center"/>
          </w:tcPr>
          <w:p w14:paraId="3972B05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Expression construct</w:t>
            </w:r>
          </w:p>
        </w:tc>
        <w:tc>
          <w:tcPr>
            <w:tcW w:w="1420" w:type="dxa"/>
            <w:vAlign w:val="center"/>
          </w:tcPr>
          <w:p w14:paraId="7FE4EEAB">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pCDH-CMV-MCS-EF1α-GreenPuro</w:t>
            </w:r>
          </w:p>
        </w:tc>
        <w:tc>
          <w:tcPr>
            <w:tcW w:w="1420" w:type="dxa"/>
            <w:vAlign w:val="center"/>
          </w:tcPr>
          <w:p w14:paraId="0CA5253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Full-length human HDAC9 cDNA (NM_058176.2)</w:t>
            </w:r>
          </w:p>
        </w:tc>
        <w:tc>
          <w:tcPr>
            <w:tcW w:w="1421" w:type="dxa"/>
            <w:vAlign w:val="center"/>
          </w:tcPr>
          <w:p w14:paraId="3692463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Cloned from human cDNA; Sanger sequenced</w:t>
            </w:r>
          </w:p>
        </w:tc>
        <w:tc>
          <w:tcPr>
            <w:tcW w:w="1421" w:type="dxa"/>
            <w:vAlign w:val="center"/>
          </w:tcPr>
          <w:p w14:paraId="249D6B0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Stable overexpression of HDAC9</w:t>
            </w:r>
          </w:p>
        </w:tc>
      </w:tr>
      <w:tr w14:paraId="1774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4896F84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p16-OE (CDKN2A)</w:t>
            </w:r>
          </w:p>
        </w:tc>
        <w:tc>
          <w:tcPr>
            <w:tcW w:w="1420" w:type="dxa"/>
            <w:vAlign w:val="center"/>
          </w:tcPr>
          <w:p w14:paraId="62C044F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Expression construct</w:t>
            </w:r>
          </w:p>
        </w:tc>
        <w:tc>
          <w:tcPr>
            <w:tcW w:w="1420" w:type="dxa"/>
            <w:vAlign w:val="center"/>
          </w:tcPr>
          <w:p w14:paraId="05228AE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pCDH-CMV-MCS-EF1α-GreenPuro</w:t>
            </w:r>
          </w:p>
        </w:tc>
        <w:tc>
          <w:tcPr>
            <w:tcW w:w="1420" w:type="dxa"/>
            <w:vAlign w:val="center"/>
          </w:tcPr>
          <w:p w14:paraId="19378B3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Full-length human CDKN2A (p16) cDNA</w:t>
            </w:r>
          </w:p>
        </w:tc>
        <w:tc>
          <w:tcPr>
            <w:tcW w:w="1421" w:type="dxa"/>
            <w:vAlign w:val="center"/>
          </w:tcPr>
          <w:p w14:paraId="02E4D23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Cloned from human cDNA; Sanger sequenced</w:t>
            </w:r>
          </w:p>
        </w:tc>
        <w:tc>
          <w:tcPr>
            <w:tcW w:w="1421" w:type="dxa"/>
            <w:vAlign w:val="center"/>
          </w:tcPr>
          <w:p w14:paraId="1F62416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Rescue assay for p16 restoration</w:t>
            </w:r>
          </w:p>
        </w:tc>
      </w:tr>
      <w:tr w14:paraId="6026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58F2C57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HDAC9-5'UTR reporter</w:t>
            </w:r>
          </w:p>
        </w:tc>
        <w:tc>
          <w:tcPr>
            <w:tcW w:w="1420" w:type="dxa"/>
            <w:vAlign w:val="center"/>
          </w:tcPr>
          <w:p w14:paraId="748F8A0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Luciferase reporter</w:t>
            </w:r>
          </w:p>
        </w:tc>
        <w:tc>
          <w:tcPr>
            <w:tcW w:w="1420" w:type="dxa"/>
            <w:vAlign w:val="center"/>
          </w:tcPr>
          <w:p w14:paraId="41B00AA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pGL3-Promoter</w:t>
            </w:r>
          </w:p>
        </w:tc>
        <w:tc>
          <w:tcPr>
            <w:tcW w:w="1420" w:type="dxa"/>
            <w:vAlign w:val="center"/>
          </w:tcPr>
          <w:p w14:paraId="1995CBA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5'-UTR (hg38 chr12:48678901–48679400)</w:t>
            </w:r>
          </w:p>
        </w:tc>
        <w:tc>
          <w:tcPr>
            <w:tcW w:w="1421" w:type="dxa"/>
            <w:vAlign w:val="center"/>
          </w:tcPr>
          <w:p w14:paraId="22B208A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Amplified from human genomic DNA; Sanger sequenced</w:t>
            </w:r>
          </w:p>
        </w:tc>
        <w:tc>
          <w:tcPr>
            <w:tcW w:w="1421" w:type="dxa"/>
            <w:vAlign w:val="center"/>
          </w:tcPr>
          <w:p w14:paraId="2303B43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Mapping RBM8A-responsive region in HDAC9 5'-UTR</w:t>
            </w:r>
          </w:p>
        </w:tc>
      </w:tr>
      <w:tr w14:paraId="24CA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315B40F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HDAC9-CDS reporter</w:t>
            </w:r>
          </w:p>
        </w:tc>
        <w:tc>
          <w:tcPr>
            <w:tcW w:w="1420" w:type="dxa"/>
            <w:vAlign w:val="center"/>
          </w:tcPr>
          <w:p w14:paraId="14D8540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Luciferase reporter</w:t>
            </w:r>
          </w:p>
        </w:tc>
        <w:tc>
          <w:tcPr>
            <w:tcW w:w="1420" w:type="dxa"/>
            <w:vAlign w:val="center"/>
          </w:tcPr>
          <w:p w14:paraId="4A1CFDB1">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pGL3-Promoter</w:t>
            </w:r>
          </w:p>
        </w:tc>
        <w:tc>
          <w:tcPr>
            <w:tcW w:w="1420" w:type="dxa"/>
            <w:vAlign w:val="center"/>
          </w:tcPr>
          <w:p w14:paraId="553D450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CDS (NM_058176.2, 1787–1862 bp)</w:t>
            </w:r>
          </w:p>
        </w:tc>
        <w:tc>
          <w:tcPr>
            <w:tcW w:w="1421" w:type="dxa"/>
            <w:vAlign w:val="center"/>
          </w:tcPr>
          <w:p w14:paraId="2A8DA2D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Amplified from human HDAC9 cDNA; Sanger sequenced</w:t>
            </w:r>
          </w:p>
        </w:tc>
        <w:tc>
          <w:tcPr>
            <w:tcW w:w="1421" w:type="dxa"/>
            <w:vAlign w:val="center"/>
          </w:tcPr>
          <w:p w14:paraId="16ADCE2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Mapping RBM8A-binding region in HDAC9 CDS</w:t>
            </w:r>
          </w:p>
        </w:tc>
      </w:tr>
      <w:tr w14:paraId="3C8B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09BC3BC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HDAC9-3'UTR1 reporter</w:t>
            </w:r>
          </w:p>
        </w:tc>
        <w:tc>
          <w:tcPr>
            <w:tcW w:w="1420" w:type="dxa"/>
            <w:vAlign w:val="center"/>
          </w:tcPr>
          <w:p w14:paraId="154EBB7B">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Luciferase reporter</w:t>
            </w:r>
          </w:p>
        </w:tc>
        <w:tc>
          <w:tcPr>
            <w:tcW w:w="1420" w:type="dxa"/>
            <w:vAlign w:val="center"/>
          </w:tcPr>
          <w:p w14:paraId="087B244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pGL3-Promoter</w:t>
            </w:r>
          </w:p>
        </w:tc>
        <w:tc>
          <w:tcPr>
            <w:tcW w:w="1420" w:type="dxa"/>
            <w:vAlign w:val="center"/>
          </w:tcPr>
          <w:p w14:paraId="772B229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3'-UTR1 (hg38 chr12:48712301–48712800)</w:t>
            </w:r>
          </w:p>
        </w:tc>
        <w:tc>
          <w:tcPr>
            <w:tcW w:w="1421" w:type="dxa"/>
            <w:vAlign w:val="center"/>
          </w:tcPr>
          <w:p w14:paraId="4CDAC52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Amplified from human genomic DNA; Sanger sequenced</w:t>
            </w:r>
          </w:p>
        </w:tc>
        <w:tc>
          <w:tcPr>
            <w:tcW w:w="1421" w:type="dxa"/>
            <w:vAlign w:val="center"/>
          </w:tcPr>
          <w:p w14:paraId="7FCB7D1A">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Mapping RBM8A-responsive region in HDAC9 3'-UTR1</w:t>
            </w:r>
          </w:p>
        </w:tc>
      </w:tr>
      <w:tr w14:paraId="65D7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489F9941">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HDAC9-3'UTR2 reporter</w:t>
            </w:r>
          </w:p>
        </w:tc>
        <w:tc>
          <w:tcPr>
            <w:tcW w:w="1420" w:type="dxa"/>
            <w:vAlign w:val="center"/>
          </w:tcPr>
          <w:p w14:paraId="2DC72C61">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Luciferase reporter</w:t>
            </w:r>
          </w:p>
        </w:tc>
        <w:tc>
          <w:tcPr>
            <w:tcW w:w="1420" w:type="dxa"/>
            <w:vAlign w:val="center"/>
          </w:tcPr>
          <w:p w14:paraId="4CFE4FF1">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pGL3-Promoter</w:t>
            </w:r>
          </w:p>
        </w:tc>
        <w:tc>
          <w:tcPr>
            <w:tcW w:w="1420" w:type="dxa"/>
            <w:vAlign w:val="center"/>
          </w:tcPr>
          <w:p w14:paraId="534DAE0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3'-UTR2 (hg38 chr12:48712801–48713300)</w:t>
            </w:r>
          </w:p>
        </w:tc>
        <w:tc>
          <w:tcPr>
            <w:tcW w:w="1421" w:type="dxa"/>
            <w:vAlign w:val="center"/>
          </w:tcPr>
          <w:p w14:paraId="661B69A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Amplified from human genomic DNA; Sanger sequenced</w:t>
            </w:r>
          </w:p>
        </w:tc>
        <w:tc>
          <w:tcPr>
            <w:tcW w:w="1421" w:type="dxa"/>
            <w:vAlign w:val="center"/>
          </w:tcPr>
          <w:p w14:paraId="44B16E0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Mapping RBM8A-responsive region in HDAC9 3'-UTR2</w:t>
            </w:r>
          </w:p>
        </w:tc>
      </w:tr>
      <w:tr w14:paraId="686F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0593DF6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HDAC9-CDS-mut1</w:t>
            </w:r>
          </w:p>
        </w:tc>
        <w:tc>
          <w:tcPr>
            <w:tcW w:w="1420" w:type="dxa"/>
            <w:vAlign w:val="center"/>
          </w:tcPr>
          <w:p w14:paraId="14EEF20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Mutant luciferase reporter</w:t>
            </w:r>
          </w:p>
        </w:tc>
        <w:tc>
          <w:tcPr>
            <w:tcW w:w="1420" w:type="dxa"/>
            <w:vAlign w:val="center"/>
          </w:tcPr>
          <w:p w14:paraId="2DC6B39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pGL3-Promoter</w:t>
            </w:r>
          </w:p>
        </w:tc>
        <w:tc>
          <w:tcPr>
            <w:tcW w:w="1420" w:type="dxa"/>
            <w:vAlign w:val="center"/>
          </w:tcPr>
          <w:p w14:paraId="3AE41CD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CDS (NM_058176.2, 1787–1862 bp)</w:t>
            </w:r>
          </w:p>
        </w:tc>
        <w:tc>
          <w:tcPr>
            <w:tcW w:w="1421" w:type="dxa"/>
            <w:vAlign w:val="center"/>
          </w:tcPr>
          <w:p w14:paraId="5C33496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Site-directed mutation at 1787 bp (RBM8A core binding site); Sanger sequenced</w:t>
            </w:r>
          </w:p>
        </w:tc>
        <w:tc>
          <w:tcPr>
            <w:tcW w:w="1421" w:type="dxa"/>
            <w:vAlign w:val="center"/>
          </w:tcPr>
          <w:p w14:paraId="36940AC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Verify RBM8A binding site in HDAC9 CDS</w:t>
            </w:r>
          </w:p>
        </w:tc>
      </w:tr>
    </w:tbl>
    <w:p w14:paraId="0AA4705B">
      <w:pPr>
        <w:spacing w:line="480" w:lineRule="auto"/>
        <w:jc w:val="left"/>
        <w:rPr>
          <w:rFonts w:ascii="Times New Roman" w:hAnsi="Times New Roman" w:cs="Times New Roman"/>
          <w:szCs w:val="21"/>
        </w:rPr>
      </w:pPr>
      <w:r>
        <w:rPr>
          <w:rFonts w:ascii="Times New Roman" w:hAnsi="Times New Roman" w:cs="Times New Roman"/>
          <w:szCs w:val="21"/>
        </w:rPr>
        <w:t>All constructs were generated for human genes, verified by Sanger sequencing, and used in the indicated functional assays. shRNAs and siRNAs were designed to target human RBM8A, HDAC9 or non-targeting control. Luciferase reporters were used to map regulatory regions and binding sites.</w:t>
      </w:r>
    </w:p>
    <w:p w14:paraId="266DE0F7">
      <w:pPr>
        <w:widowControl/>
        <w:jc w:val="left"/>
        <w:rPr>
          <w:rFonts w:hint="eastAsia"/>
        </w:rPr>
      </w:pPr>
      <w:r>
        <w:rPr>
          <w:rFonts w:hint="eastAsia"/>
        </w:rPr>
        <w:br w:type="page"/>
      </w:r>
    </w:p>
    <w:p w14:paraId="03F0F931">
      <w:pPr>
        <w:jc w:val="center"/>
        <w:rPr>
          <w:rFonts w:ascii="Times New Roman" w:hAnsi="Times New Roman" w:cs="Times New Roman"/>
          <w:b/>
          <w:bCs/>
          <w:szCs w:val="21"/>
        </w:rPr>
      </w:pPr>
      <w:r>
        <w:rPr>
          <w:rFonts w:ascii="Times New Roman" w:hAnsi="Times New Roman" w:eastAsia="宋体"/>
          <w:b/>
          <w:bCs/>
          <w:szCs w:val="21"/>
        </w:rPr>
        <w:t xml:space="preserve">Table </w:t>
      </w:r>
      <w:r>
        <w:rPr>
          <w:rFonts w:hint="eastAsia" w:ascii="Times New Roman" w:hAnsi="Times New Roman" w:eastAsia="宋体"/>
          <w:b/>
          <w:bCs/>
          <w:szCs w:val="21"/>
        </w:rPr>
        <w:t xml:space="preserve">S4 </w:t>
      </w:r>
      <w:r>
        <w:rPr>
          <w:rFonts w:ascii="Times New Roman" w:hAnsi="Times New Roman" w:cs="Times New Roman"/>
          <w:b/>
          <w:bCs/>
          <w:szCs w:val="21"/>
        </w:rPr>
        <w:t>Primer sequences used for qRT-PCR, RIP-qPCR, and ChIP-qPCR</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9"/>
        <w:gridCol w:w="2652"/>
        <w:gridCol w:w="3343"/>
        <w:gridCol w:w="3331"/>
        <w:gridCol w:w="1623"/>
      </w:tblGrid>
      <w:tr w14:paraId="60A8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E9485F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Target gene / region</w:t>
            </w:r>
          </w:p>
        </w:tc>
        <w:tc>
          <w:tcPr>
            <w:tcW w:w="0" w:type="auto"/>
            <w:vAlign w:val="center"/>
          </w:tcPr>
          <w:p w14:paraId="32E46BA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Application</w:t>
            </w:r>
          </w:p>
        </w:tc>
        <w:tc>
          <w:tcPr>
            <w:tcW w:w="0" w:type="auto"/>
            <w:vAlign w:val="center"/>
          </w:tcPr>
          <w:p w14:paraId="00021F51">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Forward primer (5′–3′)</w:t>
            </w:r>
          </w:p>
        </w:tc>
        <w:tc>
          <w:tcPr>
            <w:tcW w:w="0" w:type="auto"/>
            <w:vAlign w:val="center"/>
          </w:tcPr>
          <w:p w14:paraId="6C78046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b/>
                <w:bCs/>
                <w:color w:val="000000"/>
                <w:kern w:val="0"/>
                <w:sz w:val="21"/>
                <w:szCs w:val="21"/>
                <w:lang w:bidi="ar"/>
              </w:rPr>
              <w:t>Reverse primer (5′–3′)</w:t>
            </w:r>
          </w:p>
        </w:tc>
        <w:tc>
          <w:tcPr>
            <w:tcW w:w="0" w:type="auto"/>
            <w:vAlign w:val="center"/>
          </w:tcPr>
          <w:p w14:paraId="534D89B5">
            <w:pPr>
              <w:widowControl/>
              <w:jc w:val="left"/>
              <w:textAlignment w:val="center"/>
              <w:rPr>
                <w:rFonts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1"/>
                <w:szCs w:val="21"/>
                <w:lang w:bidi="ar"/>
              </w:rPr>
              <w:t>Product size (bp)</w:t>
            </w:r>
          </w:p>
        </w:tc>
      </w:tr>
      <w:tr w14:paraId="1799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5AD12F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RBM8A</w:t>
            </w:r>
          </w:p>
        </w:tc>
        <w:tc>
          <w:tcPr>
            <w:tcW w:w="0" w:type="auto"/>
            <w:vAlign w:val="center"/>
          </w:tcPr>
          <w:p w14:paraId="1BBE782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w:t>
            </w:r>
          </w:p>
        </w:tc>
        <w:tc>
          <w:tcPr>
            <w:tcW w:w="0" w:type="auto"/>
            <w:vAlign w:val="center"/>
          </w:tcPr>
          <w:p w14:paraId="7514873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GAGATGGCTGACAAGATGGA</w:t>
            </w:r>
          </w:p>
        </w:tc>
        <w:tc>
          <w:tcPr>
            <w:tcW w:w="0" w:type="auto"/>
            <w:vAlign w:val="center"/>
          </w:tcPr>
          <w:p w14:paraId="2F9476B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TCCTCCATCTGTTTGCTGGT</w:t>
            </w:r>
          </w:p>
        </w:tc>
        <w:tc>
          <w:tcPr>
            <w:tcW w:w="0" w:type="auto"/>
            <w:vAlign w:val="center"/>
          </w:tcPr>
          <w:p w14:paraId="6D9C1330">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142</w:t>
            </w:r>
          </w:p>
        </w:tc>
      </w:tr>
      <w:tr w14:paraId="52E1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68146D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w:t>
            </w:r>
          </w:p>
        </w:tc>
        <w:tc>
          <w:tcPr>
            <w:tcW w:w="0" w:type="auto"/>
            <w:vAlign w:val="center"/>
          </w:tcPr>
          <w:p w14:paraId="0887875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 / RNA stability assay</w:t>
            </w:r>
          </w:p>
        </w:tc>
        <w:tc>
          <w:tcPr>
            <w:tcW w:w="0" w:type="auto"/>
            <w:vAlign w:val="center"/>
          </w:tcPr>
          <w:p w14:paraId="5260CBC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GCCAAGATCAAGCCCTACAA</w:t>
            </w:r>
          </w:p>
        </w:tc>
        <w:tc>
          <w:tcPr>
            <w:tcW w:w="0" w:type="auto"/>
            <w:vAlign w:val="center"/>
          </w:tcPr>
          <w:p w14:paraId="66769F0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GCTGCTGTAGGTGATGGTGA</w:t>
            </w:r>
          </w:p>
        </w:tc>
        <w:tc>
          <w:tcPr>
            <w:tcW w:w="0" w:type="auto"/>
            <w:vAlign w:val="center"/>
          </w:tcPr>
          <w:p w14:paraId="6FC0CF66">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168</w:t>
            </w:r>
          </w:p>
        </w:tc>
      </w:tr>
      <w:tr w14:paraId="2D76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CCAFFE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CDKN2A (p16)</w:t>
            </w:r>
          </w:p>
        </w:tc>
        <w:tc>
          <w:tcPr>
            <w:tcW w:w="0" w:type="auto"/>
            <w:vAlign w:val="center"/>
          </w:tcPr>
          <w:p w14:paraId="02C935EA">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w:t>
            </w:r>
          </w:p>
        </w:tc>
        <w:tc>
          <w:tcPr>
            <w:tcW w:w="0" w:type="auto"/>
            <w:vAlign w:val="center"/>
          </w:tcPr>
          <w:p w14:paraId="7C260D6C">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GCCCAACGCACCGAATAGTT</w:t>
            </w:r>
          </w:p>
        </w:tc>
        <w:tc>
          <w:tcPr>
            <w:tcW w:w="0" w:type="auto"/>
            <w:vAlign w:val="center"/>
          </w:tcPr>
          <w:p w14:paraId="5ADDEA0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GCTGCCCATCATCATGACCT</w:t>
            </w:r>
          </w:p>
        </w:tc>
        <w:tc>
          <w:tcPr>
            <w:tcW w:w="0" w:type="auto"/>
            <w:vAlign w:val="center"/>
          </w:tcPr>
          <w:p w14:paraId="0E6756BA">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135</w:t>
            </w:r>
          </w:p>
        </w:tc>
      </w:tr>
      <w:tr w14:paraId="7D23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064405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CDK4</w:t>
            </w:r>
          </w:p>
        </w:tc>
        <w:tc>
          <w:tcPr>
            <w:tcW w:w="0" w:type="auto"/>
            <w:vAlign w:val="center"/>
          </w:tcPr>
          <w:p w14:paraId="61064B5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w:t>
            </w:r>
          </w:p>
        </w:tc>
        <w:tc>
          <w:tcPr>
            <w:tcW w:w="0" w:type="auto"/>
            <w:vAlign w:val="center"/>
          </w:tcPr>
          <w:p w14:paraId="4984FF61">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ATGGCTACCTCTCGATATGAGC</w:t>
            </w:r>
          </w:p>
        </w:tc>
        <w:tc>
          <w:tcPr>
            <w:tcW w:w="0" w:type="auto"/>
            <w:vAlign w:val="center"/>
          </w:tcPr>
          <w:p w14:paraId="0E45FD9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CATTGGGGACTCTCACACTCT</w:t>
            </w:r>
          </w:p>
        </w:tc>
        <w:tc>
          <w:tcPr>
            <w:tcW w:w="0" w:type="auto"/>
            <w:vAlign w:val="center"/>
          </w:tcPr>
          <w:p w14:paraId="2E1F2D8D">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156</w:t>
            </w:r>
          </w:p>
        </w:tc>
      </w:tr>
      <w:tr w14:paraId="4BC8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017931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CDK6</w:t>
            </w:r>
          </w:p>
        </w:tc>
        <w:tc>
          <w:tcPr>
            <w:tcW w:w="0" w:type="auto"/>
            <w:vAlign w:val="center"/>
          </w:tcPr>
          <w:p w14:paraId="3372406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w:t>
            </w:r>
          </w:p>
        </w:tc>
        <w:tc>
          <w:tcPr>
            <w:tcW w:w="0" w:type="auto"/>
            <w:vAlign w:val="center"/>
          </w:tcPr>
          <w:p w14:paraId="411D9CF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TCACAGTTCGTGAGGTGGAC</w:t>
            </w:r>
          </w:p>
        </w:tc>
        <w:tc>
          <w:tcPr>
            <w:tcW w:w="0" w:type="auto"/>
            <w:vAlign w:val="center"/>
          </w:tcPr>
          <w:p w14:paraId="281B78A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GCTTGGAGACCTCGATGACA</w:t>
            </w:r>
          </w:p>
        </w:tc>
        <w:tc>
          <w:tcPr>
            <w:tcW w:w="0" w:type="auto"/>
            <w:vAlign w:val="center"/>
          </w:tcPr>
          <w:p w14:paraId="40EFD4F0">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147</w:t>
            </w:r>
          </w:p>
        </w:tc>
      </w:tr>
      <w:tr w14:paraId="667A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4282DA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RB1</w:t>
            </w:r>
          </w:p>
        </w:tc>
        <w:tc>
          <w:tcPr>
            <w:tcW w:w="0" w:type="auto"/>
            <w:vAlign w:val="center"/>
          </w:tcPr>
          <w:p w14:paraId="446B3B8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w:t>
            </w:r>
          </w:p>
        </w:tc>
        <w:tc>
          <w:tcPr>
            <w:tcW w:w="0" w:type="auto"/>
            <w:vAlign w:val="center"/>
          </w:tcPr>
          <w:p w14:paraId="60D6786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TGTGAACATCTGGAGTGCCA</w:t>
            </w:r>
          </w:p>
        </w:tc>
        <w:tc>
          <w:tcPr>
            <w:tcW w:w="0" w:type="auto"/>
            <w:vAlign w:val="center"/>
          </w:tcPr>
          <w:p w14:paraId="1ED55478">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GCTGCTTCCGAGTATTCGG</w:t>
            </w:r>
          </w:p>
        </w:tc>
        <w:tc>
          <w:tcPr>
            <w:tcW w:w="0" w:type="auto"/>
            <w:vAlign w:val="center"/>
          </w:tcPr>
          <w:p w14:paraId="791645A6">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162</w:t>
            </w:r>
          </w:p>
        </w:tc>
      </w:tr>
      <w:tr w14:paraId="5580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49B850B">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E2F1</w:t>
            </w:r>
          </w:p>
        </w:tc>
        <w:tc>
          <w:tcPr>
            <w:tcW w:w="0" w:type="auto"/>
            <w:vAlign w:val="center"/>
          </w:tcPr>
          <w:p w14:paraId="2D4BBCFB">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w:t>
            </w:r>
          </w:p>
        </w:tc>
        <w:tc>
          <w:tcPr>
            <w:tcW w:w="0" w:type="auto"/>
            <w:vAlign w:val="center"/>
          </w:tcPr>
          <w:p w14:paraId="4D9DB5A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ATGTTTTCCTGTGCCCTGAG</w:t>
            </w:r>
          </w:p>
        </w:tc>
        <w:tc>
          <w:tcPr>
            <w:tcW w:w="0" w:type="auto"/>
            <w:vAlign w:val="center"/>
          </w:tcPr>
          <w:p w14:paraId="364FE5D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AGATCAGCCGGATCTGGTAG</w:t>
            </w:r>
          </w:p>
        </w:tc>
        <w:tc>
          <w:tcPr>
            <w:tcW w:w="0" w:type="auto"/>
            <w:vAlign w:val="center"/>
          </w:tcPr>
          <w:p w14:paraId="32327A0C">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153</w:t>
            </w:r>
          </w:p>
        </w:tc>
      </w:tr>
      <w:tr w14:paraId="4CE5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F8230EA">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HLA-DPA1</w:t>
            </w:r>
          </w:p>
        </w:tc>
        <w:tc>
          <w:tcPr>
            <w:tcW w:w="0" w:type="auto"/>
            <w:vAlign w:val="center"/>
          </w:tcPr>
          <w:p w14:paraId="509B643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w:t>
            </w:r>
          </w:p>
        </w:tc>
        <w:tc>
          <w:tcPr>
            <w:tcW w:w="0" w:type="auto"/>
            <w:vAlign w:val="center"/>
          </w:tcPr>
          <w:p w14:paraId="7460585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GAGTGGACATGGCGATGAAG</w:t>
            </w:r>
          </w:p>
        </w:tc>
        <w:tc>
          <w:tcPr>
            <w:tcW w:w="0" w:type="auto"/>
            <w:vAlign w:val="center"/>
          </w:tcPr>
          <w:p w14:paraId="2F29CA9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GTCCACATCCACAGCAAGGT</w:t>
            </w:r>
          </w:p>
        </w:tc>
        <w:tc>
          <w:tcPr>
            <w:tcW w:w="0" w:type="auto"/>
            <w:vAlign w:val="center"/>
          </w:tcPr>
          <w:p w14:paraId="714DB355">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144</w:t>
            </w:r>
          </w:p>
        </w:tc>
      </w:tr>
      <w:tr w14:paraId="41E0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2DFEB2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ACTB (β-actin)</w:t>
            </w:r>
          </w:p>
        </w:tc>
        <w:tc>
          <w:tcPr>
            <w:tcW w:w="0" w:type="auto"/>
            <w:vAlign w:val="center"/>
          </w:tcPr>
          <w:p w14:paraId="034C6AE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qRT-PCR (internal control)</w:t>
            </w:r>
          </w:p>
        </w:tc>
        <w:tc>
          <w:tcPr>
            <w:tcW w:w="0" w:type="auto"/>
            <w:vAlign w:val="center"/>
          </w:tcPr>
          <w:p w14:paraId="25AD8A1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CATGTACGTTGCTATCCAGGC</w:t>
            </w:r>
          </w:p>
        </w:tc>
        <w:tc>
          <w:tcPr>
            <w:tcW w:w="0" w:type="auto"/>
            <w:vAlign w:val="center"/>
          </w:tcPr>
          <w:p w14:paraId="0D9859DA">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CTCCTTAATGTCACGCACGAT</w:t>
            </w:r>
          </w:p>
        </w:tc>
        <w:tc>
          <w:tcPr>
            <w:tcW w:w="0" w:type="auto"/>
            <w:vAlign w:val="center"/>
          </w:tcPr>
          <w:p w14:paraId="28BBA61C">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250</w:t>
            </w:r>
          </w:p>
        </w:tc>
      </w:tr>
      <w:tr w14:paraId="6DB2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665BCB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CDS Site 1 (1750–1780 bp)</w:t>
            </w:r>
          </w:p>
        </w:tc>
        <w:tc>
          <w:tcPr>
            <w:tcW w:w="0" w:type="auto"/>
            <w:vAlign w:val="center"/>
          </w:tcPr>
          <w:p w14:paraId="1805694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RIP-qPCR</w:t>
            </w:r>
          </w:p>
        </w:tc>
        <w:tc>
          <w:tcPr>
            <w:tcW w:w="0" w:type="auto"/>
            <w:vAlign w:val="center"/>
          </w:tcPr>
          <w:p w14:paraId="22A3EC5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GACATCAAGCCCTACAAGCA</w:t>
            </w:r>
          </w:p>
        </w:tc>
        <w:tc>
          <w:tcPr>
            <w:tcW w:w="0" w:type="auto"/>
            <w:vAlign w:val="center"/>
          </w:tcPr>
          <w:p w14:paraId="05AE4D2D">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GGTGATGGTGATGTCCTCGT</w:t>
            </w:r>
          </w:p>
        </w:tc>
        <w:tc>
          <w:tcPr>
            <w:tcW w:w="0" w:type="auto"/>
            <w:vAlign w:val="center"/>
          </w:tcPr>
          <w:p w14:paraId="0AD37817">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118</w:t>
            </w:r>
          </w:p>
        </w:tc>
      </w:tr>
      <w:tr w14:paraId="146A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CCD6A3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CDS Site 2 (1787 bp)</w:t>
            </w:r>
          </w:p>
        </w:tc>
        <w:tc>
          <w:tcPr>
            <w:tcW w:w="0" w:type="auto"/>
            <w:vAlign w:val="center"/>
          </w:tcPr>
          <w:p w14:paraId="6F6F9DC2">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RIP-qPCR</w:t>
            </w:r>
          </w:p>
        </w:tc>
        <w:tc>
          <w:tcPr>
            <w:tcW w:w="0" w:type="auto"/>
            <w:vAlign w:val="center"/>
          </w:tcPr>
          <w:p w14:paraId="28041217">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CCAAGATCAAGCCCTACAAG</w:t>
            </w:r>
          </w:p>
        </w:tc>
        <w:tc>
          <w:tcPr>
            <w:tcW w:w="0" w:type="auto"/>
            <w:vAlign w:val="center"/>
          </w:tcPr>
          <w:p w14:paraId="3F36C483">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GTCCTCGTAGATCTCGATGG</w:t>
            </w:r>
          </w:p>
        </w:tc>
        <w:tc>
          <w:tcPr>
            <w:tcW w:w="0" w:type="auto"/>
            <w:vAlign w:val="center"/>
          </w:tcPr>
          <w:p w14:paraId="331DAC5C">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106</w:t>
            </w:r>
          </w:p>
        </w:tc>
      </w:tr>
      <w:tr w14:paraId="03FF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2728AB9">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CDS Site 3 (1789 bp)</w:t>
            </w:r>
          </w:p>
        </w:tc>
        <w:tc>
          <w:tcPr>
            <w:tcW w:w="0" w:type="auto"/>
            <w:vAlign w:val="center"/>
          </w:tcPr>
          <w:p w14:paraId="3F40C06F">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RIP-qPCR</w:t>
            </w:r>
          </w:p>
        </w:tc>
        <w:tc>
          <w:tcPr>
            <w:tcW w:w="0" w:type="auto"/>
            <w:vAlign w:val="center"/>
          </w:tcPr>
          <w:p w14:paraId="32234B6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AAGCCCTACAAGCAAATGGA</w:t>
            </w:r>
          </w:p>
        </w:tc>
        <w:tc>
          <w:tcPr>
            <w:tcW w:w="0" w:type="auto"/>
            <w:vAlign w:val="center"/>
          </w:tcPr>
          <w:p w14:paraId="0F0F6EA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GATGTCCTCGTAGATCTCGATG</w:t>
            </w:r>
          </w:p>
        </w:tc>
        <w:tc>
          <w:tcPr>
            <w:tcW w:w="0" w:type="auto"/>
            <w:vAlign w:val="center"/>
          </w:tcPr>
          <w:p w14:paraId="5E15C3A7">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98</w:t>
            </w:r>
          </w:p>
        </w:tc>
      </w:tr>
      <w:tr w14:paraId="13A4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8181AE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HDAC9 CDS Site 4 (1800 bp)</w:t>
            </w:r>
          </w:p>
        </w:tc>
        <w:tc>
          <w:tcPr>
            <w:tcW w:w="0" w:type="auto"/>
            <w:vAlign w:val="center"/>
          </w:tcPr>
          <w:p w14:paraId="1FCC8DE6">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RIP-qPCR</w:t>
            </w:r>
          </w:p>
        </w:tc>
        <w:tc>
          <w:tcPr>
            <w:tcW w:w="0" w:type="auto"/>
            <w:vAlign w:val="center"/>
          </w:tcPr>
          <w:p w14:paraId="056C67B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CAAGCAAATGGACGAGTACGA</w:t>
            </w:r>
          </w:p>
        </w:tc>
        <w:tc>
          <w:tcPr>
            <w:tcW w:w="0" w:type="auto"/>
            <w:vAlign w:val="center"/>
          </w:tcPr>
          <w:p w14:paraId="2AD3323E">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CGTAGATCTCGATGGAGTCCA</w:t>
            </w:r>
          </w:p>
        </w:tc>
        <w:tc>
          <w:tcPr>
            <w:tcW w:w="0" w:type="auto"/>
            <w:vAlign w:val="center"/>
          </w:tcPr>
          <w:p w14:paraId="033B43CD">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112</w:t>
            </w:r>
          </w:p>
        </w:tc>
      </w:tr>
      <w:tr w14:paraId="19BC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3DA6A50">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CDKN2A (p16) promoter</w:t>
            </w:r>
          </w:p>
        </w:tc>
        <w:tc>
          <w:tcPr>
            <w:tcW w:w="0" w:type="auto"/>
            <w:vAlign w:val="center"/>
          </w:tcPr>
          <w:p w14:paraId="5D2D55D4">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ChIP-qPCR</w:t>
            </w:r>
          </w:p>
        </w:tc>
        <w:tc>
          <w:tcPr>
            <w:tcW w:w="0" w:type="auto"/>
            <w:vAlign w:val="center"/>
          </w:tcPr>
          <w:p w14:paraId="2F428CE5">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GAAGAAAGAGGAGGGGCTGA</w:t>
            </w:r>
          </w:p>
        </w:tc>
        <w:tc>
          <w:tcPr>
            <w:tcW w:w="0" w:type="auto"/>
            <w:vAlign w:val="center"/>
          </w:tcPr>
          <w:p w14:paraId="2723EFBB">
            <w:pPr>
              <w:widowControl/>
              <w:jc w:val="left"/>
              <w:textAlignment w:val="center"/>
              <w:rPr>
                <w:rFonts w:ascii="Times New Roman" w:hAnsi="Times New Roman" w:eastAsia="宋体" w:cs="Times New Roman"/>
                <w:b/>
                <w:bCs/>
                <w:kern w:val="0"/>
                <w:sz w:val="20"/>
                <w:szCs w:val="21"/>
              </w:rPr>
            </w:pPr>
            <w:r>
              <w:rPr>
                <w:rFonts w:ascii="Times New Roman" w:hAnsi="Times New Roman" w:eastAsia="宋体" w:cs="Times New Roman"/>
                <w:color w:val="000000"/>
                <w:kern w:val="0"/>
                <w:sz w:val="21"/>
                <w:szCs w:val="21"/>
                <w:lang w:bidi="ar"/>
              </w:rPr>
              <w:t>GCGCTACCTGATTCCAATTC</w:t>
            </w:r>
          </w:p>
        </w:tc>
        <w:tc>
          <w:tcPr>
            <w:tcW w:w="0" w:type="auto"/>
            <w:vAlign w:val="center"/>
          </w:tcPr>
          <w:p w14:paraId="28B097CD">
            <w:pPr>
              <w:widowControl/>
              <w:jc w:val="left"/>
              <w:textAlignment w:val="center"/>
              <w:rPr>
                <w:rFonts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1"/>
                <w:szCs w:val="21"/>
                <w:lang w:bidi="ar"/>
              </w:rPr>
              <w:t>160</w:t>
            </w:r>
          </w:p>
        </w:tc>
      </w:tr>
    </w:tbl>
    <w:p w14:paraId="69422FB2">
      <w:pPr>
        <w:spacing w:line="480" w:lineRule="auto"/>
        <w:jc w:val="left"/>
        <w:rPr>
          <w:rFonts w:ascii="Times New Roman" w:hAnsi="Times New Roman" w:cs="Times New Roman"/>
          <w:szCs w:val="21"/>
        </w:rPr>
      </w:pPr>
      <w:r>
        <w:rPr>
          <w:rFonts w:ascii="Times New Roman" w:hAnsi="Times New Roman" w:cs="Times New Roman"/>
          <w:szCs w:val="21"/>
        </w:rPr>
        <w:t>All primers were designed for human transcripts and validated for specificity. qRT-PCR primers span exon–exon junctions to avoid genomic DNA amplification. RIP-qPCR primers target the RBM8A-binding sites within HDAC9 CDS. ChIP-qPCR primers amplify the core promoter region of CDKN2A (p16).</w:t>
      </w:r>
    </w:p>
    <w:p w14:paraId="2B2CA079">
      <w:pPr>
        <w:widowControl/>
        <w:jc w:val="left"/>
        <w:rPr>
          <w:rFonts w:ascii="Times New Roman" w:hAnsi="Times New Roman" w:cs="Times New Roman"/>
          <w:b/>
          <w:bCs/>
          <w:sz w:val="24"/>
        </w:rPr>
      </w:pPr>
      <w:r>
        <w:rPr>
          <w:rFonts w:ascii="Times New Roman" w:hAnsi="Times New Roman" w:cs="Times New Roman"/>
          <w:b/>
          <w:bCs/>
          <w:sz w:val="24"/>
        </w:rPr>
        <w:br w:type="page"/>
      </w:r>
    </w:p>
    <w:p w14:paraId="36C137F3">
      <w:pPr>
        <w:jc w:val="center"/>
        <w:rPr>
          <w:rFonts w:ascii="Times New Roman" w:hAnsi="Times New Roman" w:cs="Times New Roman"/>
          <w:b/>
          <w:bCs/>
          <w:szCs w:val="21"/>
        </w:rPr>
      </w:pPr>
      <w:r>
        <w:rPr>
          <w:rFonts w:ascii="Times New Roman" w:hAnsi="Times New Roman" w:eastAsia="宋体" w:cs="Times New Roman"/>
          <w:b/>
          <w:bCs/>
          <w:szCs w:val="21"/>
        </w:rPr>
        <w:t xml:space="preserve">Table </w:t>
      </w:r>
      <w:r>
        <w:rPr>
          <w:rFonts w:hint="eastAsia" w:ascii="Times New Roman" w:hAnsi="Times New Roman" w:eastAsia="宋体" w:cs="Times New Roman"/>
          <w:b/>
          <w:bCs/>
          <w:szCs w:val="21"/>
        </w:rPr>
        <w:t>S5</w:t>
      </w:r>
      <w:r>
        <w:rPr>
          <w:rFonts w:ascii="Times New Roman" w:hAnsi="Times New Roman" w:eastAsia="宋体" w:cs="Times New Roman"/>
          <w:b/>
          <w:bCs/>
          <w:szCs w:val="21"/>
        </w:rPr>
        <w:t xml:space="preserve"> Antibodies and probes used in this study</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2386"/>
        <w:gridCol w:w="2386"/>
        <w:gridCol w:w="2035"/>
        <w:gridCol w:w="1458"/>
        <w:gridCol w:w="1789"/>
        <w:gridCol w:w="2446"/>
      </w:tblGrid>
      <w:tr w14:paraId="78F9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D8C2D49">
            <w:pPr>
              <w:widowControl/>
              <w:jc w:val="left"/>
              <w:rPr>
                <w:rFonts w:ascii="Times New Roman" w:hAnsi="Times New Roman" w:eastAsia="宋体" w:cs="Times New Roman"/>
                <w:kern w:val="0"/>
                <w:sz w:val="20"/>
                <w:szCs w:val="21"/>
              </w:rPr>
            </w:pPr>
            <w:r>
              <w:rPr>
                <w:rFonts w:ascii="Times New Roman" w:hAnsi="Times New Roman" w:eastAsia="宋体" w:cs="Times New Roman"/>
                <w:b/>
                <w:bCs/>
                <w:kern w:val="0"/>
                <w:sz w:val="21"/>
                <w:szCs w:val="21"/>
                <w:lang w:bidi="ar"/>
              </w:rPr>
              <w:t>Reagent type</w:t>
            </w:r>
          </w:p>
        </w:tc>
        <w:tc>
          <w:tcPr>
            <w:tcW w:w="0" w:type="auto"/>
            <w:vAlign w:val="center"/>
          </w:tcPr>
          <w:p w14:paraId="75B21259">
            <w:pPr>
              <w:widowControl/>
              <w:jc w:val="left"/>
              <w:rPr>
                <w:rFonts w:ascii="Times New Roman" w:hAnsi="Times New Roman" w:eastAsia="宋体" w:cs="Times New Roman"/>
                <w:kern w:val="0"/>
                <w:sz w:val="20"/>
                <w:szCs w:val="21"/>
              </w:rPr>
            </w:pPr>
            <w:r>
              <w:rPr>
                <w:rFonts w:ascii="Times New Roman" w:hAnsi="Times New Roman" w:eastAsia="宋体" w:cs="Times New Roman"/>
                <w:b/>
                <w:bCs/>
                <w:kern w:val="0"/>
                <w:sz w:val="21"/>
                <w:szCs w:val="21"/>
                <w:lang w:bidi="ar"/>
              </w:rPr>
              <w:t>Target</w:t>
            </w:r>
          </w:p>
        </w:tc>
        <w:tc>
          <w:tcPr>
            <w:tcW w:w="0" w:type="auto"/>
            <w:vAlign w:val="center"/>
          </w:tcPr>
          <w:p w14:paraId="4B76CF73">
            <w:pPr>
              <w:widowControl/>
              <w:jc w:val="left"/>
              <w:rPr>
                <w:rFonts w:ascii="Times New Roman" w:hAnsi="Times New Roman" w:eastAsia="宋体" w:cs="Times New Roman"/>
                <w:kern w:val="0"/>
                <w:sz w:val="20"/>
                <w:szCs w:val="21"/>
              </w:rPr>
            </w:pPr>
            <w:r>
              <w:rPr>
                <w:rFonts w:ascii="Times New Roman" w:hAnsi="Times New Roman" w:eastAsia="宋体" w:cs="Times New Roman"/>
                <w:b/>
                <w:bCs/>
                <w:kern w:val="0"/>
                <w:sz w:val="21"/>
                <w:szCs w:val="21"/>
                <w:lang w:bidi="ar"/>
              </w:rPr>
              <w:t>Host/type</w:t>
            </w:r>
          </w:p>
        </w:tc>
        <w:tc>
          <w:tcPr>
            <w:tcW w:w="0" w:type="auto"/>
            <w:vAlign w:val="center"/>
          </w:tcPr>
          <w:p w14:paraId="28015701">
            <w:pPr>
              <w:widowControl/>
              <w:jc w:val="left"/>
              <w:rPr>
                <w:rFonts w:ascii="Times New Roman" w:hAnsi="Times New Roman" w:eastAsia="宋体" w:cs="Times New Roman"/>
                <w:kern w:val="0"/>
                <w:sz w:val="20"/>
                <w:szCs w:val="21"/>
              </w:rPr>
            </w:pPr>
            <w:r>
              <w:rPr>
                <w:rFonts w:ascii="Times New Roman" w:hAnsi="Times New Roman" w:eastAsia="宋体" w:cs="Times New Roman"/>
                <w:b/>
                <w:bCs/>
                <w:kern w:val="0"/>
                <w:sz w:val="21"/>
                <w:szCs w:val="21"/>
                <w:lang w:bidi="ar"/>
              </w:rPr>
              <w:t>Supplier</w:t>
            </w:r>
          </w:p>
        </w:tc>
        <w:tc>
          <w:tcPr>
            <w:tcW w:w="0" w:type="auto"/>
            <w:vAlign w:val="center"/>
          </w:tcPr>
          <w:p w14:paraId="56738E3D">
            <w:pPr>
              <w:widowControl/>
              <w:jc w:val="left"/>
              <w:rPr>
                <w:rFonts w:ascii="Times New Roman" w:hAnsi="Times New Roman" w:eastAsia="宋体" w:cs="Times New Roman"/>
                <w:kern w:val="0"/>
                <w:sz w:val="20"/>
                <w:szCs w:val="21"/>
              </w:rPr>
            </w:pPr>
            <w:r>
              <w:rPr>
                <w:rFonts w:ascii="Times New Roman" w:hAnsi="Times New Roman" w:eastAsia="宋体" w:cs="Times New Roman"/>
                <w:b/>
                <w:bCs/>
                <w:kern w:val="0"/>
                <w:sz w:val="21"/>
                <w:szCs w:val="21"/>
                <w:lang w:bidi="ar"/>
              </w:rPr>
              <w:t>Catalog number</w:t>
            </w:r>
          </w:p>
        </w:tc>
        <w:tc>
          <w:tcPr>
            <w:tcW w:w="0" w:type="auto"/>
            <w:vAlign w:val="center"/>
          </w:tcPr>
          <w:p w14:paraId="2A24A1F0">
            <w:pPr>
              <w:widowControl/>
              <w:jc w:val="left"/>
              <w:rPr>
                <w:rFonts w:ascii="Times New Roman" w:hAnsi="Times New Roman" w:eastAsia="宋体" w:cs="Times New Roman"/>
                <w:kern w:val="0"/>
                <w:sz w:val="20"/>
                <w:szCs w:val="21"/>
              </w:rPr>
            </w:pPr>
            <w:r>
              <w:rPr>
                <w:rFonts w:ascii="Times New Roman" w:hAnsi="Times New Roman" w:eastAsia="宋体" w:cs="Times New Roman"/>
                <w:b/>
                <w:bCs/>
                <w:kern w:val="0"/>
                <w:sz w:val="21"/>
                <w:szCs w:val="21"/>
                <w:lang w:bidi="ar"/>
              </w:rPr>
              <w:t>Application</w:t>
            </w:r>
          </w:p>
        </w:tc>
        <w:tc>
          <w:tcPr>
            <w:tcW w:w="0" w:type="auto"/>
            <w:vAlign w:val="center"/>
          </w:tcPr>
          <w:p w14:paraId="5A653D9E">
            <w:pPr>
              <w:widowControl/>
              <w:jc w:val="left"/>
              <w:rPr>
                <w:rFonts w:ascii="Times New Roman" w:hAnsi="Times New Roman" w:eastAsia="宋体" w:cs="Times New Roman"/>
                <w:kern w:val="0"/>
                <w:sz w:val="20"/>
                <w:szCs w:val="21"/>
              </w:rPr>
            </w:pPr>
            <w:r>
              <w:rPr>
                <w:rFonts w:ascii="Times New Roman" w:hAnsi="Times New Roman" w:eastAsia="宋体" w:cs="Times New Roman"/>
                <w:b/>
                <w:bCs/>
                <w:kern w:val="0"/>
                <w:sz w:val="21"/>
                <w:szCs w:val="21"/>
                <w:lang w:bidi="ar"/>
              </w:rPr>
              <w:t>Dilution/condition</w:t>
            </w:r>
          </w:p>
        </w:tc>
      </w:tr>
      <w:tr w14:paraId="32E4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DF66551">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10999D7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RBM8A</w:t>
            </w:r>
          </w:p>
        </w:tc>
        <w:tc>
          <w:tcPr>
            <w:tcW w:w="0" w:type="auto"/>
            <w:vAlign w:val="center"/>
          </w:tcPr>
          <w:p w14:paraId="703B555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Polyclonal Antibody</w:t>
            </w:r>
          </w:p>
        </w:tc>
        <w:tc>
          <w:tcPr>
            <w:tcW w:w="0" w:type="auto"/>
            <w:vAlign w:val="center"/>
          </w:tcPr>
          <w:p w14:paraId="2F45ECC2">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Proteintech</w:t>
            </w:r>
          </w:p>
        </w:tc>
        <w:tc>
          <w:tcPr>
            <w:tcW w:w="0" w:type="auto"/>
            <w:vAlign w:val="center"/>
          </w:tcPr>
          <w:p w14:paraId="28989596">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16531-1-AP</w:t>
            </w:r>
          </w:p>
        </w:tc>
        <w:tc>
          <w:tcPr>
            <w:tcW w:w="0" w:type="auto"/>
            <w:vAlign w:val="center"/>
          </w:tcPr>
          <w:p w14:paraId="00AF5D6F">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IF, IF-FISH, IHC</w:t>
            </w:r>
          </w:p>
        </w:tc>
        <w:tc>
          <w:tcPr>
            <w:tcW w:w="0" w:type="auto"/>
            <w:vAlign w:val="center"/>
          </w:tcPr>
          <w:p w14:paraId="62A018C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1:200</w:t>
            </w:r>
          </w:p>
        </w:tc>
      </w:tr>
      <w:tr w14:paraId="14B6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23C090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5433B99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HDAC9</w:t>
            </w:r>
          </w:p>
        </w:tc>
        <w:tc>
          <w:tcPr>
            <w:tcW w:w="0" w:type="auto"/>
            <w:vAlign w:val="center"/>
          </w:tcPr>
          <w:p w14:paraId="5F63EAD0">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Monoclonal Antibody (clone E8Z4V)</w:t>
            </w:r>
          </w:p>
        </w:tc>
        <w:tc>
          <w:tcPr>
            <w:tcW w:w="0" w:type="auto"/>
            <w:vAlign w:val="center"/>
          </w:tcPr>
          <w:p w14:paraId="1734224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4614BDA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26036S</w:t>
            </w:r>
          </w:p>
        </w:tc>
        <w:tc>
          <w:tcPr>
            <w:tcW w:w="0" w:type="auto"/>
            <w:vAlign w:val="center"/>
          </w:tcPr>
          <w:p w14:paraId="24BCE67F">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IF, IHC</w:t>
            </w:r>
          </w:p>
        </w:tc>
        <w:tc>
          <w:tcPr>
            <w:tcW w:w="0" w:type="auto"/>
            <w:vAlign w:val="center"/>
          </w:tcPr>
          <w:p w14:paraId="7DE3516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1:200</w:t>
            </w:r>
          </w:p>
        </w:tc>
      </w:tr>
      <w:tr w14:paraId="15B7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46046E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3C8DA87F">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Ki-67</w:t>
            </w:r>
          </w:p>
        </w:tc>
        <w:tc>
          <w:tcPr>
            <w:tcW w:w="0" w:type="auto"/>
            <w:vAlign w:val="center"/>
          </w:tcPr>
          <w:p w14:paraId="2185E50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Monoclonal Antibody</w:t>
            </w:r>
          </w:p>
        </w:tc>
        <w:tc>
          <w:tcPr>
            <w:tcW w:w="0" w:type="auto"/>
            <w:vAlign w:val="center"/>
          </w:tcPr>
          <w:p w14:paraId="28B0360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0B158762">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12202S</w:t>
            </w:r>
          </w:p>
        </w:tc>
        <w:tc>
          <w:tcPr>
            <w:tcW w:w="0" w:type="auto"/>
            <w:vAlign w:val="center"/>
          </w:tcPr>
          <w:p w14:paraId="53F7701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IHC, WB</w:t>
            </w:r>
          </w:p>
        </w:tc>
        <w:tc>
          <w:tcPr>
            <w:tcW w:w="0" w:type="auto"/>
            <w:vAlign w:val="center"/>
          </w:tcPr>
          <w:p w14:paraId="56946372">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1:1000</w:t>
            </w:r>
          </w:p>
        </w:tc>
      </w:tr>
      <w:tr w14:paraId="74E6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B8A777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1A15EFF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ABCG2</w:t>
            </w:r>
          </w:p>
        </w:tc>
        <w:tc>
          <w:tcPr>
            <w:tcW w:w="0" w:type="auto"/>
            <w:vAlign w:val="center"/>
          </w:tcPr>
          <w:p w14:paraId="56A49BF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Monoclonal Antibody</w:t>
            </w:r>
          </w:p>
        </w:tc>
        <w:tc>
          <w:tcPr>
            <w:tcW w:w="0" w:type="auto"/>
            <w:vAlign w:val="center"/>
          </w:tcPr>
          <w:p w14:paraId="04014C5F">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40DB9DF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44778S</w:t>
            </w:r>
          </w:p>
        </w:tc>
        <w:tc>
          <w:tcPr>
            <w:tcW w:w="0" w:type="auto"/>
            <w:vAlign w:val="center"/>
          </w:tcPr>
          <w:p w14:paraId="44481B8B">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WB</w:t>
            </w:r>
          </w:p>
        </w:tc>
        <w:tc>
          <w:tcPr>
            <w:tcW w:w="0" w:type="auto"/>
            <w:vAlign w:val="center"/>
          </w:tcPr>
          <w:p w14:paraId="1D55854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1:1000</w:t>
            </w:r>
          </w:p>
        </w:tc>
      </w:tr>
      <w:tr w14:paraId="2091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5CE4BC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663F13D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P-GP (ABCB1)</w:t>
            </w:r>
          </w:p>
        </w:tc>
        <w:tc>
          <w:tcPr>
            <w:tcW w:w="0" w:type="auto"/>
            <w:vAlign w:val="center"/>
          </w:tcPr>
          <w:p w14:paraId="1CE948E5">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Monoclonal Antibody</w:t>
            </w:r>
          </w:p>
        </w:tc>
        <w:tc>
          <w:tcPr>
            <w:tcW w:w="0" w:type="auto"/>
            <w:vAlign w:val="center"/>
          </w:tcPr>
          <w:p w14:paraId="3C9E439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1E94063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13342S</w:t>
            </w:r>
          </w:p>
        </w:tc>
        <w:tc>
          <w:tcPr>
            <w:tcW w:w="0" w:type="auto"/>
            <w:vAlign w:val="center"/>
          </w:tcPr>
          <w:p w14:paraId="2FBF70A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WB</w:t>
            </w:r>
          </w:p>
        </w:tc>
        <w:tc>
          <w:tcPr>
            <w:tcW w:w="0" w:type="auto"/>
            <w:vAlign w:val="center"/>
          </w:tcPr>
          <w:p w14:paraId="5E5290F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1:1000</w:t>
            </w:r>
          </w:p>
        </w:tc>
      </w:tr>
      <w:tr w14:paraId="732E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60EDCA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33350436">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CDKN2A (p16)</w:t>
            </w:r>
          </w:p>
        </w:tc>
        <w:tc>
          <w:tcPr>
            <w:tcW w:w="0" w:type="auto"/>
            <w:vAlign w:val="center"/>
          </w:tcPr>
          <w:p w14:paraId="13EF4EFB">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Monoclonal Antibody</w:t>
            </w:r>
          </w:p>
        </w:tc>
        <w:tc>
          <w:tcPr>
            <w:tcW w:w="0" w:type="auto"/>
            <w:vAlign w:val="center"/>
          </w:tcPr>
          <w:p w14:paraId="5EB5B1F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7B797F8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80625S</w:t>
            </w:r>
          </w:p>
        </w:tc>
        <w:tc>
          <w:tcPr>
            <w:tcW w:w="0" w:type="auto"/>
            <w:vAlign w:val="center"/>
          </w:tcPr>
          <w:p w14:paraId="7F1EA20D">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WB</w:t>
            </w:r>
          </w:p>
        </w:tc>
        <w:tc>
          <w:tcPr>
            <w:tcW w:w="0" w:type="auto"/>
            <w:vAlign w:val="center"/>
          </w:tcPr>
          <w:p w14:paraId="553BD385">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1:1000</w:t>
            </w:r>
          </w:p>
        </w:tc>
      </w:tr>
      <w:tr w14:paraId="7501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61DB234">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4C4A601D">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CDK4</w:t>
            </w:r>
          </w:p>
        </w:tc>
        <w:tc>
          <w:tcPr>
            <w:tcW w:w="0" w:type="auto"/>
            <w:vAlign w:val="center"/>
          </w:tcPr>
          <w:p w14:paraId="5C560F9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Monoclonal Antibody</w:t>
            </w:r>
          </w:p>
        </w:tc>
        <w:tc>
          <w:tcPr>
            <w:tcW w:w="0" w:type="auto"/>
            <w:vAlign w:val="center"/>
          </w:tcPr>
          <w:p w14:paraId="6CA16354">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066C8C4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12790S</w:t>
            </w:r>
          </w:p>
        </w:tc>
        <w:tc>
          <w:tcPr>
            <w:tcW w:w="0" w:type="auto"/>
            <w:vAlign w:val="center"/>
          </w:tcPr>
          <w:p w14:paraId="0D4EFFF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WB</w:t>
            </w:r>
          </w:p>
        </w:tc>
        <w:tc>
          <w:tcPr>
            <w:tcW w:w="0" w:type="auto"/>
            <w:vAlign w:val="center"/>
          </w:tcPr>
          <w:p w14:paraId="2ABECE6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1:1000</w:t>
            </w:r>
          </w:p>
        </w:tc>
      </w:tr>
      <w:tr w14:paraId="2852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1090DE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33675121">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Phospho-Rb (Ser807/811)</w:t>
            </w:r>
          </w:p>
        </w:tc>
        <w:tc>
          <w:tcPr>
            <w:tcW w:w="0" w:type="auto"/>
            <w:vAlign w:val="center"/>
          </w:tcPr>
          <w:p w14:paraId="1DA01C4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Monoclonal Antibody</w:t>
            </w:r>
          </w:p>
        </w:tc>
        <w:tc>
          <w:tcPr>
            <w:tcW w:w="0" w:type="auto"/>
            <w:vAlign w:val="center"/>
          </w:tcPr>
          <w:p w14:paraId="2269BFF6">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4DF616F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8516S</w:t>
            </w:r>
          </w:p>
        </w:tc>
        <w:tc>
          <w:tcPr>
            <w:tcW w:w="0" w:type="auto"/>
            <w:vAlign w:val="center"/>
          </w:tcPr>
          <w:p w14:paraId="74DC9A7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WB</w:t>
            </w:r>
          </w:p>
        </w:tc>
        <w:tc>
          <w:tcPr>
            <w:tcW w:w="0" w:type="auto"/>
            <w:vAlign w:val="center"/>
          </w:tcPr>
          <w:p w14:paraId="4E1F7830">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1:1000</w:t>
            </w:r>
          </w:p>
        </w:tc>
      </w:tr>
      <w:tr w14:paraId="1803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6EC99D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Secondary antibody</w:t>
            </w:r>
          </w:p>
        </w:tc>
        <w:tc>
          <w:tcPr>
            <w:tcW w:w="0" w:type="auto"/>
            <w:vAlign w:val="center"/>
          </w:tcPr>
          <w:p w14:paraId="3DD6BAE0">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Goat anti-Rabbit IgG, Alexa Fluor 488</w:t>
            </w:r>
          </w:p>
        </w:tc>
        <w:tc>
          <w:tcPr>
            <w:tcW w:w="0" w:type="auto"/>
            <w:vAlign w:val="center"/>
          </w:tcPr>
          <w:p w14:paraId="71CC012F">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Goat Polyclonal Antibody</w:t>
            </w:r>
          </w:p>
        </w:tc>
        <w:tc>
          <w:tcPr>
            <w:tcW w:w="0" w:type="auto"/>
            <w:vAlign w:val="center"/>
          </w:tcPr>
          <w:p w14:paraId="3A5651C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Abcam</w:t>
            </w:r>
          </w:p>
        </w:tc>
        <w:tc>
          <w:tcPr>
            <w:tcW w:w="0" w:type="auto"/>
            <w:vAlign w:val="center"/>
          </w:tcPr>
          <w:p w14:paraId="1C8CE45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ab150077</w:t>
            </w:r>
          </w:p>
        </w:tc>
        <w:tc>
          <w:tcPr>
            <w:tcW w:w="0" w:type="auto"/>
            <w:vAlign w:val="center"/>
          </w:tcPr>
          <w:p w14:paraId="6420A04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IF, IF-FISH</w:t>
            </w:r>
          </w:p>
        </w:tc>
        <w:tc>
          <w:tcPr>
            <w:tcW w:w="0" w:type="auto"/>
            <w:vAlign w:val="center"/>
          </w:tcPr>
          <w:p w14:paraId="52B22A0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1:500</w:t>
            </w:r>
          </w:p>
        </w:tc>
      </w:tr>
      <w:tr w14:paraId="14E5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9FB122B">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Secondary antibody</w:t>
            </w:r>
          </w:p>
        </w:tc>
        <w:tc>
          <w:tcPr>
            <w:tcW w:w="0" w:type="auto"/>
            <w:vAlign w:val="center"/>
          </w:tcPr>
          <w:p w14:paraId="5FF4FBBF">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Goat anti-Rabbit IgG, Cy3</w:t>
            </w:r>
          </w:p>
        </w:tc>
        <w:tc>
          <w:tcPr>
            <w:tcW w:w="0" w:type="auto"/>
            <w:vAlign w:val="center"/>
          </w:tcPr>
          <w:p w14:paraId="546ABF74">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Goat Polyclonal Antibody</w:t>
            </w:r>
          </w:p>
        </w:tc>
        <w:tc>
          <w:tcPr>
            <w:tcW w:w="0" w:type="auto"/>
            <w:vAlign w:val="center"/>
          </w:tcPr>
          <w:p w14:paraId="1E3FA2A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Jackson ImmunoResearch</w:t>
            </w:r>
          </w:p>
        </w:tc>
        <w:tc>
          <w:tcPr>
            <w:tcW w:w="0" w:type="auto"/>
            <w:vAlign w:val="center"/>
          </w:tcPr>
          <w:p w14:paraId="0A4FAE86">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111-165-003</w:t>
            </w:r>
          </w:p>
        </w:tc>
        <w:tc>
          <w:tcPr>
            <w:tcW w:w="0" w:type="auto"/>
            <w:vAlign w:val="center"/>
          </w:tcPr>
          <w:p w14:paraId="2DE6F39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IF</w:t>
            </w:r>
          </w:p>
        </w:tc>
        <w:tc>
          <w:tcPr>
            <w:tcW w:w="0" w:type="auto"/>
            <w:vAlign w:val="center"/>
          </w:tcPr>
          <w:p w14:paraId="101BC871">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1:500</w:t>
            </w:r>
          </w:p>
        </w:tc>
      </w:tr>
      <w:tr w14:paraId="62BA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C2F45CB">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Secondary antibody</w:t>
            </w:r>
          </w:p>
        </w:tc>
        <w:tc>
          <w:tcPr>
            <w:tcW w:w="0" w:type="auto"/>
            <w:vAlign w:val="center"/>
          </w:tcPr>
          <w:p w14:paraId="7C954653">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HRP-conjugated Goat anti-Rabbit IgG</w:t>
            </w:r>
          </w:p>
        </w:tc>
        <w:tc>
          <w:tcPr>
            <w:tcW w:w="0" w:type="auto"/>
            <w:vAlign w:val="center"/>
          </w:tcPr>
          <w:p w14:paraId="05B7C63B">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Goat Polyclonal Antibody</w:t>
            </w:r>
          </w:p>
        </w:tc>
        <w:tc>
          <w:tcPr>
            <w:tcW w:w="0" w:type="auto"/>
            <w:vAlign w:val="center"/>
          </w:tcPr>
          <w:p w14:paraId="763C8472">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Proteintech</w:t>
            </w:r>
          </w:p>
        </w:tc>
        <w:tc>
          <w:tcPr>
            <w:tcW w:w="0" w:type="auto"/>
            <w:vAlign w:val="center"/>
          </w:tcPr>
          <w:p w14:paraId="0AB2006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SA00001-2</w:t>
            </w:r>
          </w:p>
        </w:tc>
        <w:tc>
          <w:tcPr>
            <w:tcW w:w="0" w:type="auto"/>
            <w:vAlign w:val="center"/>
          </w:tcPr>
          <w:p w14:paraId="69C633F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WB, IHC</w:t>
            </w:r>
          </w:p>
        </w:tc>
        <w:tc>
          <w:tcPr>
            <w:tcW w:w="0" w:type="auto"/>
            <w:vAlign w:val="center"/>
          </w:tcPr>
          <w:p w14:paraId="73C4DF60">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1:5000</w:t>
            </w:r>
          </w:p>
        </w:tc>
      </w:tr>
      <w:tr w14:paraId="71C9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1054061">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61839EA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H3K18ac</w:t>
            </w:r>
          </w:p>
        </w:tc>
        <w:tc>
          <w:tcPr>
            <w:tcW w:w="0" w:type="auto"/>
            <w:vAlign w:val="center"/>
          </w:tcPr>
          <w:p w14:paraId="116A6F92">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Monoclonal Antibody (clone D9Z4V)</w:t>
            </w:r>
          </w:p>
        </w:tc>
        <w:tc>
          <w:tcPr>
            <w:tcW w:w="0" w:type="auto"/>
            <w:vAlign w:val="center"/>
          </w:tcPr>
          <w:p w14:paraId="3B46F40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2C0C8F0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9402</w:t>
            </w:r>
          </w:p>
        </w:tc>
        <w:tc>
          <w:tcPr>
            <w:tcW w:w="0" w:type="auto"/>
            <w:vAlign w:val="center"/>
          </w:tcPr>
          <w:p w14:paraId="78D7DB41">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ChIP-qPCR</w:t>
            </w:r>
          </w:p>
        </w:tc>
        <w:tc>
          <w:tcPr>
            <w:tcW w:w="0" w:type="auto"/>
            <w:vAlign w:val="center"/>
          </w:tcPr>
          <w:p w14:paraId="0C03330B">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1:50; per manufacturer's instructions</w:t>
            </w:r>
          </w:p>
        </w:tc>
      </w:tr>
      <w:tr w14:paraId="5689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A75BF74">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Control antibody</w:t>
            </w:r>
          </w:p>
        </w:tc>
        <w:tc>
          <w:tcPr>
            <w:tcW w:w="0" w:type="auto"/>
            <w:vAlign w:val="center"/>
          </w:tcPr>
          <w:p w14:paraId="423EA7F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Normal Rabbit IgG</w:t>
            </w:r>
          </w:p>
        </w:tc>
        <w:tc>
          <w:tcPr>
            <w:tcW w:w="0" w:type="auto"/>
            <w:vAlign w:val="center"/>
          </w:tcPr>
          <w:p w14:paraId="78BEC555">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Rabbit Polyclonal Antibody</w:t>
            </w:r>
          </w:p>
        </w:tc>
        <w:tc>
          <w:tcPr>
            <w:tcW w:w="0" w:type="auto"/>
            <w:vAlign w:val="center"/>
          </w:tcPr>
          <w:p w14:paraId="49A551D4">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Cell Signaling Technology</w:t>
            </w:r>
          </w:p>
        </w:tc>
        <w:tc>
          <w:tcPr>
            <w:tcW w:w="0" w:type="auto"/>
            <w:vAlign w:val="center"/>
          </w:tcPr>
          <w:p w14:paraId="664106E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2729</w:t>
            </w:r>
          </w:p>
        </w:tc>
        <w:tc>
          <w:tcPr>
            <w:tcW w:w="0" w:type="auto"/>
            <w:vAlign w:val="center"/>
          </w:tcPr>
          <w:p w14:paraId="67B2EAC4">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ChIP-qPCR</w:t>
            </w:r>
          </w:p>
        </w:tc>
        <w:tc>
          <w:tcPr>
            <w:tcW w:w="0" w:type="auto"/>
            <w:vAlign w:val="center"/>
          </w:tcPr>
          <w:p w14:paraId="55E53E0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1:50; per manufacturer's instructions</w:t>
            </w:r>
          </w:p>
        </w:tc>
      </w:tr>
      <w:tr w14:paraId="7DA3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29C9324">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Primary antibody</w:t>
            </w:r>
          </w:p>
        </w:tc>
        <w:tc>
          <w:tcPr>
            <w:tcW w:w="0" w:type="auto"/>
            <w:vAlign w:val="center"/>
          </w:tcPr>
          <w:p w14:paraId="4BC582ED">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Puromycin</w:t>
            </w:r>
          </w:p>
        </w:tc>
        <w:tc>
          <w:tcPr>
            <w:tcW w:w="0" w:type="auto"/>
            <w:vAlign w:val="center"/>
          </w:tcPr>
          <w:p w14:paraId="733C9670">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Mouse Monoclonal Antibody (clone 12D10)</w:t>
            </w:r>
          </w:p>
        </w:tc>
        <w:tc>
          <w:tcPr>
            <w:tcW w:w="0" w:type="auto"/>
            <w:vAlign w:val="center"/>
          </w:tcPr>
          <w:p w14:paraId="76643D72">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Sigma-Aldrich</w:t>
            </w:r>
          </w:p>
        </w:tc>
        <w:tc>
          <w:tcPr>
            <w:tcW w:w="0" w:type="auto"/>
            <w:vAlign w:val="center"/>
          </w:tcPr>
          <w:p w14:paraId="7E963AD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MABE343</w:t>
            </w:r>
          </w:p>
        </w:tc>
        <w:tc>
          <w:tcPr>
            <w:tcW w:w="0" w:type="auto"/>
            <w:vAlign w:val="center"/>
          </w:tcPr>
          <w:p w14:paraId="645D4B9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SunSET, WB</w:t>
            </w:r>
          </w:p>
        </w:tc>
        <w:tc>
          <w:tcPr>
            <w:tcW w:w="0" w:type="auto"/>
            <w:vAlign w:val="center"/>
          </w:tcPr>
          <w:p w14:paraId="6A2A8E5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1:2000</w:t>
            </w:r>
          </w:p>
        </w:tc>
      </w:tr>
      <w:tr w14:paraId="3BE8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517A956">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RNAscope probe</w:t>
            </w:r>
          </w:p>
        </w:tc>
        <w:tc>
          <w:tcPr>
            <w:tcW w:w="0" w:type="auto"/>
            <w:vAlign w:val="center"/>
          </w:tcPr>
          <w:p w14:paraId="77C80B9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HDAC9 mRNA (Human)</w:t>
            </w:r>
          </w:p>
        </w:tc>
        <w:tc>
          <w:tcPr>
            <w:tcW w:w="0" w:type="auto"/>
            <w:vAlign w:val="center"/>
          </w:tcPr>
          <w:p w14:paraId="5071F819">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Probe</w:t>
            </w:r>
          </w:p>
        </w:tc>
        <w:tc>
          <w:tcPr>
            <w:tcW w:w="0" w:type="auto"/>
            <w:vAlign w:val="center"/>
          </w:tcPr>
          <w:p w14:paraId="3F47B950">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Advanced Cell Diagnostics</w:t>
            </w:r>
          </w:p>
        </w:tc>
        <w:tc>
          <w:tcPr>
            <w:tcW w:w="0" w:type="auto"/>
            <w:vAlign w:val="center"/>
          </w:tcPr>
          <w:p w14:paraId="3D9D10E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423161</w:t>
            </w:r>
          </w:p>
        </w:tc>
        <w:tc>
          <w:tcPr>
            <w:tcW w:w="0" w:type="auto"/>
            <w:vAlign w:val="center"/>
          </w:tcPr>
          <w:p w14:paraId="4D9F05ED">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RNA FISH</w:t>
            </w:r>
          </w:p>
        </w:tc>
        <w:tc>
          <w:tcPr>
            <w:tcW w:w="0" w:type="auto"/>
            <w:vAlign w:val="center"/>
          </w:tcPr>
          <w:p w14:paraId="68B326EB">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Per manufacturer's instructions</w:t>
            </w:r>
          </w:p>
        </w:tc>
      </w:tr>
      <w:tr w14:paraId="2BF3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1CD5502">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RNAscope probe</w:t>
            </w:r>
          </w:p>
        </w:tc>
        <w:tc>
          <w:tcPr>
            <w:tcW w:w="0" w:type="auto"/>
            <w:vAlign w:val="center"/>
          </w:tcPr>
          <w:p w14:paraId="6D432097">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18S rRNA (Human, positive control)</w:t>
            </w:r>
          </w:p>
        </w:tc>
        <w:tc>
          <w:tcPr>
            <w:tcW w:w="0" w:type="auto"/>
            <w:vAlign w:val="center"/>
          </w:tcPr>
          <w:p w14:paraId="43462C3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Probe</w:t>
            </w:r>
          </w:p>
        </w:tc>
        <w:tc>
          <w:tcPr>
            <w:tcW w:w="0" w:type="auto"/>
            <w:vAlign w:val="center"/>
          </w:tcPr>
          <w:p w14:paraId="761B9225">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Advanced Cell Diagnostics</w:t>
            </w:r>
          </w:p>
        </w:tc>
        <w:tc>
          <w:tcPr>
            <w:tcW w:w="0" w:type="auto"/>
            <w:vAlign w:val="center"/>
          </w:tcPr>
          <w:p w14:paraId="1AC296E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320871</w:t>
            </w:r>
          </w:p>
        </w:tc>
        <w:tc>
          <w:tcPr>
            <w:tcW w:w="0" w:type="auto"/>
            <w:vAlign w:val="center"/>
          </w:tcPr>
          <w:p w14:paraId="36248A6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RNA FISH positive control</w:t>
            </w:r>
          </w:p>
        </w:tc>
        <w:tc>
          <w:tcPr>
            <w:tcW w:w="0" w:type="auto"/>
            <w:vAlign w:val="center"/>
          </w:tcPr>
          <w:p w14:paraId="32DEE491">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Per manufacturer's instructions</w:t>
            </w:r>
          </w:p>
        </w:tc>
      </w:tr>
      <w:tr w14:paraId="280D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3342AAE">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RNAscope probe</w:t>
            </w:r>
          </w:p>
        </w:tc>
        <w:tc>
          <w:tcPr>
            <w:tcW w:w="0" w:type="auto"/>
            <w:vAlign w:val="center"/>
          </w:tcPr>
          <w:p w14:paraId="73561C2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U6 snRNA (Human, internal control)</w:t>
            </w:r>
          </w:p>
        </w:tc>
        <w:tc>
          <w:tcPr>
            <w:tcW w:w="0" w:type="auto"/>
            <w:vAlign w:val="center"/>
          </w:tcPr>
          <w:p w14:paraId="498377FC">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Probe</w:t>
            </w:r>
          </w:p>
        </w:tc>
        <w:tc>
          <w:tcPr>
            <w:tcW w:w="0" w:type="auto"/>
            <w:vAlign w:val="center"/>
          </w:tcPr>
          <w:p w14:paraId="539EDAC8">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Advanced Cell Diagnostics</w:t>
            </w:r>
          </w:p>
        </w:tc>
        <w:tc>
          <w:tcPr>
            <w:tcW w:w="0" w:type="auto"/>
            <w:vAlign w:val="center"/>
          </w:tcPr>
          <w:p w14:paraId="103C1B80">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317071</w:t>
            </w:r>
          </w:p>
        </w:tc>
        <w:tc>
          <w:tcPr>
            <w:tcW w:w="0" w:type="auto"/>
            <w:vAlign w:val="center"/>
          </w:tcPr>
          <w:p w14:paraId="6CF7C61A">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RNA FISH internal control</w:t>
            </w:r>
          </w:p>
        </w:tc>
        <w:tc>
          <w:tcPr>
            <w:tcW w:w="0" w:type="auto"/>
            <w:vAlign w:val="center"/>
          </w:tcPr>
          <w:p w14:paraId="7877D405">
            <w:pPr>
              <w:widowControl/>
              <w:jc w:val="left"/>
              <w:rPr>
                <w:rFonts w:ascii="Times New Roman" w:hAnsi="Times New Roman" w:eastAsia="宋体" w:cs="Times New Roman"/>
                <w:kern w:val="0"/>
                <w:sz w:val="20"/>
                <w:szCs w:val="21"/>
              </w:rPr>
            </w:pPr>
            <w:r>
              <w:rPr>
                <w:rFonts w:ascii="Times New Roman" w:hAnsi="Times New Roman" w:eastAsia="宋体" w:cs="Times New Roman"/>
                <w:kern w:val="0"/>
                <w:sz w:val="21"/>
                <w:szCs w:val="21"/>
                <w:lang w:bidi="ar"/>
              </w:rPr>
              <w:t>Per manufacturer's instructions</w:t>
            </w:r>
          </w:p>
        </w:tc>
      </w:tr>
    </w:tbl>
    <w:p w14:paraId="316559BD">
      <w:pPr>
        <w:spacing w:line="480" w:lineRule="auto"/>
        <w:rPr>
          <w:rFonts w:ascii="Times New Roman" w:hAnsi="Times New Roman" w:cs="Times New Roman"/>
          <w:szCs w:val="21"/>
        </w:rPr>
      </w:pPr>
      <w:r>
        <w:rPr>
          <w:rFonts w:ascii="Times New Roman" w:hAnsi="Times New Roman" w:cs="Times New Roman"/>
          <w:szCs w:val="21"/>
        </w:rPr>
        <w:t>All antibodies were validated for specificity by the manufacturer and in preliminary experiments. Primary antibodies were diluted in blocking solution; secondary antibodies were diluted in TBST. RNAscope probes were used according to the manufacturer’s standard protocols.</w:t>
      </w:r>
    </w:p>
    <w:p w14:paraId="6B86A275">
      <w:pPr>
        <w:widowControl/>
        <w:jc w:val="center"/>
        <w:textAlignment w:val="center"/>
        <w:rPr>
          <w:rFonts w:hint="eastAsia"/>
        </w:rPr>
      </w:pPr>
      <w:r>
        <w:rPr>
          <w:rFonts w:hint="eastAsia"/>
        </w:rPr>
        <w:br w:type="page"/>
      </w:r>
      <w:r>
        <w:rPr>
          <w:rFonts w:ascii="Times New Roman" w:hAnsi="Times New Roman" w:eastAsia="宋体" w:cs="Times New Roman"/>
          <w:b/>
          <w:bCs/>
          <w:szCs w:val="21"/>
        </w:rPr>
        <w:t>Table S6 Clinicopathological characteristics of 6 HCC patients and 1 normal liver control for single-cell and spatial RNA sequencing</w:t>
      </w:r>
    </w:p>
    <w:p w14:paraId="1448DE47">
      <w:pPr>
        <w:widowControl/>
        <w:jc w:val="left"/>
        <w:rPr>
          <w:rFonts w:hint="eastAsia"/>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917"/>
        <w:gridCol w:w="1721"/>
        <w:gridCol w:w="1722"/>
        <w:gridCol w:w="1717"/>
        <w:gridCol w:w="1717"/>
        <w:gridCol w:w="1716"/>
        <w:gridCol w:w="1719"/>
        <w:gridCol w:w="1719"/>
      </w:tblGrid>
      <w:tr w14:paraId="3887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642C52B2">
            <w:pPr>
              <w:widowControl/>
              <w:jc w:val="left"/>
              <w:rPr>
                <w:rFonts w:hint="eastAsia"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0"/>
                <w:szCs w:val="21"/>
                <w:lang w:bidi="ar"/>
              </w:rPr>
              <w:t>Patient ID</w:t>
            </w:r>
          </w:p>
        </w:tc>
        <w:tc>
          <w:tcPr>
            <w:tcW w:w="1744" w:type="dxa"/>
            <w:vAlign w:val="center"/>
          </w:tcPr>
          <w:p w14:paraId="647481E0">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HCC1</w:t>
            </w:r>
          </w:p>
        </w:tc>
        <w:tc>
          <w:tcPr>
            <w:tcW w:w="1745" w:type="dxa"/>
            <w:vAlign w:val="center"/>
          </w:tcPr>
          <w:p w14:paraId="56D52190">
            <w:pPr>
              <w:widowControl/>
              <w:jc w:val="left"/>
              <w:rPr>
                <w:rFonts w:hint="eastAsia" w:ascii="Times New Roman" w:hAnsi="Times New Roman" w:eastAsia="宋体" w:cs="Times New Roman"/>
                <w:color w:val="000000"/>
                <w:kern w:val="0"/>
                <w:sz w:val="20"/>
                <w:szCs w:val="21"/>
                <w:lang w:val="en-US" w:eastAsia="zh-CN" w:bidi="ar"/>
              </w:rPr>
            </w:pPr>
            <w:r>
              <w:rPr>
                <w:rFonts w:ascii="Times New Roman" w:hAnsi="Times New Roman" w:eastAsia="宋体" w:cs="Times New Roman"/>
                <w:color w:val="000000"/>
                <w:kern w:val="0"/>
                <w:sz w:val="20"/>
                <w:szCs w:val="21"/>
                <w:lang w:bidi="ar"/>
              </w:rPr>
              <w:t>HCC</w:t>
            </w:r>
            <w:r>
              <w:rPr>
                <w:rFonts w:hint="eastAsia" w:ascii="Times New Roman" w:hAnsi="Times New Roman" w:eastAsia="宋体" w:cs="Times New Roman"/>
                <w:color w:val="000000"/>
                <w:kern w:val="0"/>
                <w:sz w:val="20"/>
                <w:szCs w:val="21"/>
                <w:lang w:val="en-US" w:eastAsia="zh-CN" w:bidi="ar"/>
              </w:rPr>
              <w:t>2</w:t>
            </w:r>
          </w:p>
        </w:tc>
        <w:tc>
          <w:tcPr>
            <w:tcW w:w="1745" w:type="dxa"/>
            <w:vAlign w:val="center"/>
          </w:tcPr>
          <w:p w14:paraId="37CB33F1">
            <w:pPr>
              <w:widowControl/>
              <w:jc w:val="left"/>
              <w:rPr>
                <w:rFonts w:hint="eastAsia" w:ascii="Times New Roman" w:hAnsi="Times New Roman" w:eastAsia="宋体" w:cs="Times New Roman"/>
                <w:color w:val="000000"/>
                <w:kern w:val="0"/>
                <w:sz w:val="20"/>
                <w:szCs w:val="21"/>
                <w:lang w:val="en-US" w:eastAsia="zh-CN" w:bidi="ar"/>
              </w:rPr>
            </w:pPr>
            <w:r>
              <w:rPr>
                <w:rFonts w:ascii="Times New Roman" w:hAnsi="Times New Roman" w:eastAsia="宋体" w:cs="Times New Roman"/>
                <w:color w:val="000000"/>
                <w:kern w:val="0"/>
                <w:sz w:val="20"/>
                <w:szCs w:val="21"/>
                <w:lang w:bidi="ar"/>
              </w:rPr>
              <w:t>HCC</w:t>
            </w:r>
            <w:r>
              <w:rPr>
                <w:rFonts w:hint="eastAsia" w:ascii="Times New Roman" w:hAnsi="Times New Roman" w:eastAsia="宋体" w:cs="Times New Roman"/>
                <w:color w:val="000000"/>
                <w:kern w:val="0"/>
                <w:sz w:val="20"/>
                <w:szCs w:val="21"/>
                <w:lang w:val="en-US" w:eastAsia="zh-CN" w:bidi="ar"/>
              </w:rPr>
              <w:t>3</w:t>
            </w:r>
          </w:p>
        </w:tc>
        <w:tc>
          <w:tcPr>
            <w:tcW w:w="1745" w:type="dxa"/>
            <w:vAlign w:val="center"/>
          </w:tcPr>
          <w:p w14:paraId="530E0A53">
            <w:pPr>
              <w:widowControl/>
              <w:jc w:val="left"/>
              <w:rPr>
                <w:rFonts w:hint="eastAsia" w:ascii="Times New Roman" w:hAnsi="Times New Roman" w:eastAsia="宋体" w:cs="Times New Roman"/>
                <w:color w:val="000000"/>
                <w:kern w:val="0"/>
                <w:sz w:val="20"/>
                <w:szCs w:val="21"/>
                <w:lang w:val="en-US" w:eastAsia="zh-CN" w:bidi="ar"/>
              </w:rPr>
            </w:pPr>
            <w:r>
              <w:rPr>
                <w:rFonts w:ascii="Times New Roman" w:hAnsi="Times New Roman" w:eastAsia="宋体" w:cs="Times New Roman"/>
                <w:color w:val="000000"/>
                <w:kern w:val="0"/>
                <w:sz w:val="20"/>
                <w:szCs w:val="21"/>
                <w:lang w:bidi="ar"/>
              </w:rPr>
              <w:t>HCC</w:t>
            </w:r>
            <w:r>
              <w:rPr>
                <w:rFonts w:hint="eastAsia" w:ascii="Times New Roman" w:hAnsi="Times New Roman" w:eastAsia="宋体" w:cs="Times New Roman"/>
                <w:color w:val="000000"/>
                <w:kern w:val="0"/>
                <w:sz w:val="20"/>
                <w:szCs w:val="21"/>
                <w:lang w:val="en-US" w:eastAsia="zh-CN" w:bidi="ar"/>
              </w:rPr>
              <w:t>4</w:t>
            </w:r>
          </w:p>
        </w:tc>
        <w:tc>
          <w:tcPr>
            <w:tcW w:w="1745" w:type="dxa"/>
            <w:vAlign w:val="center"/>
          </w:tcPr>
          <w:p w14:paraId="7F47E71B">
            <w:pPr>
              <w:widowControl/>
              <w:jc w:val="left"/>
              <w:rPr>
                <w:rFonts w:hint="eastAsia" w:ascii="Times New Roman" w:hAnsi="Times New Roman" w:eastAsia="宋体" w:cs="Times New Roman"/>
                <w:color w:val="000000"/>
                <w:kern w:val="0"/>
                <w:sz w:val="20"/>
                <w:szCs w:val="21"/>
                <w:lang w:val="en-US" w:eastAsia="zh-CN" w:bidi="ar"/>
              </w:rPr>
            </w:pPr>
            <w:r>
              <w:rPr>
                <w:rFonts w:ascii="Times New Roman" w:hAnsi="Times New Roman" w:eastAsia="宋体" w:cs="Times New Roman"/>
                <w:color w:val="000000"/>
                <w:kern w:val="0"/>
                <w:sz w:val="20"/>
                <w:szCs w:val="21"/>
                <w:lang w:bidi="ar"/>
              </w:rPr>
              <w:t>HCC</w:t>
            </w:r>
            <w:r>
              <w:rPr>
                <w:rFonts w:hint="eastAsia" w:ascii="Times New Roman" w:hAnsi="Times New Roman" w:eastAsia="宋体" w:cs="Times New Roman"/>
                <w:color w:val="000000"/>
                <w:kern w:val="0"/>
                <w:sz w:val="20"/>
                <w:szCs w:val="21"/>
                <w:lang w:val="en-US" w:eastAsia="zh-CN" w:bidi="ar"/>
              </w:rPr>
              <w:t>5</w:t>
            </w:r>
          </w:p>
        </w:tc>
        <w:tc>
          <w:tcPr>
            <w:tcW w:w="1745" w:type="dxa"/>
            <w:vAlign w:val="center"/>
          </w:tcPr>
          <w:p w14:paraId="3C039225">
            <w:pPr>
              <w:widowControl/>
              <w:jc w:val="left"/>
              <w:rPr>
                <w:rFonts w:hint="eastAsia" w:ascii="Times New Roman" w:hAnsi="Times New Roman" w:eastAsia="宋体" w:cs="Times New Roman"/>
                <w:color w:val="000000"/>
                <w:kern w:val="0"/>
                <w:sz w:val="20"/>
                <w:szCs w:val="21"/>
                <w:lang w:val="en-US" w:eastAsia="zh-CN" w:bidi="ar"/>
              </w:rPr>
            </w:pPr>
            <w:r>
              <w:rPr>
                <w:rFonts w:ascii="Times New Roman" w:hAnsi="Times New Roman" w:eastAsia="宋体" w:cs="Times New Roman"/>
                <w:color w:val="000000"/>
                <w:kern w:val="0"/>
                <w:sz w:val="20"/>
                <w:szCs w:val="21"/>
                <w:lang w:bidi="ar"/>
              </w:rPr>
              <w:t>HCC</w:t>
            </w:r>
            <w:r>
              <w:rPr>
                <w:rFonts w:hint="eastAsia" w:ascii="Times New Roman" w:hAnsi="Times New Roman" w:eastAsia="宋体" w:cs="Times New Roman"/>
                <w:color w:val="000000"/>
                <w:kern w:val="0"/>
                <w:sz w:val="20"/>
                <w:szCs w:val="21"/>
                <w:lang w:val="en-US" w:eastAsia="zh-CN" w:bidi="ar"/>
              </w:rPr>
              <w:t>6</w:t>
            </w:r>
          </w:p>
        </w:tc>
        <w:tc>
          <w:tcPr>
            <w:tcW w:w="1745" w:type="dxa"/>
            <w:vAlign w:val="center"/>
          </w:tcPr>
          <w:p w14:paraId="756994F0">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Control</w:t>
            </w:r>
          </w:p>
        </w:tc>
      </w:tr>
      <w:tr w14:paraId="2B66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0C5C9595">
            <w:pPr>
              <w:widowControl/>
              <w:jc w:val="left"/>
              <w:rPr>
                <w:rFonts w:hint="eastAsia"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0"/>
                <w:szCs w:val="21"/>
                <w:lang w:bidi="ar"/>
              </w:rPr>
              <w:t>Recurrence group</w:t>
            </w:r>
          </w:p>
        </w:tc>
        <w:tc>
          <w:tcPr>
            <w:tcW w:w="1744" w:type="dxa"/>
          </w:tcPr>
          <w:p w14:paraId="6458C2A6">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NER</w:t>
            </w:r>
          </w:p>
        </w:tc>
        <w:tc>
          <w:tcPr>
            <w:tcW w:w="1745" w:type="dxa"/>
          </w:tcPr>
          <w:p w14:paraId="61F5EC8A">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ER</w:t>
            </w:r>
          </w:p>
        </w:tc>
        <w:tc>
          <w:tcPr>
            <w:tcW w:w="1745" w:type="dxa"/>
          </w:tcPr>
          <w:p w14:paraId="3BFAB33D">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NER</w:t>
            </w:r>
          </w:p>
        </w:tc>
        <w:tc>
          <w:tcPr>
            <w:tcW w:w="1745" w:type="dxa"/>
          </w:tcPr>
          <w:p w14:paraId="775F86E4">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NER</w:t>
            </w:r>
          </w:p>
        </w:tc>
        <w:tc>
          <w:tcPr>
            <w:tcW w:w="1745" w:type="dxa"/>
          </w:tcPr>
          <w:p w14:paraId="08C24C44">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ER</w:t>
            </w:r>
          </w:p>
        </w:tc>
        <w:tc>
          <w:tcPr>
            <w:tcW w:w="1745" w:type="dxa"/>
          </w:tcPr>
          <w:p w14:paraId="77A1AC3F">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NER</w:t>
            </w:r>
          </w:p>
        </w:tc>
        <w:tc>
          <w:tcPr>
            <w:tcW w:w="1745" w:type="dxa"/>
          </w:tcPr>
          <w:p w14:paraId="0D447E44">
            <w:pPr>
              <w:widowControl/>
              <w:jc w:val="left"/>
              <w:rPr>
                <w:rFonts w:hint="eastAsia" w:ascii="Times New Roman" w:hAnsi="Times New Roman" w:eastAsia="宋体" w:cs="Times New Roman"/>
                <w:color w:val="000000"/>
                <w:kern w:val="0"/>
                <w:sz w:val="20"/>
                <w:szCs w:val="21"/>
                <w:lang w:bidi="ar"/>
              </w:rPr>
            </w:pPr>
            <w:r>
              <w:rPr>
                <w:rFonts w:hint="eastAsia" w:ascii="Times New Roman" w:hAnsi="Times New Roman" w:eastAsia="宋体" w:cs="Times New Roman"/>
                <w:color w:val="000000"/>
                <w:kern w:val="0"/>
                <w:sz w:val="20"/>
                <w:szCs w:val="21"/>
                <w:lang w:bidi="ar"/>
              </w:rPr>
              <w:t>NC</w:t>
            </w:r>
          </w:p>
        </w:tc>
      </w:tr>
      <w:tr w14:paraId="55C0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3F555EBB">
            <w:pPr>
              <w:widowControl/>
              <w:jc w:val="left"/>
              <w:rPr>
                <w:rFonts w:hint="eastAsia"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0"/>
                <w:szCs w:val="21"/>
                <w:lang w:bidi="ar"/>
              </w:rPr>
              <w:t>Gender</w:t>
            </w:r>
          </w:p>
        </w:tc>
        <w:tc>
          <w:tcPr>
            <w:tcW w:w="1744" w:type="dxa"/>
            <w:shd w:val="clear"/>
            <w:vAlign w:val="center"/>
          </w:tcPr>
          <w:p w14:paraId="0F081194">
            <w:pPr>
              <w:widowControl/>
              <w:jc w:val="left"/>
              <w:rPr>
                <w:rFonts w:hint="eastAsia" w:ascii="Times New Roman" w:hAnsi="Times New Roman" w:eastAsia="宋体" w:cs="Times New Roman"/>
                <w:color w:val="000000"/>
                <w:kern w:val="0"/>
                <w:sz w:val="20"/>
                <w:szCs w:val="21"/>
                <w:lang w:val="en-US" w:eastAsia="zh-CN" w:bidi="ar"/>
              </w:rPr>
            </w:pPr>
            <w:r>
              <w:rPr>
                <w:rFonts w:ascii="Times New Roman" w:hAnsi="Times New Roman" w:eastAsia="宋体" w:cs="Times New Roman"/>
                <w:color w:val="000000"/>
                <w:kern w:val="0"/>
                <w:sz w:val="20"/>
                <w:szCs w:val="21"/>
                <w:lang w:bidi="ar"/>
              </w:rPr>
              <w:t>Male</w:t>
            </w:r>
          </w:p>
        </w:tc>
        <w:tc>
          <w:tcPr>
            <w:tcW w:w="1745" w:type="dxa"/>
          </w:tcPr>
          <w:p w14:paraId="1F58494E">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Male</w:t>
            </w:r>
          </w:p>
        </w:tc>
        <w:tc>
          <w:tcPr>
            <w:tcW w:w="1745" w:type="dxa"/>
          </w:tcPr>
          <w:p w14:paraId="212DEAFD">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Male</w:t>
            </w:r>
          </w:p>
        </w:tc>
        <w:tc>
          <w:tcPr>
            <w:tcW w:w="1745" w:type="dxa"/>
          </w:tcPr>
          <w:p w14:paraId="73B09B4E">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Male</w:t>
            </w:r>
          </w:p>
        </w:tc>
        <w:tc>
          <w:tcPr>
            <w:tcW w:w="1745" w:type="dxa"/>
          </w:tcPr>
          <w:p w14:paraId="0A635F9A">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Male</w:t>
            </w:r>
          </w:p>
        </w:tc>
        <w:tc>
          <w:tcPr>
            <w:tcW w:w="1745" w:type="dxa"/>
          </w:tcPr>
          <w:p w14:paraId="09797861">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Female</w:t>
            </w:r>
          </w:p>
        </w:tc>
        <w:tc>
          <w:tcPr>
            <w:tcW w:w="1745" w:type="dxa"/>
          </w:tcPr>
          <w:p w14:paraId="229E1714">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Female</w:t>
            </w:r>
          </w:p>
        </w:tc>
      </w:tr>
      <w:tr w14:paraId="63BC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4C344BCE">
            <w:pPr>
              <w:widowControl/>
              <w:jc w:val="left"/>
              <w:rPr>
                <w:rFonts w:hint="eastAsia"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0"/>
                <w:szCs w:val="21"/>
                <w:lang w:bidi="ar"/>
              </w:rPr>
              <w:t>Age (years)</w:t>
            </w:r>
          </w:p>
        </w:tc>
        <w:tc>
          <w:tcPr>
            <w:tcW w:w="1744" w:type="dxa"/>
          </w:tcPr>
          <w:p w14:paraId="4CD670AE">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63</w:t>
            </w:r>
          </w:p>
        </w:tc>
        <w:tc>
          <w:tcPr>
            <w:tcW w:w="1745" w:type="dxa"/>
          </w:tcPr>
          <w:p w14:paraId="551A545E">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50</w:t>
            </w:r>
          </w:p>
        </w:tc>
        <w:tc>
          <w:tcPr>
            <w:tcW w:w="1745" w:type="dxa"/>
          </w:tcPr>
          <w:p w14:paraId="2AFD6590">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67</w:t>
            </w:r>
          </w:p>
        </w:tc>
        <w:tc>
          <w:tcPr>
            <w:tcW w:w="1745" w:type="dxa"/>
          </w:tcPr>
          <w:p w14:paraId="665CD91D">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64</w:t>
            </w:r>
          </w:p>
        </w:tc>
        <w:tc>
          <w:tcPr>
            <w:tcW w:w="1745" w:type="dxa"/>
          </w:tcPr>
          <w:p w14:paraId="7C7889B1">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56</w:t>
            </w:r>
          </w:p>
        </w:tc>
        <w:tc>
          <w:tcPr>
            <w:tcW w:w="1745" w:type="dxa"/>
          </w:tcPr>
          <w:p w14:paraId="126F0276">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48</w:t>
            </w:r>
          </w:p>
        </w:tc>
        <w:tc>
          <w:tcPr>
            <w:tcW w:w="1745" w:type="dxa"/>
          </w:tcPr>
          <w:p w14:paraId="6C60BF42">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42</w:t>
            </w:r>
          </w:p>
        </w:tc>
      </w:tr>
      <w:tr w14:paraId="4D79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2F5308AF">
            <w:pPr>
              <w:widowControl/>
              <w:jc w:val="left"/>
              <w:rPr>
                <w:rFonts w:hint="eastAsia"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0"/>
                <w:szCs w:val="21"/>
                <w:lang w:bidi="ar"/>
              </w:rPr>
              <w:t>BMI (kg/m²)</w:t>
            </w:r>
          </w:p>
        </w:tc>
        <w:tc>
          <w:tcPr>
            <w:tcW w:w="1744" w:type="dxa"/>
          </w:tcPr>
          <w:p w14:paraId="44EE85AF">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18.2</w:t>
            </w:r>
          </w:p>
        </w:tc>
        <w:tc>
          <w:tcPr>
            <w:tcW w:w="1745" w:type="dxa"/>
          </w:tcPr>
          <w:p w14:paraId="6A9C5912">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24.4</w:t>
            </w:r>
          </w:p>
        </w:tc>
        <w:tc>
          <w:tcPr>
            <w:tcW w:w="1745" w:type="dxa"/>
          </w:tcPr>
          <w:p w14:paraId="13EC1D2F">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19.8</w:t>
            </w:r>
          </w:p>
        </w:tc>
        <w:tc>
          <w:tcPr>
            <w:tcW w:w="1745" w:type="dxa"/>
          </w:tcPr>
          <w:p w14:paraId="26D11BCA">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22.2</w:t>
            </w:r>
          </w:p>
        </w:tc>
        <w:tc>
          <w:tcPr>
            <w:tcW w:w="1745" w:type="dxa"/>
          </w:tcPr>
          <w:p w14:paraId="2D0B8779">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25.7</w:t>
            </w:r>
          </w:p>
        </w:tc>
        <w:tc>
          <w:tcPr>
            <w:tcW w:w="1745" w:type="dxa"/>
          </w:tcPr>
          <w:p w14:paraId="5508CA61">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21.42</w:t>
            </w:r>
          </w:p>
        </w:tc>
        <w:tc>
          <w:tcPr>
            <w:tcW w:w="1745" w:type="dxa"/>
          </w:tcPr>
          <w:p w14:paraId="1E34A632">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20.1</w:t>
            </w:r>
          </w:p>
        </w:tc>
      </w:tr>
      <w:tr w14:paraId="308D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7AF033DB">
            <w:pPr>
              <w:widowControl/>
              <w:jc w:val="left"/>
              <w:rPr>
                <w:rFonts w:hint="eastAsia"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0"/>
                <w:szCs w:val="21"/>
                <w:lang w:bidi="ar"/>
              </w:rPr>
              <w:t>Hepatitis status</w:t>
            </w:r>
          </w:p>
        </w:tc>
        <w:tc>
          <w:tcPr>
            <w:tcW w:w="1744" w:type="dxa"/>
          </w:tcPr>
          <w:p w14:paraId="23A9135A">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HBV</w:t>
            </w:r>
          </w:p>
        </w:tc>
        <w:tc>
          <w:tcPr>
            <w:tcW w:w="1745" w:type="dxa"/>
          </w:tcPr>
          <w:p w14:paraId="0CF0F22B">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HBV</w:t>
            </w:r>
          </w:p>
        </w:tc>
        <w:tc>
          <w:tcPr>
            <w:tcW w:w="1745" w:type="dxa"/>
          </w:tcPr>
          <w:p w14:paraId="079D3453">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None</w:t>
            </w:r>
          </w:p>
        </w:tc>
        <w:tc>
          <w:tcPr>
            <w:tcW w:w="1745" w:type="dxa"/>
          </w:tcPr>
          <w:p w14:paraId="2C4C687A">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HBV</w:t>
            </w:r>
          </w:p>
        </w:tc>
        <w:tc>
          <w:tcPr>
            <w:tcW w:w="1745" w:type="dxa"/>
          </w:tcPr>
          <w:p w14:paraId="160C55EC">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HBV</w:t>
            </w:r>
          </w:p>
        </w:tc>
        <w:tc>
          <w:tcPr>
            <w:tcW w:w="1745" w:type="dxa"/>
          </w:tcPr>
          <w:p w14:paraId="70D19659">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HBV</w:t>
            </w:r>
          </w:p>
        </w:tc>
        <w:tc>
          <w:tcPr>
            <w:tcW w:w="1745" w:type="dxa"/>
          </w:tcPr>
          <w:p w14:paraId="3F8F8FD7">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HBV</w:t>
            </w:r>
          </w:p>
        </w:tc>
      </w:tr>
      <w:tr w14:paraId="4656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70D71143">
            <w:pPr>
              <w:widowControl/>
              <w:jc w:val="left"/>
              <w:rPr>
                <w:rFonts w:hint="eastAsia"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0"/>
                <w:szCs w:val="21"/>
                <w:lang w:bidi="ar"/>
              </w:rPr>
              <w:t>Serum AFP (ng/mL)</w:t>
            </w:r>
          </w:p>
        </w:tc>
        <w:tc>
          <w:tcPr>
            <w:tcW w:w="1744" w:type="dxa"/>
          </w:tcPr>
          <w:p w14:paraId="287F9979">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2.35</w:t>
            </w:r>
          </w:p>
        </w:tc>
        <w:tc>
          <w:tcPr>
            <w:tcW w:w="1745" w:type="dxa"/>
          </w:tcPr>
          <w:p w14:paraId="7948AD7F">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35469</w:t>
            </w:r>
          </w:p>
        </w:tc>
        <w:tc>
          <w:tcPr>
            <w:tcW w:w="1745" w:type="dxa"/>
          </w:tcPr>
          <w:p w14:paraId="53A59C59">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3.31</w:t>
            </w:r>
          </w:p>
        </w:tc>
        <w:tc>
          <w:tcPr>
            <w:tcW w:w="1745" w:type="dxa"/>
          </w:tcPr>
          <w:p w14:paraId="1FFFD886">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9.22</w:t>
            </w:r>
          </w:p>
        </w:tc>
        <w:tc>
          <w:tcPr>
            <w:tcW w:w="1745" w:type="dxa"/>
          </w:tcPr>
          <w:p w14:paraId="443B78A7">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131.6</w:t>
            </w:r>
          </w:p>
        </w:tc>
        <w:tc>
          <w:tcPr>
            <w:tcW w:w="1745" w:type="dxa"/>
          </w:tcPr>
          <w:p w14:paraId="36507270">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3.29</w:t>
            </w:r>
          </w:p>
        </w:tc>
        <w:tc>
          <w:tcPr>
            <w:tcW w:w="1745" w:type="dxa"/>
          </w:tcPr>
          <w:p w14:paraId="7297580D">
            <w:pPr>
              <w:widowControl/>
              <w:jc w:val="left"/>
              <w:rPr>
                <w:rFonts w:hint="default"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1.66</w:t>
            </w:r>
          </w:p>
        </w:tc>
      </w:tr>
      <w:tr w14:paraId="0FD2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4F88F732">
            <w:pPr>
              <w:widowControl/>
              <w:jc w:val="left"/>
              <w:rPr>
                <w:rFonts w:hint="eastAsia" w:ascii="Times New Roman" w:hAnsi="Times New Roman" w:eastAsia="宋体" w:cs="Times New Roman"/>
                <w:b/>
                <w:bCs/>
                <w:color w:val="000000"/>
                <w:kern w:val="0"/>
                <w:sz w:val="20"/>
                <w:szCs w:val="21"/>
                <w:lang w:bidi="ar"/>
              </w:rPr>
            </w:pPr>
            <w:r>
              <w:rPr>
                <w:rFonts w:ascii="Times New Roman" w:hAnsi="Times New Roman" w:eastAsia="宋体" w:cs="Times New Roman"/>
                <w:b/>
                <w:bCs/>
                <w:color w:val="000000"/>
                <w:kern w:val="0"/>
                <w:sz w:val="20"/>
                <w:szCs w:val="21"/>
                <w:lang w:bidi="ar"/>
              </w:rPr>
              <w:t>BCLC stage</w:t>
            </w:r>
          </w:p>
        </w:tc>
        <w:tc>
          <w:tcPr>
            <w:tcW w:w="1744" w:type="dxa"/>
          </w:tcPr>
          <w:p w14:paraId="5BABBDA5">
            <w:pPr>
              <w:widowControl/>
              <w:jc w:val="left"/>
              <w:rPr>
                <w:rFonts w:hint="eastAsia"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C</w:t>
            </w:r>
          </w:p>
        </w:tc>
        <w:tc>
          <w:tcPr>
            <w:tcW w:w="1745" w:type="dxa"/>
          </w:tcPr>
          <w:p w14:paraId="01034053">
            <w:pPr>
              <w:widowControl/>
              <w:jc w:val="left"/>
              <w:rPr>
                <w:rFonts w:hint="eastAsia"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C</w:t>
            </w:r>
          </w:p>
        </w:tc>
        <w:tc>
          <w:tcPr>
            <w:tcW w:w="1745" w:type="dxa"/>
          </w:tcPr>
          <w:p w14:paraId="76268BBE">
            <w:pPr>
              <w:widowControl/>
              <w:jc w:val="left"/>
              <w:rPr>
                <w:rFonts w:hint="eastAsia"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A</w:t>
            </w:r>
          </w:p>
        </w:tc>
        <w:tc>
          <w:tcPr>
            <w:tcW w:w="1745" w:type="dxa"/>
          </w:tcPr>
          <w:p w14:paraId="02E22D8C">
            <w:pPr>
              <w:widowControl/>
              <w:jc w:val="left"/>
              <w:rPr>
                <w:rFonts w:hint="eastAsia"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B</w:t>
            </w:r>
          </w:p>
        </w:tc>
        <w:tc>
          <w:tcPr>
            <w:tcW w:w="1745" w:type="dxa"/>
          </w:tcPr>
          <w:p w14:paraId="44EBB44F">
            <w:pPr>
              <w:widowControl/>
              <w:jc w:val="left"/>
              <w:rPr>
                <w:rFonts w:hint="eastAsia"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A</w:t>
            </w:r>
          </w:p>
        </w:tc>
        <w:tc>
          <w:tcPr>
            <w:tcW w:w="1745" w:type="dxa"/>
          </w:tcPr>
          <w:p w14:paraId="07D9EA6B">
            <w:pPr>
              <w:widowControl/>
              <w:jc w:val="left"/>
              <w:rPr>
                <w:rFonts w:hint="eastAsia" w:ascii="Times New Roman" w:hAnsi="Times New Roman" w:eastAsia="宋体" w:cs="Times New Roman"/>
                <w:color w:val="000000"/>
                <w:kern w:val="0"/>
                <w:sz w:val="20"/>
                <w:szCs w:val="21"/>
                <w:lang w:val="en-US" w:eastAsia="zh-CN" w:bidi="ar"/>
              </w:rPr>
            </w:pPr>
            <w:r>
              <w:rPr>
                <w:rFonts w:hint="eastAsia" w:ascii="Times New Roman" w:hAnsi="Times New Roman" w:eastAsia="宋体" w:cs="Times New Roman"/>
                <w:color w:val="000000"/>
                <w:kern w:val="0"/>
                <w:sz w:val="20"/>
                <w:szCs w:val="21"/>
                <w:lang w:val="en-US" w:eastAsia="zh-CN" w:bidi="ar"/>
              </w:rPr>
              <w:t>A</w:t>
            </w:r>
          </w:p>
        </w:tc>
        <w:tc>
          <w:tcPr>
            <w:tcW w:w="1745" w:type="dxa"/>
          </w:tcPr>
          <w:p w14:paraId="43333E62">
            <w:pPr>
              <w:widowControl/>
              <w:jc w:val="left"/>
              <w:rPr>
                <w:rFonts w:hint="eastAsia" w:ascii="Times New Roman" w:hAnsi="Times New Roman" w:eastAsia="宋体" w:cs="Times New Roman"/>
                <w:color w:val="000000"/>
                <w:kern w:val="0"/>
                <w:sz w:val="20"/>
                <w:szCs w:val="21"/>
                <w:lang w:bidi="ar"/>
              </w:rPr>
            </w:pPr>
            <w:r>
              <w:rPr>
                <w:rFonts w:ascii="Times New Roman" w:hAnsi="Times New Roman" w:eastAsia="宋体" w:cs="Times New Roman"/>
                <w:color w:val="000000"/>
                <w:kern w:val="0"/>
                <w:sz w:val="20"/>
                <w:szCs w:val="21"/>
                <w:lang w:bidi="ar"/>
              </w:rPr>
              <w:t>/</w:t>
            </w:r>
          </w:p>
        </w:tc>
      </w:tr>
      <w:tr w14:paraId="6F7E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3C94FB0C">
            <w:pPr>
              <w:widowControl/>
              <w:jc w:val="left"/>
              <w:textAlignment w:val="center"/>
              <w:rPr>
                <w:rFonts w:hint="eastAsia"/>
                <w:b/>
                <w:bCs/>
                <w:vertAlign w:val="baseline"/>
              </w:rPr>
            </w:pPr>
            <w:r>
              <w:rPr>
                <w:rFonts w:ascii="Times New Roman" w:hAnsi="Times New Roman" w:eastAsia="宋体" w:cs="Times New Roman"/>
                <w:b/>
                <w:bCs/>
                <w:color w:val="000000"/>
                <w:kern w:val="0"/>
                <w:sz w:val="20"/>
                <w:szCs w:val="21"/>
                <w:lang w:bidi="ar"/>
              </w:rPr>
              <w:t>Portal vein tumor thrombus (PVTT)</w:t>
            </w:r>
          </w:p>
        </w:tc>
        <w:tc>
          <w:tcPr>
            <w:tcW w:w="1744" w:type="dxa"/>
          </w:tcPr>
          <w:p w14:paraId="75910AC5">
            <w:pPr>
              <w:widowControl/>
              <w:jc w:val="left"/>
              <w:rPr>
                <w:rFonts w:hint="eastAsia"/>
                <w:vertAlign w:val="baseline"/>
              </w:rPr>
            </w:pPr>
            <w:r>
              <w:rPr>
                <w:rFonts w:ascii="Times New Roman" w:hAnsi="Times New Roman" w:eastAsia="宋体" w:cs="Times New Roman"/>
                <w:color w:val="000000"/>
                <w:kern w:val="0"/>
                <w:sz w:val="20"/>
                <w:szCs w:val="21"/>
                <w:lang w:bidi="ar"/>
              </w:rPr>
              <w:t>Right posterior superior branch</w:t>
            </w:r>
          </w:p>
        </w:tc>
        <w:tc>
          <w:tcPr>
            <w:tcW w:w="1745" w:type="dxa"/>
          </w:tcPr>
          <w:p w14:paraId="4192D582">
            <w:pPr>
              <w:widowControl/>
              <w:jc w:val="left"/>
              <w:rPr>
                <w:rFonts w:hint="eastAsia"/>
                <w:vertAlign w:val="baseline"/>
              </w:rPr>
            </w:pPr>
            <w:r>
              <w:rPr>
                <w:rFonts w:ascii="Times New Roman" w:hAnsi="Times New Roman" w:eastAsia="宋体" w:cs="Times New Roman"/>
                <w:color w:val="000000"/>
                <w:kern w:val="0"/>
                <w:sz w:val="20"/>
                <w:szCs w:val="21"/>
                <w:lang w:bidi="ar"/>
              </w:rPr>
              <w:t>Right posterior inferior branch</w:t>
            </w:r>
          </w:p>
        </w:tc>
        <w:tc>
          <w:tcPr>
            <w:tcW w:w="1745" w:type="dxa"/>
          </w:tcPr>
          <w:p w14:paraId="791CDB7E">
            <w:pPr>
              <w:widowControl/>
              <w:jc w:val="left"/>
              <w:rPr>
                <w:rFonts w:hint="eastAsia"/>
                <w:vertAlign w:val="baseline"/>
              </w:rPr>
            </w:pPr>
            <w:r>
              <w:rPr>
                <w:rFonts w:ascii="Times New Roman" w:hAnsi="Times New Roman" w:eastAsia="宋体" w:cs="Times New Roman"/>
                <w:color w:val="000000"/>
                <w:kern w:val="0"/>
                <w:sz w:val="20"/>
                <w:szCs w:val="21"/>
                <w:lang w:bidi="ar"/>
              </w:rPr>
              <w:t>/</w:t>
            </w:r>
          </w:p>
        </w:tc>
        <w:tc>
          <w:tcPr>
            <w:tcW w:w="1745" w:type="dxa"/>
          </w:tcPr>
          <w:p w14:paraId="4A35B7C5">
            <w:pPr>
              <w:widowControl/>
              <w:jc w:val="left"/>
              <w:rPr>
                <w:rFonts w:hint="eastAsia"/>
                <w:vertAlign w:val="baseline"/>
              </w:rPr>
            </w:pPr>
            <w:r>
              <w:rPr>
                <w:rFonts w:ascii="Times New Roman" w:hAnsi="Times New Roman" w:eastAsia="宋体" w:cs="Times New Roman"/>
                <w:color w:val="000000"/>
                <w:kern w:val="0"/>
                <w:sz w:val="20"/>
                <w:szCs w:val="21"/>
                <w:lang w:bidi="ar"/>
              </w:rPr>
              <w:t>/</w:t>
            </w:r>
          </w:p>
        </w:tc>
        <w:tc>
          <w:tcPr>
            <w:tcW w:w="1745" w:type="dxa"/>
          </w:tcPr>
          <w:p w14:paraId="371A7BCA">
            <w:pPr>
              <w:widowControl/>
              <w:jc w:val="left"/>
              <w:rPr>
                <w:rFonts w:hint="eastAsia"/>
                <w:vertAlign w:val="baseline"/>
              </w:rPr>
            </w:pPr>
            <w:r>
              <w:rPr>
                <w:rFonts w:ascii="Times New Roman" w:hAnsi="Times New Roman" w:eastAsia="宋体" w:cs="Times New Roman"/>
                <w:color w:val="000000"/>
                <w:kern w:val="0"/>
                <w:sz w:val="20"/>
                <w:szCs w:val="21"/>
                <w:lang w:bidi="ar"/>
              </w:rPr>
              <w:t>/</w:t>
            </w:r>
          </w:p>
        </w:tc>
        <w:tc>
          <w:tcPr>
            <w:tcW w:w="1745" w:type="dxa"/>
          </w:tcPr>
          <w:p w14:paraId="4F5AE8EA">
            <w:pPr>
              <w:widowControl/>
              <w:jc w:val="left"/>
              <w:rPr>
                <w:rFonts w:hint="eastAsia"/>
                <w:vertAlign w:val="baseline"/>
              </w:rPr>
            </w:pPr>
            <w:r>
              <w:rPr>
                <w:rFonts w:ascii="Times New Roman" w:hAnsi="Times New Roman" w:eastAsia="宋体" w:cs="Times New Roman"/>
                <w:color w:val="000000"/>
                <w:kern w:val="0"/>
                <w:sz w:val="20"/>
                <w:szCs w:val="21"/>
                <w:lang w:bidi="ar"/>
              </w:rPr>
              <w:t>/</w:t>
            </w:r>
          </w:p>
        </w:tc>
        <w:tc>
          <w:tcPr>
            <w:tcW w:w="1745" w:type="dxa"/>
          </w:tcPr>
          <w:p w14:paraId="4F5CE255">
            <w:pPr>
              <w:widowControl/>
              <w:jc w:val="left"/>
              <w:rPr>
                <w:rFonts w:hint="eastAsia"/>
                <w:vertAlign w:val="baseline"/>
              </w:rPr>
            </w:pPr>
            <w:r>
              <w:rPr>
                <w:rFonts w:ascii="Times New Roman" w:hAnsi="Times New Roman" w:eastAsia="宋体" w:cs="Times New Roman"/>
                <w:color w:val="000000"/>
                <w:kern w:val="0"/>
                <w:sz w:val="20"/>
                <w:szCs w:val="21"/>
                <w:lang w:bidi="ar"/>
              </w:rPr>
              <w:t>/</w:t>
            </w:r>
          </w:p>
        </w:tc>
      </w:tr>
      <w:tr w14:paraId="5EFB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23B8B2CC">
            <w:pPr>
              <w:widowControl/>
              <w:jc w:val="left"/>
              <w:textAlignment w:val="center"/>
              <w:rPr>
                <w:rFonts w:hint="eastAsia"/>
                <w:b/>
                <w:bCs/>
                <w:vertAlign w:val="baseline"/>
              </w:rPr>
            </w:pPr>
            <w:r>
              <w:rPr>
                <w:rFonts w:ascii="Times New Roman" w:hAnsi="Times New Roman" w:eastAsia="宋体" w:cs="Times New Roman"/>
                <w:b/>
                <w:bCs/>
                <w:color w:val="000000"/>
                <w:kern w:val="0"/>
                <w:sz w:val="20"/>
                <w:szCs w:val="21"/>
                <w:lang w:bidi="ar"/>
              </w:rPr>
              <w:t>Tumor size (cm)</w:t>
            </w:r>
          </w:p>
        </w:tc>
        <w:tc>
          <w:tcPr>
            <w:tcW w:w="1744" w:type="dxa"/>
          </w:tcPr>
          <w:p w14:paraId="331B5DC5">
            <w:pPr>
              <w:widowControl/>
              <w:jc w:val="left"/>
              <w:rPr>
                <w:rFonts w:hint="eastAsia"/>
                <w:vertAlign w:val="baseline"/>
              </w:rPr>
            </w:pPr>
            <w:r>
              <w:rPr>
                <w:rFonts w:ascii="Times New Roman" w:hAnsi="Times New Roman" w:eastAsia="宋体" w:cs="Times New Roman"/>
                <w:color w:val="000000"/>
                <w:kern w:val="0"/>
                <w:sz w:val="20"/>
                <w:szCs w:val="21"/>
                <w:lang w:bidi="ar"/>
              </w:rPr>
              <w:t>4.8 × 3.3</w:t>
            </w:r>
          </w:p>
        </w:tc>
        <w:tc>
          <w:tcPr>
            <w:tcW w:w="1745" w:type="dxa"/>
          </w:tcPr>
          <w:p w14:paraId="0E46A342">
            <w:pPr>
              <w:widowControl/>
              <w:jc w:val="left"/>
              <w:rPr>
                <w:rFonts w:hint="eastAsia"/>
                <w:vertAlign w:val="baseline"/>
              </w:rPr>
            </w:pPr>
            <w:r>
              <w:rPr>
                <w:rFonts w:ascii="Times New Roman" w:hAnsi="Times New Roman" w:eastAsia="宋体" w:cs="Times New Roman"/>
                <w:color w:val="000000"/>
                <w:kern w:val="0"/>
                <w:sz w:val="20"/>
                <w:szCs w:val="21"/>
                <w:lang w:bidi="ar"/>
              </w:rPr>
              <w:t>11.8 × 7.5</w:t>
            </w:r>
          </w:p>
        </w:tc>
        <w:tc>
          <w:tcPr>
            <w:tcW w:w="1745" w:type="dxa"/>
          </w:tcPr>
          <w:p w14:paraId="123E454C">
            <w:pPr>
              <w:widowControl/>
              <w:jc w:val="left"/>
              <w:rPr>
                <w:rFonts w:hint="eastAsia"/>
                <w:vertAlign w:val="baseline"/>
              </w:rPr>
            </w:pPr>
            <w:r>
              <w:rPr>
                <w:rFonts w:ascii="Times New Roman" w:hAnsi="Times New Roman" w:eastAsia="宋体" w:cs="Times New Roman"/>
                <w:color w:val="000000"/>
                <w:kern w:val="0"/>
                <w:sz w:val="20"/>
                <w:szCs w:val="21"/>
                <w:lang w:bidi="ar"/>
              </w:rPr>
              <w:t>6.2 × 5.5</w:t>
            </w:r>
          </w:p>
        </w:tc>
        <w:tc>
          <w:tcPr>
            <w:tcW w:w="1745" w:type="dxa"/>
          </w:tcPr>
          <w:p w14:paraId="7403EB51">
            <w:pPr>
              <w:widowControl/>
              <w:jc w:val="left"/>
              <w:rPr>
                <w:rFonts w:hint="eastAsia"/>
                <w:vertAlign w:val="baseline"/>
              </w:rPr>
            </w:pPr>
            <w:r>
              <w:rPr>
                <w:rFonts w:ascii="Times New Roman" w:hAnsi="Times New Roman" w:eastAsia="宋体" w:cs="Times New Roman"/>
                <w:color w:val="000000"/>
                <w:kern w:val="0"/>
                <w:sz w:val="20"/>
                <w:szCs w:val="21"/>
                <w:lang w:bidi="ar"/>
              </w:rPr>
              <w:t>3.5 × 2.7</w:t>
            </w:r>
          </w:p>
        </w:tc>
        <w:tc>
          <w:tcPr>
            <w:tcW w:w="1745" w:type="dxa"/>
          </w:tcPr>
          <w:p w14:paraId="6D469314">
            <w:pPr>
              <w:widowControl/>
              <w:jc w:val="left"/>
              <w:rPr>
                <w:rFonts w:hint="eastAsia"/>
                <w:vertAlign w:val="baseline"/>
              </w:rPr>
            </w:pPr>
            <w:r>
              <w:rPr>
                <w:rFonts w:ascii="Times New Roman" w:hAnsi="Times New Roman" w:eastAsia="宋体" w:cs="Times New Roman"/>
                <w:color w:val="000000"/>
                <w:kern w:val="0"/>
                <w:sz w:val="20"/>
                <w:szCs w:val="21"/>
                <w:lang w:bidi="ar"/>
              </w:rPr>
              <w:t>15.5 × 12.4</w:t>
            </w:r>
          </w:p>
        </w:tc>
        <w:tc>
          <w:tcPr>
            <w:tcW w:w="1745" w:type="dxa"/>
          </w:tcPr>
          <w:p w14:paraId="58AACCC6">
            <w:pPr>
              <w:widowControl/>
              <w:jc w:val="left"/>
              <w:rPr>
                <w:rFonts w:hint="eastAsia"/>
                <w:vertAlign w:val="baseline"/>
              </w:rPr>
            </w:pPr>
            <w:r>
              <w:rPr>
                <w:rFonts w:ascii="Times New Roman" w:hAnsi="Times New Roman" w:eastAsia="宋体" w:cs="Times New Roman"/>
                <w:color w:val="000000"/>
                <w:kern w:val="0"/>
                <w:sz w:val="20"/>
                <w:szCs w:val="21"/>
                <w:lang w:bidi="ar"/>
              </w:rPr>
              <w:t>3.1*1.8</w:t>
            </w:r>
          </w:p>
        </w:tc>
        <w:tc>
          <w:tcPr>
            <w:tcW w:w="1745" w:type="dxa"/>
          </w:tcPr>
          <w:p w14:paraId="2F9228BA">
            <w:pPr>
              <w:widowControl/>
              <w:jc w:val="left"/>
              <w:rPr>
                <w:rFonts w:hint="eastAsia"/>
                <w:vertAlign w:val="baseline"/>
              </w:rPr>
            </w:pPr>
            <w:r>
              <w:rPr>
                <w:rFonts w:ascii="Times New Roman" w:hAnsi="Times New Roman" w:eastAsia="宋体" w:cs="Times New Roman"/>
                <w:color w:val="000000"/>
                <w:kern w:val="0"/>
                <w:sz w:val="20"/>
                <w:szCs w:val="21"/>
                <w:lang w:bidi="ar"/>
              </w:rPr>
              <w:t>/</w:t>
            </w:r>
          </w:p>
        </w:tc>
      </w:tr>
      <w:tr w14:paraId="5744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4BBBE9F6">
            <w:pPr>
              <w:widowControl/>
              <w:jc w:val="left"/>
              <w:textAlignment w:val="center"/>
              <w:rPr>
                <w:rFonts w:hint="eastAsia"/>
                <w:b/>
                <w:bCs/>
                <w:vertAlign w:val="baseline"/>
              </w:rPr>
            </w:pPr>
            <w:r>
              <w:rPr>
                <w:rFonts w:ascii="Times New Roman" w:hAnsi="Times New Roman" w:eastAsia="宋体" w:cs="Times New Roman"/>
                <w:b/>
                <w:bCs/>
                <w:color w:val="000000"/>
                <w:kern w:val="0"/>
                <w:sz w:val="20"/>
                <w:szCs w:val="21"/>
                <w:lang w:bidi="ar"/>
              </w:rPr>
              <w:t>Edmondson-Steiner (ES) grade</w:t>
            </w:r>
          </w:p>
        </w:tc>
        <w:tc>
          <w:tcPr>
            <w:tcW w:w="1744" w:type="dxa"/>
          </w:tcPr>
          <w:p w14:paraId="5CF7386C">
            <w:pPr>
              <w:widowControl/>
              <w:jc w:val="left"/>
              <w:rPr>
                <w:rFonts w:hint="eastAsia"/>
                <w:vertAlign w:val="baseline"/>
              </w:rPr>
            </w:pPr>
            <w:r>
              <w:rPr>
                <w:rFonts w:ascii="Times New Roman" w:hAnsi="Times New Roman" w:eastAsia="宋体" w:cs="Times New Roman"/>
                <w:color w:val="000000"/>
                <w:kern w:val="0"/>
                <w:sz w:val="20"/>
                <w:szCs w:val="21"/>
                <w:lang w:bidi="ar"/>
              </w:rPr>
              <w:t>II</w:t>
            </w:r>
          </w:p>
        </w:tc>
        <w:tc>
          <w:tcPr>
            <w:tcW w:w="1745" w:type="dxa"/>
          </w:tcPr>
          <w:p w14:paraId="2AC3E5BD">
            <w:pPr>
              <w:widowControl/>
              <w:jc w:val="left"/>
              <w:rPr>
                <w:rFonts w:hint="eastAsia"/>
                <w:vertAlign w:val="baseline"/>
              </w:rPr>
            </w:pPr>
            <w:r>
              <w:rPr>
                <w:rFonts w:ascii="Times New Roman" w:hAnsi="Times New Roman" w:eastAsia="宋体" w:cs="Times New Roman"/>
                <w:color w:val="000000"/>
                <w:kern w:val="0"/>
                <w:sz w:val="20"/>
                <w:szCs w:val="21"/>
                <w:lang w:bidi="ar"/>
              </w:rPr>
              <w:t>III-IV</w:t>
            </w:r>
          </w:p>
        </w:tc>
        <w:tc>
          <w:tcPr>
            <w:tcW w:w="1745" w:type="dxa"/>
          </w:tcPr>
          <w:p w14:paraId="40839A1B">
            <w:pPr>
              <w:widowControl/>
              <w:jc w:val="left"/>
              <w:rPr>
                <w:rFonts w:hint="eastAsia"/>
                <w:vertAlign w:val="baseline"/>
              </w:rPr>
            </w:pPr>
            <w:r>
              <w:rPr>
                <w:rFonts w:ascii="Times New Roman" w:hAnsi="Times New Roman" w:eastAsia="宋体" w:cs="Times New Roman"/>
                <w:color w:val="000000"/>
                <w:kern w:val="0"/>
                <w:sz w:val="20"/>
                <w:szCs w:val="21"/>
                <w:lang w:bidi="ar"/>
              </w:rPr>
              <w:t>II</w:t>
            </w:r>
          </w:p>
        </w:tc>
        <w:tc>
          <w:tcPr>
            <w:tcW w:w="1745" w:type="dxa"/>
          </w:tcPr>
          <w:p w14:paraId="27037A69">
            <w:pPr>
              <w:widowControl/>
              <w:jc w:val="left"/>
              <w:rPr>
                <w:rFonts w:hint="eastAsia"/>
                <w:vertAlign w:val="baseline"/>
              </w:rPr>
            </w:pPr>
            <w:r>
              <w:rPr>
                <w:rFonts w:ascii="Times New Roman" w:hAnsi="Times New Roman" w:eastAsia="宋体" w:cs="Times New Roman"/>
                <w:color w:val="000000"/>
                <w:kern w:val="0"/>
                <w:sz w:val="20"/>
                <w:szCs w:val="21"/>
                <w:lang w:bidi="ar"/>
              </w:rPr>
              <w:t>II</w:t>
            </w:r>
          </w:p>
        </w:tc>
        <w:tc>
          <w:tcPr>
            <w:tcW w:w="1745" w:type="dxa"/>
          </w:tcPr>
          <w:p w14:paraId="3E309A37">
            <w:pPr>
              <w:widowControl/>
              <w:jc w:val="left"/>
              <w:rPr>
                <w:rFonts w:hint="eastAsia"/>
                <w:vertAlign w:val="baseline"/>
              </w:rPr>
            </w:pPr>
            <w:r>
              <w:rPr>
                <w:rFonts w:ascii="Times New Roman" w:hAnsi="Times New Roman" w:eastAsia="宋体" w:cs="Times New Roman"/>
                <w:color w:val="000000"/>
                <w:kern w:val="0"/>
                <w:sz w:val="20"/>
                <w:szCs w:val="21"/>
                <w:lang w:bidi="ar"/>
              </w:rPr>
              <w:t>II-III</w:t>
            </w:r>
          </w:p>
        </w:tc>
        <w:tc>
          <w:tcPr>
            <w:tcW w:w="1745" w:type="dxa"/>
          </w:tcPr>
          <w:p w14:paraId="410EC54D">
            <w:pPr>
              <w:widowControl/>
              <w:jc w:val="left"/>
              <w:rPr>
                <w:rFonts w:hint="eastAsia"/>
                <w:vertAlign w:val="baseline"/>
              </w:rPr>
            </w:pPr>
            <w:r>
              <w:rPr>
                <w:rFonts w:ascii="Times New Roman" w:hAnsi="Times New Roman" w:eastAsia="宋体" w:cs="Times New Roman"/>
                <w:color w:val="000000"/>
                <w:kern w:val="0"/>
                <w:sz w:val="20"/>
                <w:szCs w:val="21"/>
                <w:lang w:bidi="ar"/>
              </w:rPr>
              <w:t>II</w:t>
            </w:r>
          </w:p>
        </w:tc>
        <w:tc>
          <w:tcPr>
            <w:tcW w:w="1745" w:type="dxa"/>
          </w:tcPr>
          <w:p w14:paraId="200AA22C">
            <w:pPr>
              <w:widowControl/>
              <w:jc w:val="left"/>
              <w:rPr>
                <w:rFonts w:hint="eastAsia"/>
                <w:vertAlign w:val="baseline"/>
              </w:rPr>
            </w:pPr>
            <w:r>
              <w:rPr>
                <w:rFonts w:ascii="Times New Roman" w:hAnsi="Times New Roman" w:eastAsia="宋体" w:cs="Times New Roman"/>
                <w:color w:val="000000"/>
                <w:kern w:val="0"/>
                <w:sz w:val="20"/>
                <w:szCs w:val="21"/>
                <w:lang w:bidi="ar"/>
              </w:rPr>
              <w:t>/</w:t>
            </w:r>
          </w:p>
        </w:tc>
      </w:tr>
      <w:tr w14:paraId="39EA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24E2E4EF">
            <w:pPr>
              <w:widowControl/>
              <w:jc w:val="left"/>
              <w:textAlignment w:val="center"/>
              <w:rPr>
                <w:rFonts w:hint="eastAsia"/>
                <w:b/>
                <w:bCs/>
                <w:vertAlign w:val="baseline"/>
              </w:rPr>
            </w:pPr>
            <w:r>
              <w:rPr>
                <w:rFonts w:ascii="Times New Roman" w:hAnsi="Times New Roman" w:eastAsia="宋体" w:cs="Times New Roman"/>
                <w:b/>
                <w:bCs/>
                <w:color w:val="000000"/>
                <w:kern w:val="0"/>
                <w:sz w:val="20"/>
                <w:szCs w:val="21"/>
                <w:lang w:bidi="ar"/>
              </w:rPr>
              <w:t>Microvascular density (MVD, HFP)</w:t>
            </w:r>
          </w:p>
        </w:tc>
        <w:tc>
          <w:tcPr>
            <w:tcW w:w="1744" w:type="dxa"/>
          </w:tcPr>
          <w:p w14:paraId="0A94F25C">
            <w:pPr>
              <w:widowControl/>
              <w:jc w:val="left"/>
              <w:rPr>
                <w:rFonts w:hint="eastAsia"/>
                <w:vertAlign w:val="baseline"/>
              </w:rPr>
            </w:pPr>
            <w:r>
              <w:rPr>
                <w:rFonts w:ascii="Times New Roman" w:hAnsi="Times New Roman" w:eastAsia="宋体" w:cs="Times New Roman"/>
                <w:color w:val="000000"/>
                <w:kern w:val="0"/>
                <w:sz w:val="20"/>
                <w:szCs w:val="21"/>
                <w:lang w:bidi="ar"/>
              </w:rPr>
              <w:t>&gt;50</w:t>
            </w:r>
          </w:p>
        </w:tc>
        <w:tc>
          <w:tcPr>
            <w:tcW w:w="1745" w:type="dxa"/>
          </w:tcPr>
          <w:p w14:paraId="11882EF9">
            <w:pPr>
              <w:widowControl/>
              <w:jc w:val="left"/>
              <w:rPr>
                <w:rFonts w:hint="eastAsia"/>
                <w:vertAlign w:val="baseline"/>
              </w:rPr>
            </w:pPr>
            <w:r>
              <w:rPr>
                <w:rFonts w:ascii="Times New Roman" w:hAnsi="Times New Roman" w:eastAsia="宋体" w:cs="Times New Roman"/>
                <w:color w:val="000000"/>
                <w:kern w:val="0"/>
                <w:sz w:val="20"/>
                <w:szCs w:val="21"/>
                <w:lang w:bidi="ar"/>
              </w:rPr>
              <w:t>&lt;50</w:t>
            </w:r>
          </w:p>
        </w:tc>
        <w:tc>
          <w:tcPr>
            <w:tcW w:w="1745" w:type="dxa"/>
          </w:tcPr>
          <w:p w14:paraId="36B87F83">
            <w:pPr>
              <w:widowControl/>
              <w:jc w:val="left"/>
              <w:rPr>
                <w:rFonts w:hint="eastAsia"/>
                <w:vertAlign w:val="baseline"/>
              </w:rPr>
            </w:pPr>
            <w:r>
              <w:rPr>
                <w:rFonts w:ascii="Times New Roman" w:hAnsi="Times New Roman" w:eastAsia="宋体" w:cs="Times New Roman"/>
                <w:color w:val="000000"/>
                <w:kern w:val="0"/>
                <w:sz w:val="20"/>
                <w:szCs w:val="21"/>
                <w:lang w:bidi="ar"/>
              </w:rPr>
              <w:t>&gt;200</w:t>
            </w:r>
          </w:p>
        </w:tc>
        <w:tc>
          <w:tcPr>
            <w:tcW w:w="1745" w:type="dxa"/>
          </w:tcPr>
          <w:p w14:paraId="5D788701">
            <w:pPr>
              <w:widowControl/>
              <w:jc w:val="left"/>
              <w:rPr>
                <w:rFonts w:hint="eastAsia"/>
                <w:vertAlign w:val="baseline"/>
              </w:rPr>
            </w:pPr>
            <w:r>
              <w:rPr>
                <w:rFonts w:ascii="Times New Roman" w:hAnsi="Times New Roman" w:eastAsia="宋体" w:cs="Times New Roman"/>
                <w:color w:val="000000"/>
                <w:kern w:val="0"/>
                <w:sz w:val="20"/>
                <w:szCs w:val="21"/>
                <w:lang w:bidi="ar"/>
              </w:rPr>
              <w:t>&gt;50</w:t>
            </w:r>
          </w:p>
        </w:tc>
        <w:tc>
          <w:tcPr>
            <w:tcW w:w="1745" w:type="dxa"/>
          </w:tcPr>
          <w:p w14:paraId="3EE655B4">
            <w:pPr>
              <w:widowControl/>
              <w:jc w:val="left"/>
              <w:rPr>
                <w:rFonts w:hint="eastAsia"/>
                <w:vertAlign w:val="baseline"/>
              </w:rPr>
            </w:pPr>
            <w:r>
              <w:rPr>
                <w:rFonts w:ascii="Times New Roman" w:hAnsi="Times New Roman" w:eastAsia="宋体" w:cs="Times New Roman"/>
                <w:color w:val="000000"/>
                <w:kern w:val="0"/>
                <w:sz w:val="20"/>
                <w:szCs w:val="21"/>
                <w:lang w:bidi="ar"/>
              </w:rPr>
              <w:t>&gt;50</w:t>
            </w:r>
          </w:p>
        </w:tc>
        <w:tc>
          <w:tcPr>
            <w:tcW w:w="1745" w:type="dxa"/>
          </w:tcPr>
          <w:p w14:paraId="3CC36739">
            <w:pPr>
              <w:widowControl/>
              <w:jc w:val="left"/>
              <w:rPr>
                <w:rFonts w:hint="eastAsia"/>
                <w:vertAlign w:val="baseline"/>
              </w:rPr>
            </w:pPr>
            <w:r>
              <w:rPr>
                <w:rFonts w:ascii="Times New Roman" w:hAnsi="Times New Roman" w:eastAsia="宋体" w:cs="Times New Roman"/>
                <w:color w:val="000000"/>
                <w:kern w:val="0"/>
                <w:sz w:val="20"/>
                <w:szCs w:val="21"/>
                <w:lang w:bidi="ar"/>
              </w:rPr>
              <w:t>&lt;50</w:t>
            </w:r>
          </w:p>
        </w:tc>
        <w:tc>
          <w:tcPr>
            <w:tcW w:w="1745" w:type="dxa"/>
          </w:tcPr>
          <w:p w14:paraId="378C8125">
            <w:pPr>
              <w:widowControl/>
              <w:jc w:val="left"/>
              <w:rPr>
                <w:rFonts w:hint="eastAsia"/>
                <w:vertAlign w:val="baseline"/>
              </w:rPr>
            </w:pPr>
            <w:r>
              <w:rPr>
                <w:rFonts w:ascii="Times New Roman" w:hAnsi="Times New Roman" w:eastAsia="宋体" w:cs="Times New Roman"/>
                <w:color w:val="000000"/>
                <w:kern w:val="0"/>
                <w:sz w:val="20"/>
                <w:szCs w:val="21"/>
                <w:lang w:bidi="ar"/>
              </w:rPr>
              <w:t>/</w:t>
            </w:r>
          </w:p>
        </w:tc>
      </w:tr>
      <w:tr w14:paraId="1084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5F305B00">
            <w:pPr>
              <w:widowControl/>
              <w:jc w:val="left"/>
              <w:textAlignment w:val="center"/>
              <w:rPr>
                <w:rFonts w:hint="eastAsia"/>
                <w:b/>
                <w:bCs/>
                <w:vertAlign w:val="baseline"/>
              </w:rPr>
            </w:pPr>
            <w:r>
              <w:rPr>
                <w:rFonts w:ascii="Times New Roman" w:hAnsi="Times New Roman" w:eastAsia="宋体" w:cs="Times New Roman"/>
                <w:b/>
                <w:bCs/>
                <w:color w:val="000000"/>
                <w:kern w:val="0"/>
                <w:sz w:val="20"/>
                <w:szCs w:val="21"/>
                <w:lang w:bidi="ar"/>
              </w:rPr>
              <w:t>Single cell count</w:t>
            </w:r>
          </w:p>
        </w:tc>
        <w:tc>
          <w:tcPr>
            <w:tcW w:w="1744" w:type="dxa"/>
          </w:tcPr>
          <w:p w14:paraId="5E8073E3">
            <w:pPr>
              <w:widowControl/>
              <w:jc w:val="left"/>
              <w:rPr>
                <w:rFonts w:hint="default" w:eastAsiaTheme="minorEastAsia"/>
                <w:vertAlign w:val="baseline"/>
                <w:lang w:val="en-US" w:eastAsia="zh-CN"/>
              </w:rPr>
            </w:pPr>
            <w:r>
              <w:rPr>
                <w:rFonts w:hint="eastAsia"/>
                <w:vertAlign w:val="baseline"/>
                <w:lang w:val="en-US" w:eastAsia="zh-CN"/>
              </w:rPr>
              <w:t>9854</w:t>
            </w:r>
          </w:p>
        </w:tc>
        <w:tc>
          <w:tcPr>
            <w:tcW w:w="1745" w:type="dxa"/>
          </w:tcPr>
          <w:p w14:paraId="4223EE50">
            <w:pPr>
              <w:widowControl/>
              <w:jc w:val="left"/>
              <w:rPr>
                <w:rFonts w:hint="default" w:eastAsiaTheme="minorEastAsia"/>
                <w:vertAlign w:val="baseline"/>
                <w:lang w:val="en-US" w:eastAsia="zh-CN"/>
              </w:rPr>
            </w:pPr>
            <w:r>
              <w:rPr>
                <w:rFonts w:hint="eastAsia"/>
                <w:vertAlign w:val="baseline"/>
                <w:lang w:val="en-US" w:eastAsia="zh-CN"/>
              </w:rPr>
              <w:t>10452</w:t>
            </w:r>
          </w:p>
        </w:tc>
        <w:tc>
          <w:tcPr>
            <w:tcW w:w="1745" w:type="dxa"/>
          </w:tcPr>
          <w:p w14:paraId="6987BE69">
            <w:pPr>
              <w:widowControl/>
              <w:jc w:val="left"/>
              <w:rPr>
                <w:rFonts w:hint="default" w:eastAsiaTheme="minorEastAsia"/>
                <w:vertAlign w:val="baseline"/>
                <w:lang w:val="en-US" w:eastAsia="zh-CN"/>
              </w:rPr>
            </w:pPr>
            <w:r>
              <w:rPr>
                <w:rFonts w:hint="eastAsia"/>
                <w:vertAlign w:val="baseline"/>
                <w:lang w:val="en-US" w:eastAsia="zh-CN"/>
              </w:rPr>
              <w:t>10840</w:t>
            </w:r>
          </w:p>
        </w:tc>
        <w:tc>
          <w:tcPr>
            <w:tcW w:w="1745" w:type="dxa"/>
          </w:tcPr>
          <w:p w14:paraId="4EA8A087">
            <w:pPr>
              <w:widowControl/>
              <w:jc w:val="left"/>
              <w:rPr>
                <w:rFonts w:hint="default" w:eastAsiaTheme="minorEastAsia"/>
                <w:vertAlign w:val="baseline"/>
                <w:lang w:val="en-US" w:eastAsia="zh-CN"/>
              </w:rPr>
            </w:pPr>
            <w:r>
              <w:rPr>
                <w:rFonts w:hint="eastAsia"/>
                <w:vertAlign w:val="baseline"/>
                <w:lang w:val="en-US" w:eastAsia="zh-CN"/>
              </w:rPr>
              <w:t>11217</w:t>
            </w:r>
          </w:p>
        </w:tc>
        <w:tc>
          <w:tcPr>
            <w:tcW w:w="1745" w:type="dxa"/>
          </w:tcPr>
          <w:p w14:paraId="7A04CE13">
            <w:pPr>
              <w:widowControl/>
              <w:jc w:val="left"/>
              <w:rPr>
                <w:rFonts w:hint="default" w:eastAsiaTheme="minorEastAsia"/>
                <w:vertAlign w:val="baseline"/>
                <w:lang w:val="en-US" w:eastAsia="zh-CN"/>
              </w:rPr>
            </w:pPr>
            <w:r>
              <w:rPr>
                <w:rFonts w:hint="eastAsia"/>
                <w:vertAlign w:val="baseline"/>
                <w:lang w:val="en-US" w:eastAsia="zh-CN"/>
              </w:rPr>
              <w:t>8534</w:t>
            </w:r>
          </w:p>
        </w:tc>
        <w:tc>
          <w:tcPr>
            <w:tcW w:w="1745" w:type="dxa"/>
          </w:tcPr>
          <w:p w14:paraId="5BF61C8F">
            <w:pPr>
              <w:widowControl/>
              <w:jc w:val="left"/>
              <w:rPr>
                <w:rFonts w:hint="default" w:eastAsiaTheme="minorEastAsia"/>
                <w:vertAlign w:val="baseline"/>
                <w:lang w:val="en-US" w:eastAsia="zh-CN"/>
              </w:rPr>
            </w:pPr>
            <w:r>
              <w:rPr>
                <w:rFonts w:hint="eastAsia"/>
                <w:vertAlign w:val="baseline"/>
                <w:lang w:val="en-US" w:eastAsia="zh-CN"/>
              </w:rPr>
              <w:t>9370</w:t>
            </w:r>
          </w:p>
        </w:tc>
        <w:tc>
          <w:tcPr>
            <w:tcW w:w="1745" w:type="dxa"/>
          </w:tcPr>
          <w:p w14:paraId="1C240A68">
            <w:pPr>
              <w:widowControl/>
              <w:jc w:val="left"/>
              <w:rPr>
                <w:rFonts w:hint="default" w:eastAsiaTheme="minorEastAsia"/>
                <w:vertAlign w:val="baseline"/>
                <w:lang w:val="en-US" w:eastAsia="zh-CN"/>
              </w:rPr>
            </w:pPr>
            <w:r>
              <w:rPr>
                <w:rFonts w:hint="eastAsia"/>
                <w:vertAlign w:val="baseline"/>
                <w:lang w:val="en-US" w:eastAsia="zh-CN"/>
              </w:rPr>
              <w:t>11899</w:t>
            </w:r>
          </w:p>
        </w:tc>
      </w:tr>
      <w:tr w14:paraId="4800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44" w:type="dxa"/>
            <w:vAlign w:val="center"/>
          </w:tcPr>
          <w:p w14:paraId="2F95090F">
            <w:pPr>
              <w:widowControl/>
              <w:jc w:val="left"/>
              <w:textAlignment w:val="center"/>
              <w:rPr>
                <w:rFonts w:hint="eastAsia"/>
                <w:b/>
                <w:bCs/>
                <w:vertAlign w:val="baseline"/>
              </w:rPr>
            </w:pPr>
            <w:r>
              <w:rPr>
                <w:rFonts w:ascii="Times New Roman" w:hAnsi="Times New Roman" w:eastAsia="宋体" w:cs="Times New Roman"/>
                <w:b/>
                <w:bCs/>
                <w:color w:val="000000"/>
                <w:kern w:val="0"/>
                <w:sz w:val="20"/>
                <w:szCs w:val="21"/>
                <w:lang w:bidi="ar"/>
              </w:rPr>
              <w:t>Spatial transcriptome spots</w:t>
            </w:r>
          </w:p>
        </w:tc>
        <w:tc>
          <w:tcPr>
            <w:tcW w:w="1744" w:type="dxa"/>
          </w:tcPr>
          <w:p w14:paraId="69F7F692">
            <w:pPr>
              <w:widowControl/>
              <w:jc w:val="left"/>
              <w:rPr>
                <w:rFonts w:hint="default" w:eastAsiaTheme="minorEastAsia"/>
                <w:vertAlign w:val="baseline"/>
                <w:lang w:val="en-US" w:eastAsia="zh-CN"/>
              </w:rPr>
            </w:pPr>
            <w:r>
              <w:rPr>
                <w:rFonts w:hint="eastAsia"/>
                <w:vertAlign w:val="baseline"/>
                <w:lang w:val="en-US" w:eastAsia="zh-CN"/>
              </w:rPr>
              <w:t>3320</w:t>
            </w:r>
          </w:p>
        </w:tc>
        <w:tc>
          <w:tcPr>
            <w:tcW w:w="1745" w:type="dxa"/>
          </w:tcPr>
          <w:p w14:paraId="2FF70BED">
            <w:pPr>
              <w:widowControl/>
              <w:jc w:val="left"/>
              <w:rPr>
                <w:rFonts w:hint="default" w:eastAsiaTheme="minorEastAsia"/>
                <w:vertAlign w:val="baseline"/>
                <w:lang w:val="en-US" w:eastAsia="zh-CN"/>
              </w:rPr>
            </w:pPr>
            <w:r>
              <w:rPr>
                <w:rFonts w:hint="eastAsia"/>
                <w:vertAlign w:val="baseline"/>
                <w:lang w:val="en-US" w:eastAsia="zh-CN"/>
              </w:rPr>
              <w:t>2811</w:t>
            </w:r>
          </w:p>
        </w:tc>
        <w:tc>
          <w:tcPr>
            <w:tcW w:w="1745" w:type="dxa"/>
          </w:tcPr>
          <w:p w14:paraId="163FA72D">
            <w:pPr>
              <w:widowControl/>
              <w:jc w:val="left"/>
              <w:rPr>
                <w:rFonts w:hint="eastAsia" w:eastAsiaTheme="minorEastAsia"/>
                <w:vertAlign w:val="baseline"/>
                <w:lang w:val="en-US" w:eastAsia="zh-CN"/>
              </w:rPr>
            </w:pPr>
            <w:r>
              <w:rPr>
                <w:rFonts w:hint="eastAsia"/>
                <w:vertAlign w:val="baseline"/>
                <w:lang w:val="en-US" w:eastAsia="zh-CN"/>
              </w:rPr>
              <w:t>/</w:t>
            </w:r>
          </w:p>
        </w:tc>
        <w:tc>
          <w:tcPr>
            <w:tcW w:w="1745" w:type="dxa"/>
          </w:tcPr>
          <w:p w14:paraId="21703060">
            <w:pPr>
              <w:widowControl/>
              <w:jc w:val="left"/>
              <w:rPr>
                <w:rFonts w:hint="default" w:eastAsiaTheme="minorEastAsia"/>
                <w:vertAlign w:val="baseline"/>
                <w:lang w:val="en-US" w:eastAsia="zh-CN"/>
              </w:rPr>
            </w:pPr>
            <w:r>
              <w:rPr>
                <w:rFonts w:hint="eastAsia"/>
                <w:vertAlign w:val="baseline"/>
                <w:lang w:val="en-US" w:eastAsia="zh-CN"/>
              </w:rPr>
              <w:t>2461</w:t>
            </w:r>
          </w:p>
        </w:tc>
        <w:tc>
          <w:tcPr>
            <w:tcW w:w="1745" w:type="dxa"/>
          </w:tcPr>
          <w:p w14:paraId="2FB86C9C">
            <w:pPr>
              <w:widowControl/>
              <w:jc w:val="left"/>
              <w:rPr>
                <w:rFonts w:hint="default" w:eastAsiaTheme="minorEastAsia"/>
                <w:vertAlign w:val="baseline"/>
                <w:lang w:val="en-US" w:eastAsia="zh-CN"/>
              </w:rPr>
            </w:pPr>
            <w:r>
              <w:rPr>
                <w:rFonts w:hint="eastAsia"/>
                <w:vertAlign w:val="baseline"/>
                <w:lang w:val="en-US" w:eastAsia="zh-CN"/>
              </w:rPr>
              <w:t>4046</w:t>
            </w:r>
          </w:p>
        </w:tc>
        <w:tc>
          <w:tcPr>
            <w:tcW w:w="1745" w:type="dxa"/>
          </w:tcPr>
          <w:p w14:paraId="3B996C4D">
            <w:pPr>
              <w:widowControl/>
              <w:jc w:val="left"/>
              <w:rPr>
                <w:rFonts w:hint="default" w:eastAsiaTheme="minorEastAsia"/>
                <w:vertAlign w:val="baseline"/>
                <w:lang w:val="en-US" w:eastAsia="zh-CN"/>
              </w:rPr>
            </w:pPr>
            <w:r>
              <w:rPr>
                <w:rFonts w:hint="eastAsia"/>
                <w:vertAlign w:val="baseline"/>
                <w:lang w:val="en-US" w:eastAsia="zh-CN"/>
              </w:rPr>
              <w:t>2408</w:t>
            </w:r>
          </w:p>
        </w:tc>
        <w:tc>
          <w:tcPr>
            <w:tcW w:w="1745" w:type="dxa"/>
          </w:tcPr>
          <w:p w14:paraId="04F5A329">
            <w:pPr>
              <w:widowControl/>
              <w:jc w:val="left"/>
              <w:rPr>
                <w:rFonts w:hint="eastAsia" w:eastAsiaTheme="minorEastAsia"/>
                <w:vertAlign w:val="baseline"/>
                <w:lang w:val="en-US" w:eastAsia="zh-CN"/>
              </w:rPr>
            </w:pPr>
            <w:r>
              <w:rPr>
                <w:rFonts w:hint="eastAsia"/>
                <w:vertAlign w:val="baseline"/>
                <w:lang w:val="en-US" w:eastAsia="zh-CN"/>
              </w:rPr>
              <w:t>/</w:t>
            </w:r>
          </w:p>
        </w:tc>
      </w:tr>
    </w:tbl>
    <w:p w14:paraId="0DF7F1D2">
      <w:pPr>
        <w:spacing w:line="480" w:lineRule="auto"/>
        <w:rPr>
          <w:rFonts w:ascii="Times New Roman" w:hAnsi="Times New Roman" w:eastAsia="宋体" w:cs="Times New Roman"/>
          <w:szCs w:val="21"/>
        </w:rPr>
      </w:pPr>
      <w:r>
        <w:rPr>
          <w:rFonts w:ascii="Times New Roman" w:hAnsi="Times New Roman" w:eastAsia="宋体" w:cs="Times New Roman"/>
          <w:szCs w:val="21"/>
        </w:rPr>
        <w:t>Abbreviations: HCC, hepatocellular carcinoma; ER, early recurrence (recurrence within 12 months); NER, non-early recurrence; M, male; F, female; MVI, microvascular invasion; BCLC, Barcelona Clinic Liver Cancer; WD, well-differentiated; MD, moderately differentiated; PD, poorly differentiated.</w:t>
      </w:r>
    </w:p>
    <w:p w14:paraId="55F84A4E">
      <w:pPr>
        <w:widowControl/>
        <w:jc w:val="left"/>
        <w:rPr>
          <w:rFonts w:hint="eastAsia"/>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F71"/>
    <w:rsid w:val="000A28B0"/>
    <w:rsid w:val="001362AD"/>
    <w:rsid w:val="00261380"/>
    <w:rsid w:val="004A6B81"/>
    <w:rsid w:val="00624D29"/>
    <w:rsid w:val="006C7F45"/>
    <w:rsid w:val="00A65F71"/>
    <w:rsid w:val="00C047B5"/>
    <w:rsid w:val="00EE6337"/>
    <w:rsid w:val="00FE6E44"/>
    <w:rsid w:val="32543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1"/>
    <w:semiHidden/>
    <w:unhideWhenUsed/>
    <w:qFormat/>
    <w:uiPriority w:val="9"/>
    <w:pPr>
      <w:keepNext/>
      <w:keepLines/>
      <w:spacing w:before="40"/>
      <w:outlineLvl w:val="5"/>
    </w:pPr>
    <w:rPr>
      <w:rFonts w:cstheme="majorBidi"/>
      <w:b/>
      <w:bCs/>
      <w:color w:val="104862" w:themeColor="accent1" w:themeShade="BF"/>
      <w:szCs w:val="22"/>
    </w:rPr>
  </w:style>
  <w:style w:type="paragraph" w:styleId="8">
    <w:name w:val="heading 7"/>
    <w:basedOn w:val="1"/>
    <w:next w:val="1"/>
    <w:link w:val="22"/>
    <w:semiHidden/>
    <w:unhideWhenUsed/>
    <w:qFormat/>
    <w:uiPriority w:val="9"/>
    <w:pPr>
      <w:keepNext/>
      <w:keepLines/>
      <w:spacing w:before="40"/>
      <w:outlineLvl w:val="6"/>
    </w:pPr>
    <w:rPr>
      <w:rFonts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outlineLvl w:val="7"/>
    </w:pPr>
    <w:rPr>
      <w:rFonts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outlineLvl w:val="8"/>
    </w:pPr>
    <w:rPr>
      <w:rFonts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4">
    <w:name w:val="Table Grid"/>
    <w:basedOn w:val="1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qFormat/>
    <w:uiPriority w:val="9"/>
    <w:rPr>
      <w:rFonts w:cstheme="majorBidi"/>
      <w:color w:val="104862" w:themeColor="accent1" w:themeShade="BF"/>
      <w:sz w:val="28"/>
      <w:szCs w:val="28"/>
    </w:rPr>
  </w:style>
  <w:style w:type="character" w:customStyle="1" w:styleId="20">
    <w:name w:val="标题 5 字符"/>
    <w:basedOn w:val="15"/>
    <w:link w:val="6"/>
    <w:semiHidden/>
    <w:qFormat/>
    <w:uiPriority w:val="9"/>
    <w:rPr>
      <w:rFonts w:cstheme="majorBidi"/>
      <w:color w:val="104862" w:themeColor="accent1" w:themeShade="BF"/>
      <w:sz w:val="24"/>
      <w:szCs w:val="24"/>
    </w:rPr>
  </w:style>
  <w:style w:type="character" w:customStyle="1" w:styleId="21">
    <w:name w:val="标题 6 字符"/>
    <w:basedOn w:val="15"/>
    <w:link w:val="7"/>
    <w:semiHidden/>
    <w:qFormat/>
    <w:uiPriority w:val="9"/>
    <w:rPr>
      <w:rFonts w:cstheme="majorBidi"/>
      <w:b/>
      <w:bCs/>
      <w:color w:val="104862"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szCs w:val="22"/>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rPr>
      <w:szCs w:val="22"/>
    </w:r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szCs w:val="22"/>
    </w:rPr>
  </w:style>
  <w:style w:type="character" w:customStyle="1" w:styleId="32">
    <w:name w:val="明显引用 字符"/>
    <w:basedOn w:val="15"/>
    <w:link w:val="31"/>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1141</Words>
  <Characters>7964</Characters>
  <Lines>96</Lines>
  <Paragraphs>27</Paragraphs>
  <TotalTime>83</TotalTime>
  <ScaleCrop>false</ScaleCrop>
  <LinksUpToDate>false</LinksUpToDate>
  <CharactersWithSpaces>8821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2026-04-08T03:00:00Z</dcterms:created>
  <dc:creator>Haoyu Zeng</dc:creator>
  <cp:lastModifiedBy>李汶冰</cp:lastModifiedBy>
  <dcterms:modified xsi:type="dcterms:W3CDTF">2026-04-25T13:05:17Z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eyJoZGlkIjoiYWYzNWZiZDlkODE0YjI2Y2Q3NWQ3YTY5NDRlZjc5MGUiLCJ1c2VySWQiOiI2Njg2MzAxMTYifQ==</vt:lpwstr>
  </property>
  <property fmtid="{D5CDD505-2E9C-101B-9397-08002B2CF9AE}" pid="3" name="KSOProductBuildVer">
    <vt:lpwstr>2052-12.1.0.25865</vt:lpwstr>
  </property>
  <property fmtid="{D5CDD505-2E9C-101B-9397-08002B2CF9AE}" pid="4" name="ICV">
    <vt:lpwstr>C29C9F7199E44D3AB7306AAF44A68650_13</vt:lpwstr>
  </property>
</Properties>
</file>