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12364" w14:textId="27DAC5DD"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Methods</w:t>
      </w:r>
    </w:p>
    <w:p w14:paraId="3907AFE8" w14:textId="31F20D9E"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Patient and tissue specimen collection</w:t>
      </w:r>
    </w:p>
    <w:p w14:paraId="76F43038"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This study was approved by the Ethics Committee of the Affiliated Tumor Hospital of Guangxi Medical University, and all enrolled patients provided written informed consent prior to participation.</w:t>
      </w:r>
    </w:p>
    <w:p w14:paraId="10EAC57D"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The study cohort comprised tumor specimens from six patients with HCC who underwent surgical resection, along with one cirrhotic liver and one non-HCC normal liver specimen obtained from surgical resections and used as controls. All HCC patients had no radiological or pathological evidence of distant metastasis, presented with a solitary tumor measuring 3–5 cm in diameter, and had not received preoperative anti-tumor therapy.</w:t>
      </w:r>
    </w:p>
    <w:p w14:paraId="19A70AAE"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Patients were stratified according to disease recurrence within 12 months post-surgery into an early recurrence (ER) group (n=2) and non-early recurrence (NER) group (n=3). Fresh tissue samples were immediately immersed in tissue preservation solution at low temperature following collection, rinsed with physiological saline (PBS) to remove residual blood and contaminants, and processed for subsequent single-cell and spatial transcriptomic analyses.</w:t>
      </w:r>
    </w:p>
    <w:p w14:paraId="38516684"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Single-cell transcriptome sequencing (scRNA-seq)</w:t>
      </w:r>
    </w:p>
    <w:p w14:paraId="25D69D5D"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Fresh tissue specimens were mechanically dissociated and enzymatically digested using collagenase IV and DNase I to obtain single-cell suspensions. Following assessment of cell viability, single-cell gene expression libraries were generated using the 10x Genomics Chromium platform according to the manufacturer’s protocols (including GEM generation, cDNA amplification, library construction), and sequenced on an Illumina NovaSeq instrument with paired-end 150 bp reads. Raw sequencing data were processed using the Cell Ranger pipeline to generate gene-by-cell expression matrices.</w:t>
      </w:r>
    </w:p>
    <w:p w14:paraId="355FB03C"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Single-cell data quality control, processing, and analysis</w:t>
      </w:r>
    </w:p>
    <w:p w14:paraId="32F8B129"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 xml:space="preserve">The R package Seurat (version 4.1.1) was employed for quality control and bioinformatic analyses </w:t>
      </w:r>
      <w:r w:rsidRPr="00BF2A42">
        <w:rPr>
          <w:rFonts w:ascii="Times New Roman" w:hAnsi="Times New Roman" w:cs="Times New Roman"/>
          <w:color w:val="0070C0"/>
          <w:szCs w:val="21"/>
        </w:rPr>
        <w:t>[1]</w:t>
      </w:r>
      <w:r w:rsidRPr="00BF2A42">
        <w:rPr>
          <w:rFonts w:ascii="Times New Roman" w:hAnsi="Times New Roman" w:cs="Times New Roman"/>
          <w:szCs w:val="21"/>
        </w:rPr>
        <w:t xml:space="preserve">. Raw expression matrices were processed and subjected to quality control using Seurat (version ≥ 4.0). Cells were filtered based on the following criteria: mitochondrial gene fraction &lt; 15%, detected gene count between 500 and 6,000, and unique molecular identifier (UMI) counts within an appropriate range. Following filtering, a total of 81,788 high-quality cells were retained for subsequent analysis. Gene expression matrices for the retained cells were log-normalized using the total UMI count per cell and scaled by a factor of 10,000 (Seurat’s default normalization). Linear </w:t>
      </w:r>
      <w:r w:rsidRPr="00BF2A42">
        <w:rPr>
          <w:rFonts w:ascii="Times New Roman" w:hAnsi="Times New Roman" w:cs="Times New Roman"/>
          <w:szCs w:val="21"/>
        </w:rPr>
        <w:lastRenderedPageBreak/>
        <w:t>dimensionality reduction was performed via principal components analysis (PCA) on the scaled data, using the 2,000 most highly variable genes. The top 20 principal components were selected to construct a K-nearest neighbor (KNN) graph, followed by cell clustering using the Louvain algorithm with a resolution parameter of 0.5. Subsequently, the UMAP algorithm was employed for nonlinear dimensionality reduction to embed cells in a two-dimensional space and visualize their spatial relationships. Major cell types were annotated according to canonical marker gene expression, including B cells, T cells, plasma cells, myeloid cells, endothelial cells, hepatic stellate cells, and cycling cells.</w:t>
      </w:r>
    </w:p>
    <w:p w14:paraId="09B130B0"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Epithelial cells (hepatocytes) were subsetted and subjected to subclustering using the same analytical pipeline, yielding six distinct malignant hepatocyte subpopulations. To validate their malignant cell identity, large-scale copy number variation (CNV) analysis was performed using inferCNV.</w:t>
      </w:r>
    </w:p>
    <w:p w14:paraId="6DA58BA7"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To visualize the expression distribution patterns of target genes across cell populations, we generated two-dimensional kernel density estimation (KDE) plots for RBM8A, HDAC9, and CDKN2A genes using the ggplot2 software package (version 3.3.5), based on the UMAP coordinates described above.</w:t>
      </w:r>
    </w:p>
    <w:p w14:paraId="02EB7CF5"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Cell subpopulation abundance and tissue preference analysis</w:t>
      </w:r>
    </w:p>
    <w:p w14:paraId="1F257D13"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The proportions of cellular subpopulations were quantified for each sample. The Ratio of Observed to Expected (Ro/e) metric was employed to assess the tissue-preference enrichment or depletion of epithelial cell subpopulations across clinical groups (Early-Recurrence versus Non-Early Recurrence).</w:t>
      </w:r>
    </w:p>
    <w:p w14:paraId="7C3C12F9"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The Ro/e score is calculated using the formula as follows: Ro/e=(Observed proportion) / (Expected proportion); expected proportion is defined as the average proportion across all subclusters from all studied samples.</w:t>
      </w:r>
    </w:p>
    <w:p w14:paraId="27B0DFD5"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Malignant feature scoring</w:t>
      </w:r>
    </w:p>
    <w:p w14:paraId="4787AE25"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 xml:space="preserve">Fourteen gene sets associated with malignancy were curated to represent common tumor biological phenotypes, including proliferation, apoptosis resistance, invasion, metastasis, epithelial-to-mesenchymal transition (EMT), epithelialness, stemness, metabolic reprogramming, and other relevant oncogenic traits. Module scores quantifying these malignant features were calculated for each cell subpopulation using the “AddModuleScore” function. Gene signatures and computational </w:t>
      </w:r>
      <w:r w:rsidRPr="00BF2A42">
        <w:rPr>
          <w:rFonts w:ascii="Times New Roman" w:hAnsi="Times New Roman" w:cs="Times New Roman"/>
          <w:szCs w:val="21"/>
        </w:rPr>
        <w:lastRenderedPageBreak/>
        <w:t xml:space="preserve">parameters used for bioinformatic analyses are detailed in </w:t>
      </w:r>
      <w:r w:rsidRPr="00BF2A42">
        <w:rPr>
          <w:rFonts w:ascii="Times New Roman" w:hAnsi="Times New Roman" w:cs="Times New Roman"/>
          <w:color w:val="0070C0"/>
          <w:szCs w:val="21"/>
        </w:rPr>
        <w:t>Supplementary Table 1</w:t>
      </w:r>
      <w:r w:rsidRPr="00BF2A42">
        <w:rPr>
          <w:rFonts w:ascii="Times New Roman" w:hAnsi="Times New Roman" w:cs="Times New Roman"/>
          <w:szCs w:val="21"/>
        </w:rPr>
        <w:t>.</w:t>
      </w:r>
    </w:p>
    <w:p w14:paraId="3B308B06"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Spatial transcriptome sequencing and analysis</w:t>
      </w:r>
    </w:p>
    <w:p w14:paraId="505226E4"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Spatial transcriptomic profiling was performed on the tumor, cirrhotic and normal liver tissues using the 10x Visium platforms. Raw spatial transcriptomic data were processed with Space Ranger and subsequently normalized and clustered using Seurat. Cell2location was applied to map a single-cell reference atlas (derived from scRNA-seq dataset generated in this study) onto the spatial transcriptomic sections and infer the spatial abundance of each cell subpopulation.</w:t>
      </w:r>
    </w:p>
    <w:p w14:paraId="7AAADE21"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Spatial distance analysis</w:t>
      </w:r>
    </w:p>
    <w:p w14:paraId="08188803"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To assess the spatial proximity of RBM8A, HDAC9, and CDKN2A (P16) within the C2 subcluster, we first extracted the spatial coordinates and corresponding gene expression matrices for all sequencing spots annotated as C2 from the spatial transcriptomics dataset. For each target gene (RBM8A, HDAC9, and CDKN2A), the normalized expression values across individual C2 spots were mapped onto their original two-dimensional tissue spatial coordinates. Spatial visualization was then performed using the ggplot2 package (version 3.4.4) in R (version 4.3.0), with sequencing spots color-coded according to gene expression levels (low expression: dark hues; high expression: bright hues), yielding spatial heatmaps that depict the in situ expression patterns of each gene within the C2 subcluster.</w:t>
      </w:r>
    </w:p>
    <w:p w14:paraId="30267D7C"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Weighted gene co-expression network analysis (hdWGCNA)</w:t>
      </w:r>
    </w:p>
    <w:p w14:paraId="4FA8BFD5"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Hierarchical, differential weighted gene co-expression network analysis on tumor cells was performed using the hdWGCNA package. An optimal soft-thresholding power of 9 was selected as optimal to construct a scale-free co-expression network. Module eigengenes were extracted for all identified modules, and module activity scores were calculated across cell subpopulations. Gene Ontology (GO) enrichment analysis was conducted for significant modules using the clusterProfiler R package.</w:t>
      </w:r>
    </w:p>
    <w:p w14:paraId="17D43AA7"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Protein–protein interactions</w:t>
      </w:r>
    </w:p>
    <w:p w14:paraId="43DADE34"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To elucidate the interactions among RBM8A, HDAC9, and CDKN2A (p16)</w:t>
      </w:r>
      <w:r w:rsidRPr="00BF2A42">
        <w:rPr>
          <w:rFonts w:ascii="Times New Roman" w:hAnsi="Times New Roman" w:cs="Times New Roman"/>
          <w:szCs w:val="21"/>
        </w:rPr>
        <w:t>，</w:t>
      </w:r>
      <w:r w:rsidRPr="00BF2A42">
        <w:rPr>
          <w:rFonts w:ascii="Times New Roman" w:hAnsi="Times New Roman" w:cs="Times New Roman"/>
          <w:szCs w:val="21"/>
        </w:rPr>
        <w:t xml:space="preserve">we submitted these three core node proteins to the Search Tool for the Retrieval of Interacting Genes (STRING) database (version 12.0) to construct protein-protein interaction (PPI) networks </w:t>
      </w:r>
      <w:r w:rsidRPr="00BF2A42">
        <w:rPr>
          <w:rFonts w:ascii="Times New Roman" w:hAnsi="Times New Roman" w:cs="Times New Roman"/>
          <w:color w:val="0070C0"/>
          <w:szCs w:val="21"/>
        </w:rPr>
        <w:t>[2]</w:t>
      </w:r>
      <w:r w:rsidRPr="00BF2A42">
        <w:rPr>
          <w:rFonts w:ascii="Times New Roman" w:hAnsi="Times New Roman" w:cs="Times New Roman"/>
          <w:szCs w:val="21"/>
        </w:rPr>
        <w:t xml:space="preserve">. Within STRING, only experimentally validated interactions with a confidence threshold ≥0.4 were retained. The resulting interaction data were then imported into Cytoscape software (version 3.9.1) </w:t>
      </w:r>
      <w:r w:rsidRPr="00BF2A42">
        <w:rPr>
          <w:rFonts w:ascii="Times New Roman" w:hAnsi="Times New Roman" w:cs="Times New Roman"/>
          <w:color w:val="0070C0"/>
          <w:szCs w:val="21"/>
        </w:rPr>
        <w:t>[3]</w:t>
      </w:r>
      <w:r w:rsidRPr="00BF2A42">
        <w:rPr>
          <w:rFonts w:ascii="Times New Roman" w:hAnsi="Times New Roman" w:cs="Times New Roman"/>
          <w:szCs w:val="21"/>
        </w:rPr>
        <w:t xml:space="preserve"> for </w:t>
      </w:r>
      <w:r w:rsidRPr="00BF2A42">
        <w:rPr>
          <w:rFonts w:ascii="Times New Roman" w:hAnsi="Times New Roman" w:cs="Times New Roman"/>
          <w:szCs w:val="21"/>
        </w:rPr>
        <w:lastRenderedPageBreak/>
        <w:t>visualization, topological analysis and manual curation. Network layout was optimized using a "force-directed" algorithm. In the final network schematic, the core nodes-RBM8A, HDAC9, and CDKN2A (p16)-were labeled by light blue, orange, and blue-purple circles, respectively; all other proteins directly interacting with these core nodes were depicted as light gray circles.</w:t>
      </w:r>
    </w:p>
    <w:p w14:paraId="3E8B39F2"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Public dataset analysis and validation</w:t>
      </w:r>
    </w:p>
    <w:p w14:paraId="7E3AD692"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 xml:space="preserve">Publicly available single-cell and spatial transcriptomic datasets of HCC, with annotated early recurrence status, were collected for external validation. Details of all public and in-house datasets/cohorts used in this study are summarized in </w:t>
      </w:r>
      <w:r w:rsidRPr="00BF2A42">
        <w:rPr>
          <w:rFonts w:ascii="Times New Roman" w:hAnsi="Times New Roman" w:cs="Times New Roman"/>
          <w:color w:val="0070C0"/>
          <w:szCs w:val="21"/>
        </w:rPr>
        <w:t>Supplementary Table 2</w:t>
      </w:r>
      <w:r w:rsidRPr="00BF2A42">
        <w:rPr>
          <w:rFonts w:ascii="Times New Roman" w:hAnsi="Times New Roman" w:cs="Times New Roman"/>
          <w:szCs w:val="21"/>
        </w:rPr>
        <w:t>. Label transfer implemented in Seurat was applied to project the cell-subpopulation annotations defined in this study onto tumor cells within these public datasets, enabling comparative analyses of subpopulation proportions and malignancy-associated feature scores. Bulk RNA-seq datasets (TCGA-LIHC and GSE14520) were utilized to calculate signature scores for the C2 subpopulation using single-sample gene set enrichment analysis (ssGSEA). These scores were then subjected to survival analysis using Kaplan–Meier estimation and log-rank testing.</w:t>
      </w:r>
    </w:p>
    <w:p w14:paraId="3246A131"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Cell lines and culture</w:t>
      </w:r>
    </w:p>
    <w:p w14:paraId="5AA29BE8"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Human HCC cell lines (Hep3B, HepG2, MHCC97H, SMMC-7721, Bel7404, and PLC/PRF/5) and the normal hepatocyte cell line L02 were cultured in Dulbecco’s modified Eagle’s medium (DMEM) supplemented with 10% fetal bovine serum and 1% penicillin–streptomycin solution at 37°C in a humidified atmosphere containing 5% CO2.</w:t>
      </w:r>
    </w:p>
    <w:p w14:paraId="2B43FB95"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Apatinib-Resistant Cell Line Establishment</w:t>
      </w:r>
    </w:p>
    <w:p w14:paraId="6A1756F9"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Apatinib-resistant (APA-R) cell lines were generated by exposing parental HCC cells (Bel7404, MHCC97H) to escalating concentrations of apatinib (0.1-10μM; MedChemExpress) over 6 months. Resistant clones were subsequently expanded in maintenance medium supplemented with 5μM apatinib. Resistance was confirmed via MTT assay,which revealed an IC50 value &gt;5-fold increase compared to corresponding parental cells.</w:t>
      </w:r>
    </w:p>
    <w:p w14:paraId="1C70721D"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Plasmid construction and stable cell line establishment</w:t>
      </w:r>
    </w:p>
    <w:p w14:paraId="20D68C57"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 xml:space="preserve">The candidate sequences for two independent human shRNAs targeting RBM8A (sh-RBM8A#1 and sh-RBM8A#2; included to control for off-target effects) or a non-targeting control (sh-NC) were cloned into the pLKO.1-puro plasmids (Addgene). To generate lentiviral particles, these shRNA-expressing plasmids were co-transfected with the packaging plasmids psPAX2 (Addgene) and </w:t>
      </w:r>
      <w:r w:rsidRPr="00BF2A42">
        <w:rPr>
          <w:rFonts w:ascii="Times New Roman" w:hAnsi="Times New Roman" w:cs="Times New Roman"/>
          <w:szCs w:val="21"/>
        </w:rPr>
        <w:lastRenderedPageBreak/>
        <w:t xml:space="preserve">pVSV-G (Addgene) into HEK293T cells using polyethylenimine (PEI, Polysciences). Viral supernatants were harvested at 48 and 72 hours post-transfection, pooled, and concentrated by low-speed centrifugation (3,000 × g, 10 min). HCC cell lines—Bel-7404, PLC/PRF/5, HepG2, and MHCC97H—were transduced with the respective lentiviruses at a multiplicity of infection (MOI) of 10 in the presence of 8μg/mL polybrene. Stable polyclonal cell populations were selected with 2μg/mL puromycin for 7 days to establish RBM8A-knockdown (KD) and corresponding negative control (NC) cell lines. For transient knockdown in MHCC97H cells, specific siRNAs against RBM8A (si-RBM8A) or a negative control siRNA (si-NC) were transfected at a concentration of 50nM using Lipofectamine RNAiMAX (Invitrogen) according to the manufacturer‘s protocol. Cells were harvested 48 hours post-transfection for RNA stability assays. To generate RBM8A-overexpressing (OE) cells, the full-length human RBM8A cDNA was amplified by PCR and cloned into the pCDH-CMV-MCS-EF1α-GreenPuro lentiviral vector (System Biosciences); the empty vector serving as the control. The W73V dominant-negative mutant of RBM8A was generated via site-directed mutagenesis and verified by Sanger sequencing prior to lentiviral packaging and transducing using the same procedure. Lentivirus production, transduction, and puromycin selection for overexpression and mutant cell lines were performed as described above. Knockdown and overexpression efficiencies were validated by qRT-PCR and western blotting at 72 hours post-selection (for stable cell lines) or 48 hours post-transfection (for transient assays) prior to all functional assays. Sequences of shRNAs, siRNAs, mutants, and luciferase reporter constructs are provided in </w:t>
      </w:r>
      <w:r w:rsidRPr="00BF2A42">
        <w:rPr>
          <w:rFonts w:ascii="Times New Roman" w:hAnsi="Times New Roman" w:cs="Times New Roman"/>
          <w:color w:val="0070C0"/>
          <w:szCs w:val="21"/>
        </w:rPr>
        <w:t>Supplementary Table 3</w:t>
      </w:r>
      <w:r w:rsidRPr="00BF2A42">
        <w:rPr>
          <w:rFonts w:ascii="Times New Roman" w:hAnsi="Times New Roman" w:cs="Times New Roman"/>
          <w:szCs w:val="21"/>
        </w:rPr>
        <w:t>.</w:t>
      </w:r>
    </w:p>
    <w:p w14:paraId="61D2BC39"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RNA extraction, reverse transcription and Quantitative Real-Time PCR (qRT-PCR)</w:t>
      </w:r>
    </w:p>
    <w:p w14:paraId="6C8BAFA5"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 xml:space="preserve">Total RNA was extracted from tissues and cells using the TRIzol reagent (Invitrogen, USA). Complementary DNA (cDNA) was synthesized from 1 µg of total RNA using the Primescript RT Reagent kit (RR037B, TaKaRa, Japan) according to the manufacturer’s instruction. The resulting cDNA products were amplified by qRT-PCR using SYBR qRT-PCR analysis was performed on a StepOnePlus Real-Time PCR system (4376600, Thermo Fisher, USA). For validation, FastStart Universal SYBR Green Master Mix (4913850001, Roche, Switzerland) was also employed under identical cycling conditions. Relative mRNA expression levels were calculated using the 2-ΔΔCt method, with human β-actin serving as the endogenous control. qPCR primer sequences are detailed in </w:t>
      </w:r>
      <w:r w:rsidRPr="00BF2A42">
        <w:rPr>
          <w:rFonts w:ascii="Times New Roman" w:hAnsi="Times New Roman" w:cs="Times New Roman"/>
          <w:color w:val="0070C0"/>
          <w:szCs w:val="21"/>
        </w:rPr>
        <w:t>Supplementary Table 4</w:t>
      </w:r>
      <w:r w:rsidRPr="00BF2A42">
        <w:rPr>
          <w:rFonts w:ascii="Times New Roman" w:hAnsi="Times New Roman" w:cs="Times New Roman"/>
          <w:szCs w:val="21"/>
        </w:rPr>
        <w:t xml:space="preserve">. All experiments were performed in triplicate, and data are presented as </w:t>
      </w:r>
      <w:r w:rsidRPr="00BF2A42">
        <w:rPr>
          <w:rFonts w:ascii="Times New Roman" w:hAnsi="Times New Roman" w:cs="Times New Roman"/>
          <w:szCs w:val="21"/>
        </w:rPr>
        <w:lastRenderedPageBreak/>
        <w:t>mean ± SD.</w:t>
      </w:r>
    </w:p>
    <w:p w14:paraId="45DE3E15"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Western blot</w:t>
      </w:r>
    </w:p>
    <w:p w14:paraId="7A009041" w14:textId="17DFCA20"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 xml:space="preserve">Cells were lysed in RIPA lysis buffer, and proteins (10-30µg) were separated by 8-10% SDS/PAGE and electrophoretically transferred onto PVDF membranes (Millipore, Billerica, USA). Membranes were blocked with 5% non-fat dry milk in TBST (Tris-buffered saline containing 0.1% Tween-20) for 1 hour at room temperature, followed by overnight incubation at 4◦C with primary antibodies diluted in blocking buffer. After triple 10-min washes with TBST, membranes were incubated with appropriate horseradish peroxidase (HRP)-conjugated secondary antibodies for 1 hour at room temperature. Immunoreactive band intensities were visualized using an enhanced chemiluminescent substrate kit (Solarbio Biotechnology Co., Ltd., Beijing, China), and images were acquired using a ChemiDoc™ imaging system (Bio-Rad Laboratories, Hercules, CA, USA). Band intensities were quantified by densitometry analysis of gray-scale images using Java ImageJ, (Version 1.53, National Institutes of Health, USA), with β-actin serving as the loading control. Final data analysis was performed using Image Lab software (version 4.0, Bio-Rad). Antibodies used are listed in </w:t>
      </w:r>
      <w:r w:rsidRPr="00BF2A42">
        <w:rPr>
          <w:rFonts w:ascii="Times New Roman" w:hAnsi="Times New Roman" w:cs="Times New Roman"/>
          <w:color w:val="0070C0"/>
          <w:szCs w:val="21"/>
        </w:rPr>
        <w:t>Supplementary Table 5</w:t>
      </w:r>
      <w:r w:rsidRPr="00BF2A42">
        <w:rPr>
          <w:rFonts w:ascii="Times New Roman" w:hAnsi="Times New Roman" w:cs="Times New Roman"/>
          <w:szCs w:val="21"/>
        </w:rPr>
        <w:t xml:space="preserve">. All experiments were performed in triplicate, and data are presented as mean ± SD. Uncropped and full Western blot images are shown in </w:t>
      </w:r>
      <w:r w:rsidRPr="00BF2A42">
        <w:rPr>
          <w:rFonts w:ascii="Times New Roman" w:hAnsi="Times New Roman" w:cs="Times New Roman"/>
          <w:color w:val="0070C0"/>
          <w:szCs w:val="21"/>
        </w:rPr>
        <w:t>Supplementary File</w:t>
      </w:r>
      <w:r w:rsidRPr="00BF2A42">
        <w:rPr>
          <w:rFonts w:ascii="Times New Roman" w:hAnsi="Times New Roman" w:cs="Times New Roman"/>
          <w:szCs w:val="21"/>
        </w:rPr>
        <w:t xml:space="preserve">. </w:t>
      </w:r>
    </w:p>
    <w:p w14:paraId="02AB0BA6"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Cell Counting Kit-8 Assay</w:t>
      </w:r>
    </w:p>
    <w:p w14:paraId="76EA807F"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The proliferation rates and viability of the suitably-treated cells were assessed using the Cell Counting Kit-8 (CCK-8; Dojindo, Kumamoto, Japan) according to the manufacturer’s protocol. Cells were seeded into 96-well plates at a density of 2,000 cells per well and cultured for 24, 48, 72, 96, and 120 hours. At each predetermined time point, 100µL of fresh medium and 10µL of CCK-8 solution were added to each well, followed by a 3-hour incubation at 37 </w:t>
      </w:r>
      <w:r w:rsidRPr="00BF2A42">
        <w:rPr>
          <w:rFonts w:ascii="Times New Roman" w:eastAsia="等线" w:hAnsi="Times New Roman" w:cs="Times New Roman"/>
          <w:szCs w:val="21"/>
        </w:rPr>
        <w:t>°</w:t>
      </w:r>
      <w:r w:rsidRPr="00BF2A42">
        <w:rPr>
          <w:rFonts w:ascii="Times New Roman" w:hAnsi="Times New Roman" w:cs="Times New Roman"/>
          <w:szCs w:val="21"/>
        </w:rPr>
        <w:t>C in a humidified 5% CO₂atmosphere. Absorbance was measured at 450nm using a microplate reader (5082 Grodig, Tecan, Grödig, Austria). All experiments were performed in triplicate, and data are presented as mean ± SD.</w:t>
      </w:r>
    </w:p>
    <w:p w14:paraId="1D5073E3"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MTT Assay</w:t>
      </w:r>
    </w:p>
    <w:p w14:paraId="327A9DAA"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 xml:space="preserve">Cells were seeded into 96-well plates at a density of 2,000 cells per well and treated with serial dilutions of apatinib for 48 hours. Subsequently, 20µL of MTT solution (5 mg/mL; Sigma) was added to each well, followed by incubation at 37◦C for 4 hours. The resulting formazan crystals were solubilized in dimethyl sulfoxide (DMSO), and absorbance was measured at 570 nm using a </w:t>
      </w:r>
      <w:r w:rsidRPr="00BF2A42">
        <w:rPr>
          <w:rFonts w:ascii="Times New Roman" w:hAnsi="Times New Roman" w:cs="Times New Roman"/>
          <w:szCs w:val="21"/>
        </w:rPr>
        <w:lastRenderedPageBreak/>
        <w:t>microplate reader. IC50 values were determined using GraphPad Prism software. All experiments were performed in triplicate, and data are presented as mean ± SD.</w:t>
      </w:r>
    </w:p>
    <w:p w14:paraId="24FF4033"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Wound Healing Assay</w:t>
      </w:r>
    </w:p>
    <w:p w14:paraId="6F4EBC44"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Briefly, 6×105 cells from each group (shRNA-STIM1 or shRNA-Ctrl) were harvested and seeded into individual wells of 6-well plates, and then incubated in serum-free medium for 48 hours to achieve approximately 90% conﬂuence. A uniform wound was created in the confluent monolayer using a sterile 200µL pipette tip. After wounding, the monolayer was gently rinsed three times with phosphate-buffered saline (PBS) to remove detached cells, and fresh serum-free medium supplemented with human recombinant epidermal growth factor (EGF; 50ng/mL, Invitrogen) was added. Plates were incubated at 37◦C for an additional 48 hours. After incubation, five randomly selected ﬁelds per well were captured using phase-contrast microscopy. Wound closure (%) was quantiﬁed using the quantitative wound healing analysis module of the Ibidi image software (Martinsried, Germany). All experiments were performed in triplicate, and data are presented as mean ± SD.</w:t>
      </w:r>
    </w:p>
    <w:p w14:paraId="3A997171"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Transwell Assay</w:t>
      </w:r>
    </w:p>
    <w:p w14:paraId="2BA1D5E4"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The migration and invasion capacities of HCC cells were evaluated using transwell chambers (8µm pore size; Corning, NY, USA). For invasion assays, the upper surfaces of the membranes were coated with Matrigel, whereas for migration assays, the membranes unchanged; both procedures followed the manufacturer’s instruction. Next, 1×105 cells per well were seeded into the upper chambers in serum-free media, while the lower chambers were ﬁlled with complete medium with 10% FBS. After 48 hours of incubation at 37◦C in a humidified 5% CO2 atmosphere, non-migrated/non-invaded cells on the upper surface of the membrane were gently removed with a cotton swab. Cells that had migrated or invaded through the membrane were ﬁxed with 4% paraformaldehyde for 15 min at room temperature and stained with 0.1% crystal violet solution for 30 min. Following thorough washing with PBS, stained cells were visualized and quantified under an inverted microscope (Olympus Corporation; magniﬁcation, 100</w:t>
      </w:r>
      <w:r w:rsidRPr="00BF2A42">
        <w:rPr>
          <w:rFonts w:ascii="Times New Roman" w:eastAsia="等线" w:hAnsi="Times New Roman" w:cs="Times New Roman"/>
          <w:szCs w:val="21"/>
        </w:rPr>
        <w:t>×</w:t>
      </w:r>
      <w:r w:rsidRPr="00BF2A42">
        <w:rPr>
          <w:rFonts w:ascii="Times New Roman" w:hAnsi="Times New Roman" w:cs="Times New Roman"/>
          <w:szCs w:val="21"/>
        </w:rPr>
        <w:t>) using the ImageJ software (version 1.8, National Institute of Health). The number of migratory or invaded cells was counted in three random ﬁelds per chamber (magnification, 200</w:t>
      </w:r>
      <w:r w:rsidRPr="00BF2A42">
        <w:rPr>
          <w:rFonts w:ascii="Times New Roman" w:eastAsia="等线" w:hAnsi="Times New Roman" w:cs="Times New Roman"/>
          <w:szCs w:val="21"/>
        </w:rPr>
        <w:t>×</w:t>
      </w:r>
      <w:r w:rsidRPr="00BF2A42">
        <w:rPr>
          <w:rFonts w:ascii="Times New Roman" w:hAnsi="Times New Roman" w:cs="Times New Roman"/>
          <w:szCs w:val="21"/>
        </w:rPr>
        <w:t>), and the mean value was calculated. All experiments were performed in triplicate, and data are presented as mean ± SD.</w:t>
      </w:r>
    </w:p>
    <w:p w14:paraId="7A975D7F"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Flow cytometry</w:t>
      </w:r>
    </w:p>
    <w:p w14:paraId="1BEAD0E4"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lastRenderedPageBreak/>
        <w:t>For apoptosis assessment, HCC cells were harvested and stained with the Annexin V/DAPI Apoptosis Detection Kit (MultiSciences) following the manufacturer’s instructions. Data acquisition was performed on a Beckman Coulter ﬂow cytometer, and data analyses were performed using FlowJo software (Version X.07). All experiments were performed in triplicate, and data are presented as mean ± SD.</w:t>
      </w:r>
    </w:p>
    <w:p w14:paraId="1A5C8921"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The apoptosis rate is calculated using the formula as follows: Apoptosis rate = Q2 (Annexin V+/DAPI+) + Q3 (Annexin V+/DAPI−). x-axis: Annexin V positivity (arb. unit); y-axis: Dapi (viability) positivity (arb. unit). Q1 showing negative annexin V and positive Dapi, indicating dead cells; Q4 showing negative annexin V and negative Dapi, indicating viable cells; Q2 showing positive annexin V and positive Dapi, indicating dead cells or late apoptosis shortly before dying; Q3 showing positive annexin V and negative Dapi, indicating early apoptosis.</w:t>
      </w:r>
    </w:p>
    <w:p w14:paraId="6B0589B5"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RNA Stability Assay</w:t>
      </w:r>
    </w:p>
    <w:p w14:paraId="4E80D2F9"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To assess mRNA stability, cells were treated with actinomycin D (5µg/mL; Sigma) for 0, 2, 4, 6, and 8 hours. Total RNA was isolated using TRIzol (Thermo Fisher Scientific), reverse transcribed into cDNA, and HDAC9 mRNA levels were quantified by qRT-PCR. mRNA half-life was determined by nonlinear regression analysis fitting to a one-phase exponential decay model using GraphPad Prism software. All experiments were performed in triplicate, and data are presented as mean ± SD.</w:t>
      </w:r>
    </w:p>
    <w:p w14:paraId="3F2A7BCA"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Surface sensing of translation (SunSET) assay</w:t>
      </w:r>
    </w:p>
    <w:p w14:paraId="5BDBCC59"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 xml:space="preserve">To directly display ribosomal translation efficiency, the SunSET assay was performed as described to Yi et al. (2021) and Schmidt et al. (2009) </w:t>
      </w:r>
      <w:r w:rsidRPr="00BF2A42">
        <w:rPr>
          <w:rFonts w:ascii="Times New Roman" w:hAnsi="Times New Roman" w:cs="Times New Roman"/>
          <w:color w:val="0070C0"/>
          <w:szCs w:val="21"/>
        </w:rPr>
        <w:t>[4,5]</w:t>
      </w:r>
      <w:r w:rsidRPr="00BF2A42">
        <w:rPr>
          <w:rFonts w:ascii="Times New Roman" w:hAnsi="Times New Roman" w:cs="Times New Roman"/>
          <w:szCs w:val="21"/>
        </w:rPr>
        <w:t>. Briefly, this assay relies on the incorporation of puromycin, a structural analog of aminoacyl-tRN into nascent polypeptide chains during active translation.. MHCC97H cells were first treated with 335μM cycloheximide (CHX, Aladdin, Shanghai, China) for 15 min to arrest elongating ribosomes. Subsequently, 91μM puromycin was added, and cells were incubated at 37◦C for 5 min to allow puromycin incorporation into newly synthesized polypeptides. Puromycin-labeled proteins were then detected by Western blot using a monoclonal anti-puromycin antibody (Sigma-Aldrich, Darmstadt, Germany).</w:t>
      </w:r>
    </w:p>
    <w:p w14:paraId="1A3B559D"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Molecular docking</w:t>
      </w:r>
    </w:p>
    <w:p w14:paraId="7150355C"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 xml:space="preserve">The binding interaction of the RBM8A protein and HDAC9 mRNA was evaluated via molecular docking analysis. The three-dimensional molecular structure of RBM8A was retrieved from the </w:t>
      </w:r>
      <w:r w:rsidRPr="00BF2A42">
        <w:rPr>
          <w:rFonts w:ascii="Times New Roman" w:hAnsi="Times New Roman" w:cs="Times New Roman"/>
          <w:szCs w:val="21"/>
        </w:rPr>
        <w:lastRenderedPageBreak/>
        <w:t>RCSB Protein Data Bank (PDB, http://www.rcsb.org). The secondary structure of HDAC9 mRNA was predicted based from its nucleotide sequence using the RNAfold web server, and its three-dimensional model was further constructed using RNAComposer. For protein preparation, PyMOL 2.5.2 was employed to remove water molecules and heteroatoms, and the file was then saved the processed structure in .pdb format. Molecular simulation between the RBM8A protein and HDAC9 mRNA were then performed using Subsequently, Hex 8.0.0 and PyMOL 2.5.2 software were employed to execute docking studies between the RBM8A protein and HDAC9 mRNA. The docking function of Hex software was usedapplied to define the binding site and search space. Following the docking analysis, the resulting complexes were visualized and rendered using PyMOL software.</w:t>
      </w:r>
    </w:p>
    <w:p w14:paraId="2D1BF5A5"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Dual-Luciferase Reporter Assay</w:t>
      </w:r>
    </w:p>
    <w:p w14:paraId="24AB9216"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Luciferase reporter assays were performed using the Dual Luciferase Reporter Assay Kit (DL101-01, Vazyme, China) following manufacturer's protocol.The p16 promoter was inserted into the upstream of firefly luciferase in the psiCHECK2 vector. HCC cell lines were transfected with the luciferase reporter plasmid. After 24 h of transfection, firefly and Renilla luciferase activity were measured successively with Dual−Luciferase Reporter Assay System (E1910, Promega, USA), and Renilla luciferase activity was used to normalize the firefly luciferase activity. The induction of the reporters was compared based on the relative luciferase activity.</w:t>
      </w:r>
    </w:p>
    <w:p w14:paraId="651012FB"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To identify the cis-regulatory elements within the HDAC9 mRNA that are targeted by RBM8A and to evaluated the transcriptional regulation of p16 by the RBM8A/HDAC9 axis, fragments of HDAC9 mRNA—including the 5'-UTR, CDS, 3'-UTR1, and 3'-UTR2 (each ~500 bp in length)—were individually cloned upstream of the firefly luciferase gene in the pGL3-Promoter vector (Promega; E1761). based on binding sites prediction generated by RBPmap, two point mutations (mut1 and mut2) were introduced into the CDS region (spanning nucleotides 1787–1862 bp relative to the HDAC9 transcript start site). Separately, a fragment of the p16 promoter region (−1500 to +200 bp relative to the transcription start site) was cloned upstream of firefly luciferase gene in the psiCHECK-2 vector (Promega; C8021). Reporter plasmids (500 ng) were co-transfected with the internal control plasmid pRL-CMV (50 ng; Promega; E2261) into MHCC97H or Bel7404 cells seeded in 24-well plates at a density of 2</w:t>
      </w:r>
      <w:r w:rsidRPr="00BF2A42">
        <w:rPr>
          <w:rFonts w:ascii="Times New Roman" w:eastAsia="等线" w:hAnsi="Times New Roman" w:cs="Times New Roman"/>
          <w:szCs w:val="21"/>
        </w:rPr>
        <w:t>×</w:t>
      </w:r>
      <w:r w:rsidRPr="00BF2A42">
        <w:rPr>
          <w:rFonts w:ascii="Times New Roman" w:hAnsi="Times New Roman" w:cs="Times New Roman"/>
          <w:szCs w:val="21"/>
        </w:rPr>
        <w:t xml:space="preserve">10⁴cells per well. At 48 hours, cells were lysed and luciferase activities were measured sequentially using the Dual-Luciferase Reporter Assay Kit </w:t>
      </w:r>
      <w:r w:rsidRPr="00BF2A42">
        <w:rPr>
          <w:rFonts w:ascii="Times New Roman" w:hAnsi="Times New Roman" w:cs="Times New Roman"/>
          <w:szCs w:val="21"/>
        </w:rPr>
        <w:lastRenderedPageBreak/>
        <w:t>(DL101-01, Vazyme) according to the manufacturer's protocol. Firefly luciferase activity was normalized to Renilla luciferase activity to yield relative luciferase activity (RLA). All experiments were performed in triplicate, and data are presented as mean ± SD.</w:t>
      </w:r>
    </w:p>
    <w:p w14:paraId="34B521D8"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RNA immunoprecipitation (RIP)</w:t>
      </w:r>
    </w:p>
    <w:p w14:paraId="23E01C35"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The Magna RIP™ RNA-Binding Protein Immunoprecipitation Kit (Millipore, USA) was utilized to perform the RIP assay following the manufacturer's protocol. Briefly, 5μg of specific antibody or normal IgG (Millipore, USA) was conjugated to protein A/G magnetic beads and incubated with clarified cell lysates overnight at 4°C. Following extensive washing, the RNA-protein complexes were digested with Proteinase K in digestion buffer. Co-immunoprecipitated RNAs were subsequently extracted using phenol: chloroform:isoamyl alcohol (25:24:1, v/v/v). Finally, the purified RNA were subjected to qPCR to quantify the enrichment of HDAC9 mRNA in the RBM8A protein immunoprecipitation relative to IgG.</w:t>
      </w:r>
    </w:p>
    <w:p w14:paraId="67A6F4B1"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RNA Pull-down assay</w:t>
      </w:r>
    </w:p>
    <w:p w14:paraId="0B062988"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The RNA pulldown assay was performed using the RNA Pulldown Assay Kit (Thermo Fisher Scientific, USA). Biotinylated sense and antisense strand probes corresponding to the HDAC9 mRNA sequence were immobilized onto streptavidin-coated magnetic beads. The probe-bound beads were then incubated with whole-cell protein lysates for 1 hour at 4°C. Following incubation, the beads were washed three times with cold wash buffer, eluted by boiling in SDS loading buffer, and the co-participated proteins were subsequently subjected to Western blot analysis to detect RBM8A.</w:t>
      </w:r>
    </w:p>
    <w:p w14:paraId="06740A38"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ChIP-qPCR assay</w:t>
      </w:r>
    </w:p>
    <w:p w14:paraId="2CB8C895"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 xml:space="preserve">Chromatin immunoprecipitation-qPCR (ChIP-qPCR) assay was performed using the SimpleChIP Enzymatic Chromatin IP kit (catalog no. 9003, Cell Signaling Technology, USA) following the manufacturer’s protocol. In brief, cells were cross-linked with 1% formaldehyde (164187-25G, Sigma) for 10 min at room temperature, and the reaction was terminated with glycine. Cells were then washed three times with ice-cold PBS and lysed in lysis buffer to isolate nuclear and extract nuclear proteins. Chromatin was fragmented by sonication to an average size of 200-500 bp. Immunoprecipitation was carried out for 16 hours at 4°C using normal rabbit lgG (Cat. No.2729; Cell Signaling Technology, USA) or H3K18ac antibody (Cat. No.9402, Cell Signaling Technology, USA). Enrichment of DNA fragments corresponding to the p16 promoter region was quantified by </w:t>
      </w:r>
      <w:r w:rsidRPr="00BF2A42">
        <w:rPr>
          <w:rFonts w:ascii="Times New Roman" w:hAnsi="Times New Roman" w:cs="Times New Roman"/>
          <w:szCs w:val="21"/>
        </w:rPr>
        <w:lastRenderedPageBreak/>
        <w:t>qRT-PCR.</w:t>
      </w:r>
    </w:p>
    <w:p w14:paraId="47F3C57C"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HDAC9 inhibition</w:t>
      </w:r>
    </w:p>
    <w:p w14:paraId="6DEBF937"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Preferential inhibition of HDAC9 was achieved using BRD4354 (Tocris Biosciences, USA), a selective inhibitor with high preferential affinity for HDAC5 and HDAC9 relative to other HDAC isoforms. The compound was dissolved in dimethyl sulfoxide (DMSO) to generate a stock solution and stored at −20</w:t>
      </w:r>
      <w:r w:rsidRPr="00BF2A42">
        <w:rPr>
          <w:rFonts w:ascii="Times New Roman" w:eastAsia="等线" w:hAnsi="Times New Roman" w:cs="Times New Roman"/>
          <w:szCs w:val="21"/>
        </w:rPr>
        <w:t>°</w:t>
      </w:r>
      <w:r w:rsidRPr="00BF2A42">
        <w:rPr>
          <w:rFonts w:ascii="Times New Roman" w:hAnsi="Times New Roman" w:cs="Times New Roman"/>
          <w:szCs w:val="21"/>
        </w:rPr>
        <w:t xml:space="preserve">C. For functional assays, HCC cells were treated with BRD4354 at the indicated concentrations (e.g., 5-20 </w:t>
      </w:r>
      <w:r w:rsidRPr="00BF2A42">
        <w:rPr>
          <w:rFonts w:ascii="Times New Roman" w:eastAsia="等线" w:hAnsi="Times New Roman" w:cs="Times New Roman"/>
          <w:szCs w:val="21"/>
        </w:rPr>
        <w:t>μ</w:t>
      </w:r>
      <w:r w:rsidRPr="00BF2A42">
        <w:rPr>
          <w:rFonts w:ascii="Times New Roman" w:hAnsi="Times New Roman" w:cs="Times New Roman"/>
          <w:szCs w:val="21"/>
        </w:rPr>
        <w:t>M) for 24</w:t>
      </w:r>
      <w:r w:rsidRPr="00BF2A42">
        <w:rPr>
          <w:rFonts w:ascii="Times New Roman" w:eastAsia="等线" w:hAnsi="Times New Roman" w:cs="Times New Roman"/>
          <w:szCs w:val="21"/>
        </w:rPr>
        <w:t>–</w:t>
      </w:r>
      <w:r w:rsidRPr="00BF2A42">
        <w:rPr>
          <w:rFonts w:ascii="Times New Roman" w:hAnsi="Times New Roman" w:cs="Times New Roman"/>
          <w:szCs w:val="21"/>
        </w:rPr>
        <w:t>48 hours prior to subsequent experiments. Cells treated with an equivalent volume of DMSO were used as vehicle controls.</w:t>
      </w:r>
    </w:p>
    <w:p w14:paraId="10C4A4A6"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Immunofluorescence and RNA fluorescence in situ hybridization</w:t>
      </w:r>
    </w:p>
    <w:p w14:paraId="62ED3CE9"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Tissue specimens were fixed in 4% paraformaldehyde, embedded in paraffin, and sectioned at a thickness of 5 μm. Sections were deparaffinized in xylene (two 5-min changes) and dehydrated in 100% ethanol (two 2-min changes), followed by antigen retrieval using 1× Target Retrieval Reagent (Advanced Cell Diagnostics) at 99 °C for 15 min. After cooling to room temperature, sections were treated with RNAscope Protease Plus (Advanced Cell Diagnostics) at 37 °C for 30 min. To assess subcellular co-localization of RBM8A and HDAC9, a dual-modality imaging strategy was employed:</w:t>
      </w:r>
    </w:p>
    <w:p w14:paraId="424690DC"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(i) Protein–protein co-localization analysis: Endogenous peroxidase activity was quenched by incubation with 3% hydrogen peroxide for 10 min at room temperature. Sections were then blocked with Cell Signaling Technologies Immunofluorescence Blocking Buffer for 1 h at room temperature, followed by overnight incubation at 4 °C with primary antibodies against RBM8A (1:200 dilution; Proteintech; Cat# 16531-1-AP) and HDAC9 (1:150 dilution; Cell Signaling Technology; Cat# 26036S). Next day, sections were incubated with Alexa Fluor 48–conjugated goat anti-rabbit IgG (1:300 dilution; Abcam; Cat# ab150077) and Cy3-conjugated goat anti-rabbit IgG (1:400 dilution; Jackson ImmunoResearch; Cat# 111-165-003) for 30 min at room temperature in the dark, counterstained with DAPI for 5 min, and mounted using ProLong Diamond Antifreeze Mountant (Thermo Fisher Scientific; Cat# P36970).</w:t>
      </w:r>
    </w:p>
    <w:p w14:paraId="28301613"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 xml:space="preserve">(ii) Protein–RNA co-localization analysis: Lentiviral particles encoding an HDAC9 overexpression construct were transduced into MHCC97H-RBM8A-OE cells, and stable transductants were selected with puromycin. HDAC9 overexpression efficiency was validated by aRT-qPCR. Cells were fixed in 4% paraformaldehyde at room temperature for 15 min, permeabilized with 0.5% </w:t>
      </w:r>
      <w:r w:rsidRPr="00BF2A42">
        <w:rPr>
          <w:rFonts w:ascii="Times New Roman" w:hAnsi="Times New Roman" w:cs="Times New Roman"/>
          <w:szCs w:val="21"/>
        </w:rPr>
        <w:lastRenderedPageBreak/>
        <w:t>Triton X-100 for 10 min, and treated with RNAscope Protease Plus (Advanced Cell Diagnostics) at 37 °C for 30 min. RNA fluorescence in situ hybridization was performed using the RNAscope Multiplex Fluorescent Reagent Kit v2 (Advanced Cell Diagnostics). Target-specific probes against 18S rRNA (Advanced Cell Diagnostics; Cat# 320871), U6 snRNA (Advanced Cell Diagnostics; Cat# 317071), or HDAC9 mRNA (Advanced Cell Diagnostics; Cat# 423161) were hybridized to cells at 40 °C for 2 hour. Signal amplification was performed sequentially using Amp1, Amp2, and Amp3 reagents (30 min each at 40 °C), followed by detection with Alexa Fluor 594- or Cy5-conjugated fluorescent dyes. Subsequently, endogenous peroxidase activity was quenched with 3% hydrogen peroxide at room temperature for 10 min. Cells were blocked with Cell Signaling Technologies Immunofluorescence Blocking Buffer at room temperature for 1 hour and incubated overnight at 4 °C with rabbit anti-RBM8A primary antibody (1:200 dilution; Proteintech; Cat# 16531-1-AP). Next day, cells were incubated with Alexa Fluor 48–conjugated goat anti-rabbit IgG (1:300 dilution; Abcam; Cat# ab150077) for 30 min at room temperature in the dark, counterstained with DAPI for 5 min, and mounted with ProLong Diamond Antifreeze Mountant.</w:t>
      </w:r>
    </w:p>
    <w:p w14:paraId="57CB9BAF"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All images were acquired using a Keyence BZ-X800 fully automated fluorescence microscope equipped with ×40 or ×60 objective lens. Co-localization analysis was performed using ImageJ software (NIH) and quantified by calculating Pearson's correlation coefficient.</w:t>
      </w:r>
    </w:p>
    <w:p w14:paraId="39207F09"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Immunohistochemical Staining</w:t>
      </w:r>
    </w:p>
    <w:p w14:paraId="2EB65CC7"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Tumor tissues obtained from hepatectomy were fixed in 10% neutral-buffered formalin, embedded in paraffin, and sectioned at a thickness of 3–4 µm. The tissue sections were then subjected to standard dewaxing and rehydration procedures, followed by antigen retrieval. Endogenous peroxidase activity was blocked with 3% H2O2 for 10 minutes at room temperature. Subsequently, sections were incubated overnight at 4°C with antibodies against RBM8A and HDAC9. On the following day, sections were incubated with biotin-conjugated goat anti-rabbit IgG secondary antibody for 1 hour at room temperature. Immunoreactivity was visualized using diaminobenzidine (DAB) as the chromogen, and nuclei were counterstained with hematoxylin. Finally, sections were thoroughly rinsed.</w:t>
      </w:r>
    </w:p>
    <w:p w14:paraId="25121656"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Mice subcutaneous tumor xenograft models</w:t>
      </w:r>
    </w:p>
    <w:p w14:paraId="41EFA521"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 xml:space="preserve">Specific Pathogen-Free (SPF)-grade athymic BALB/C nude mice (5-6 weeks old, 20-22g of body weight) were purchased from Shanghai Laboratory Animal Center (SLAC, Shanghai, China) and </w:t>
      </w:r>
      <w:r w:rsidRPr="00BF2A42">
        <w:rPr>
          <w:rFonts w:ascii="Times New Roman" w:hAnsi="Times New Roman" w:cs="Times New Roman"/>
          <w:szCs w:val="21"/>
        </w:rPr>
        <w:lastRenderedPageBreak/>
        <w:t>maintained under SPF conditions with free access to food and water. HCC cells were harvested, resuspended in sterile PBS at a concentration of 1×107 cells/ml, and kept on ice prior to injection. Mice were anesthetized with isoflurane, and the right axillary region was disinfected with 75% alcohol. A total of 200μL of cell suspensions was inoculated subcutaneously into the mid-axillary area. Tumour dimensions were measured twice weekly using digital calipers, and tumor volume was calculated using the formula: volume = (length</w:t>
      </w:r>
      <w:r w:rsidRPr="00BF2A42">
        <w:rPr>
          <w:rFonts w:ascii="Times New Roman" w:eastAsia="等线" w:hAnsi="Times New Roman" w:cs="Times New Roman"/>
          <w:szCs w:val="21"/>
        </w:rPr>
        <w:t>×</w:t>
      </w:r>
      <w:r w:rsidRPr="00BF2A42">
        <w:rPr>
          <w:rFonts w:ascii="Times New Roman" w:hAnsi="Times New Roman" w:cs="Times New Roman"/>
          <w:szCs w:val="21"/>
        </w:rPr>
        <w:t>width2)/2. On day 20 post-inoculation, mice were humanely euthanized by cervical dislocation. Excised tumors were weighed, photographed and fixed in 4% paraformaldehyde for further immunohistochemical staining and cell immunofluorescence experiments. All experiments were performed in triplicate, and data are presented as mean ± SEM.</w:t>
      </w:r>
    </w:p>
    <w:p w14:paraId="219EAC32" w14:textId="048E34DA"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This animal study was approved by the Ethics Committee of Guangxi Medical University (KY-2023-290), and was conducted in accordance with the Animal Research: Reporting of In Vivo Experiments (ARRIVE 2.0) guidelines.</w:t>
      </w:r>
    </w:p>
    <w:p w14:paraId="5F40BF65" w14:textId="77777777" w:rsidR="00BF2A42" w:rsidRPr="00BF2A42" w:rsidRDefault="00BF2A42" w:rsidP="00BF2A42">
      <w:pPr>
        <w:spacing w:line="360" w:lineRule="auto"/>
        <w:rPr>
          <w:rFonts w:ascii="Times New Roman" w:hAnsi="Times New Roman" w:cs="Times New Roman"/>
          <w:b/>
          <w:bCs/>
          <w:szCs w:val="21"/>
        </w:rPr>
      </w:pPr>
      <w:r w:rsidRPr="00BF2A42">
        <w:rPr>
          <w:rFonts w:ascii="Times New Roman" w:hAnsi="Times New Roman" w:cs="Times New Roman"/>
          <w:b/>
          <w:bCs/>
          <w:szCs w:val="21"/>
        </w:rPr>
        <w:t>Statistical analysis</w:t>
      </w:r>
    </w:p>
    <w:p w14:paraId="51FB7F99" w14:textId="77777777" w:rsidR="00BF2A42" w:rsidRPr="00BF2A42"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Continuous variables between two groups were compared using the Wilcoxon rank-sum test; for multiple-group comparisons, the Kruskal–Wallis test or one-way ANOVA was applied as appropriate. Survival curves were constructed using the Kaplan–Meier method, and group differences were evaluated with the log-rank test. Correlation analyses were performed using either Spearman’s or Pearson’s correlation coefficients, depending on the data characteristics. All statistical analyses were performed in R (version ≥ 4.1), and a two-sided P value &lt;0.05 was considered statistically significant.</w:t>
      </w:r>
    </w:p>
    <w:p w14:paraId="1DC887FC" w14:textId="385AFEBA" w:rsidR="004A6B81" w:rsidRDefault="00BF2A42" w:rsidP="00BF2A42">
      <w:pPr>
        <w:spacing w:line="360" w:lineRule="auto"/>
        <w:rPr>
          <w:rFonts w:ascii="Times New Roman" w:hAnsi="Times New Roman" w:cs="Times New Roman"/>
          <w:szCs w:val="21"/>
        </w:rPr>
      </w:pPr>
      <w:r w:rsidRPr="00BF2A42">
        <w:rPr>
          <w:rFonts w:ascii="Times New Roman" w:hAnsi="Times New Roman" w:cs="Times New Roman"/>
          <w:szCs w:val="21"/>
        </w:rPr>
        <w:t>Data visualization was conducted with the R package ggplot2 (v3.3.5). Heatmaps were generated and visualized using the R package pheatmap (v1.0.12). Statistical analyses were carried out utilizing SP 23.0 (IBM Corporation, Armonk, New York, USA) and GraphPad Prism 8.0 (GraphPad Software, Inc., San Diego, California, USA). All experiments were performed in triplicate, and data are presented as "mean ± standard deviation (SD)".</w:t>
      </w:r>
    </w:p>
    <w:p w14:paraId="1B115A3E" w14:textId="77777777" w:rsidR="00D877B9" w:rsidRDefault="00D877B9" w:rsidP="00BF2A42">
      <w:pPr>
        <w:spacing w:line="360" w:lineRule="auto"/>
        <w:rPr>
          <w:rFonts w:ascii="Times New Roman" w:hAnsi="Times New Roman" w:cs="Times New Roman"/>
          <w:szCs w:val="21"/>
        </w:rPr>
      </w:pPr>
    </w:p>
    <w:p w14:paraId="6BEF603F" w14:textId="188C3FC2" w:rsidR="00D877B9" w:rsidRPr="00D877B9" w:rsidRDefault="00D877B9" w:rsidP="00BF2A42">
      <w:pPr>
        <w:spacing w:line="360" w:lineRule="auto"/>
        <w:rPr>
          <w:rFonts w:ascii="Times New Roman" w:hAnsi="Times New Roman" w:cs="Times New Roman"/>
          <w:b/>
          <w:bCs/>
          <w:szCs w:val="21"/>
        </w:rPr>
      </w:pPr>
      <w:r w:rsidRPr="00D877B9">
        <w:rPr>
          <w:rFonts w:ascii="Times New Roman" w:hAnsi="Times New Roman" w:cs="Times New Roman"/>
          <w:b/>
          <w:bCs/>
          <w:szCs w:val="21"/>
        </w:rPr>
        <w:t>R</w:t>
      </w:r>
      <w:r w:rsidRPr="00D877B9">
        <w:rPr>
          <w:rFonts w:ascii="Times New Roman" w:hAnsi="Times New Roman" w:cs="Times New Roman" w:hint="eastAsia"/>
          <w:b/>
          <w:bCs/>
          <w:szCs w:val="21"/>
        </w:rPr>
        <w:t>eference</w:t>
      </w:r>
    </w:p>
    <w:p w14:paraId="3BA428C0" w14:textId="77777777" w:rsidR="001B154C" w:rsidRPr="001B154C" w:rsidRDefault="001B154C" w:rsidP="001B154C">
      <w:pPr>
        <w:pStyle w:val="a9"/>
        <w:numPr>
          <w:ilvl w:val="0"/>
          <w:numId w:val="1"/>
        </w:numPr>
        <w:spacing w:line="360" w:lineRule="auto"/>
        <w:rPr>
          <w:rFonts w:ascii="Times New Roman" w:hAnsi="Times New Roman" w:cs="Times New Roman" w:hint="eastAsia"/>
          <w:szCs w:val="21"/>
        </w:rPr>
      </w:pPr>
      <w:r w:rsidRPr="001B154C">
        <w:rPr>
          <w:rFonts w:ascii="Times New Roman" w:hAnsi="Times New Roman" w:cs="Times New Roman" w:hint="eastAsia"/>
          <w:szCs w:val="21"/>
        </w:rPr>
        <w:t>Stuart T, Butler A, Hoffman P, et al. Comprehensive integration of single-cell data. Cell. 2019;177(7):1888-902.e21.</w:t>
      </w:r>
    </w:p>
    <w:p w14:paraId="23BC142F" w14:textId="77777777" w:rsidR="001B154C" w:rsidRPr="001B154C" w:rsidRDefault="001B154C" w:rsidP="001B154C">
      <w:pPr>
        <w:pStyle w:val="a9"/>
        <w:numPr>
          <w:ilvl w:val="0"/>
          <w:numId w:val="1"/>
        </w:numPr>
        <w:spacing w:line="360" w:lineRule="auto"/>
        <w:rPr>
          <w:rFonts w:ascii="Times New Roman" w:hAnsi="Times New Roman" w:cs="Times New Roman" w:hint="eastAsia"/>
          <w:szCs w:val="21"/>
        </w:rPr>
      </w:pPr>
      <w:r w:rsidRPr="001B154C">
        <w:rPr>
          <w:rFonts w:ascii="Times New Roman" w:hAnsi="Times New Roman" w:cs="Times New Roman" w:hint="eastAsia"/>
          <w:szCs w:val="21"/>
          <w:lang w:val="fi-FI"/>
        </w:rPr>
        <w:lastRenderedPageBreak/>
        <w:t xml:space="preserve">Szlarczyk D, Kirsch R, Koutrouli M, et al. </w:t>
      </w:r>
      <w:r w:rsidRPr="001B154C">
        <w:rPr>
          <w:rFonts w:ascii="Times New Roman" w:hAnsi="Times New Roman" w:cs="Times New Roman" w:hint="eastAsia"/>
          <w:szCs w:val="21"/>
        </w:rPr>
        <w:t>The STRING database in 2023: protein-protein association networks and functional enrichment analyses for any sequenced genome of interest. Nucleic Acids Res. 2023;51(D1):D638-46.</w:t>
      </w:r>
    </w:p>
    <w:p w14:paraId="015F1F07" w14:textId="77777777" w:rsidR="001B154C" w:rsidRPr="001B154C" w:rsidRDefault="001B154C" w:rsidP="001B154C">
      <w:pPr>
        <w:pStyle w:val="a9"/>
        <w:numPr>
          <w:ilvl w:val="0"/>
          <w:numId w:val="1"/>
        </w:numPr>
        <w:spacing w:line="360" w:lineRule="auto"/>
        <w:rPr>
          <w:rFonts w:ascii="Times New Roman" w:hAnsi="Times New Roman" w:cs="Times New Roman" w:hint="eastAsia"/>
          <w:szCs w:val="21"/>
        </w:rPr>
      </w:pPr>
      <w:r w:rsidRPr="001B154C">
        <w:rPr>
          <w:rFonts w:ascii="Times New Roman" w:hAnsi="Times New Roman" w:cs="Times New Roman" w:hint="eastAsia"/>
          <w:szCs w:val="21"/>
        </w:rPr>
        <w:t>Shannon P, Markiel A, Ozier O, et al. Cytoscape: a software environment for integrated models of biomolecular interaction networks. Genome Res. 2003;13(11):2498-504.</w:t>
      </w:r>
    </w:p>
    <w:p w14:paraId="3935FBC0" w14:textId="328488DF" w:rsidR="001B154C" w:rsidRPr="001B154C" w:rsidRDefault="001B154C" w:rsidP="001B154C">
      <w:pPr>
        <w:pStyle w:val="a9"/>
        <w:numPr>
          <w:ilvl w:val="0"/>
          <w:numId w:val="1"/>
        </w:numPr>
        <w:spacing w:line="360" w:lineRule="auto"/>
        <w:rPr>
          <w:rFonts w:ascii="Times New Roman" w:hAnsi="Times New Roman" w:cs="Times New Roman" w:hint="eastAsia"/>
          <w:szCs w:val="21"/>
        </w:rPr>
      </w:pPr>
      <w:r w:rsidRPr="001B154C">
        <w:rPr>
          <w:rFonts w:ascii="Times New Roman" w:hAnsi="Times New Roman" w:cs="Times New Roman" w:hint="eastAsia"/>
          <w:szCs w:val="21"/>
          <w:lang w:val="fi-FI"/>
        </w:rPr>
        <w:t xml:space="preserve">Schmidt EK, Clavarino G, Ceppi M, et al. </w:t>
      </w:r>
      <w:r w:rsidRPr="001B154C">
        <w:rPr>
          <w:rFonts w:ascii="Times New Roman" w:hAnsi="Times New Roman" w:cs="Times New Roman" w:hint="eastAsia"/>
          <w:szCs w:val="21"/>
        </w:rPr>
        <w:t>SUnSET, a nonradioactive method to monitor protein synthesis. Nat Methods. 2009;6(4):275-7. doi:10.1038/nmeth.1314</w:t>
      </w:r>
    </w:p>
    <w:p w14:paraId="026F79F3" w14:textId="6707D508" w:rsidR="00D877B9" w:rsidRPr="00D64991" w:rsidRDefault="001B154C" w:rsidP="001B154C">
      <w:pPr>
        <w:pStyle w:val="a9"/>
        <w:numPr>
          <w:ilvl w:val="0"/>
          <w:numId w:val="1"/>
        </w:numPr>
        <w:spacing w:line="360" w:lineRule="auto"/>
        <w:rPr>
          <w:rFonts w:ascii="Times New Roman" w:hAnsi="Times New Roman" w:cs="Times New Roman"/>
          <w:szCs w:val="21"/>
        </w:rPr>
      </w:pPr>
      <w:r w:rsidRPr="001B154C">
        <w:rPr>
          <w:rFonts w:ascii="Times New Roman" w:hAnsi="Times New Roman" w:cs="Times New Roman" w:hint="eastAsia"/>
          <w:szCs w:val="21"/>
          <w:lang w:val="fi-FI"/>
        </w:rPr>
        <w:t xml:space="preserve">Yi Y, Li Y, Meng Q, et al. </w:t>
      </w:r>
      <w:r w:rsidRPr="001B154C">
        <w:rPr>
          <w:rFonts w:ascii="Times New Roman" w:hAnsi="Times New Roman" w:cs="Times New Roman" w:hint="eastAsia"/>
          <w:szCs w:val="21"/>
        </w:rPr>
        <w:t>A PRC2-independent function for EZH2 in regulating rRNA 2'-O methylation and IRES-dependent translation. Nat Cell Biol. 2021;23(4):341-54.</w:t>
      </w:r>
    </w:p>
    <w:sectPr w:rsidR="00D877B9" w:rsidRPr="00D6499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2549"/>
    <w:multiLevelType w:val="hybridMultilevel"/>
    <w:tmpl w:val="56C420E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32734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3E1"/>
    <w:rsid w:val="00021B59"/>
    <w:rsid w:val="000A28B0"/>
    <w:rsid w:val="001523E1"/>
    <w:rsid w:val="001B154C"/>
    <w:rsid w:val="004A6B81"/>
    <w:rsid w:val="006C7F45"/>
    <w:rsid w:val="00751A37"/>
    <w:rsid w:val="00A13BA9"/>
    <w:rsid w:val="00BF2A42"/>
    <w:rsid w:val="00D64991"/>
    <w:rsid w:val="00D877B9"/>
    <w:rsid w:val="00DA7C21"/>
    <w:rsid w:val="00DF4574"/>
    <w:rsid w:val="00FE6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C96CC"/>
  <w15:chartTrackingRefBased/>
  <w15:docId w15:val="{44845973-E70D-4E28-89FB-3A1AEDBD4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523E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523E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523E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523E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523E1"/>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1523E1"/>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523E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523E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523E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523E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523E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523E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523E1"/>
    <w:rPr>
      <w:rFonts w:cstheme="majorBidi"/>
      <w:color w:val="0F4761" w:themeColor="accent1" w:themeShade="BF"/>
      <w:sz w:val="28"/>
      <w:szCs w:val="28"/>
    </w:rPr>
  </w:style>
  <w:style w:type="character" w:customStyle="1" w:styleId="50">
    <w:name w:val="标题 5 字符"/>
    <w:basedOn w:val="a0"/>
    <w:link w:val="5"/>
    <w:uiPriority w:val="9"/>
    <w:semiHidden/>
    <w:rsid w:val="001523E1"/>
    <w:rPr>
      <w:rFonts w:cstheme="majorBidi"/>
      <w:color w:val="0F4761" w:themeColor="accent1" w:themeShade="BF"/>
      <w:sz w:val="24"/>
      <w:szCs w:val="24"/>
    </w:rPr>
  </w:style>
  <w:style w:type="character" w:customStyle="1" w:styleId="60">
    <w:name w:val="标题 6 字符"/>
    <w:basedOn w:val="a0"/>
    <w:link w:val="6"/>
    <w:uiPriority w:val="9"/>
    <w:semiHidden/>
    <w:rsid w:val="001523E1"/>
    <w:rPr>
      <w:rFonts w:cstheme="majorBidi"/>
      <w:b/>
      <w:bCs/>
      <w:color w:val="0F4761" w:themeColor="accent1" w:themeShade="BF"/>
    </w:rPr>
  </w:style>
  <w:style w:type="character" w:customStyle="1" w:styleId="70">
    <w:name w:val="标题 7 字符"/>
    <w:basedOn w:val="a0"/>
    <w:link w:val="7"/>
    <w:uiPriority w:val="9"/>
    <w:semiHidden/>
    <w:rsid w:val="001523E1"/>
    <w:rPr>
      <w:rFonts w:cstheme="majorBidi"/>
      <w:b/>
      <w:bCs/>
      <w:color w:val="595959" w:themeColor="text1" w:themeTint="A6"/>
    </w:rPr>
  </w:style>
  <w:style w:type="character" w:customStyle="1" w:styleId="80">
    <w:name w:val="标题 8 字符"/>
    <w:basedOn w:val="a0"/>
    <w:link w:val="8"/>
    <w:uiPriority w:val="9"/>
    <w:semiHidden/>
    <w:rsid w:val="001523E1"/>
    <w:rPr>
      <w:rFonts w:cstheme="majorBidi"/>
      <w:color w:val="595959" w:themeColor="text1" w:themeTint="A6"/>
    </w:rPr>
  </w:style>
  <w:style w:type="character" w:customStyle="1" w:styleId="90">
    <w:name w:val="标题 9 字符"/>
    <w:basedOn w:val="a0"/>
    <w:link w:val="9"/>
    <w:uiPriority w:val="9"/>
    <w:semiHidden/>
    <w:rsid w:val="001523E1"/>
    <w:rPr>
      <w:rFonts w:eastAsiaTheme="majorEastAsia" w:cstheme="majorBidi"/>
      <w:color w:val="595959" w:themeColor="text1" w:themeTint="A6"/>
    </w:rPr>
  </w:style>
  <w:style w:type="paragraph" w:styleId="a3">
    <w:name w:val="Title"/>
    <w:basedOn w:val="a"/>
    <w:next w:val="a"/>
    <w:link w:val="a4"/>
    <w:uiPriority w:val="10"/>
    <w:qFormat/>
    <w:rsid w:val="001523E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523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23E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523E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523E1"/>
    <w:pPr>
      <w:spacing w:before="160" w:after="160"/>
      <w:jc w:val="center"/>
    </w:pPr>
    <w:rPr>
      <w:i/>
      <w:iCs/>
      <w:color w:val="404040" w:themeColor="text1" w:themeTint="BF"/>
    </w:rPr>
  </w:style>
  <w:style w:type="character" w:customStyle="1" w:styleId="a8">
    <w:name w:val="引用 字符"/>
    <w:basedOn w:val="a0"/>
    <w:link w:val="a7"/>
    <w:uiPriority w:val="29"/>
    <w:rsid w:val="001523E1"/>
    <w:rPr>
      <w:i/>
      <w:iCs/>
      <w:color w:val="404040" w:themeColor="text1" w:themeTint="BF"/>
    </w:rPr>
  </w:style>
  <w:style w:type="paragraph" w:styleId="a9">
    <w:name w:val="List Paragraph"/>
    <w:basedOn w:val="a"/>
    <w:uiPriority w:val="34"/>
    <w:qFormat/>
    <w:rsid w:val="001523E1"/>
    <w:pPr>
      <w:ind w:left="720"/>
      <w:contextualSpacing/>
    </w:pPr>
  </w:style>
  <w:style w:type="character" w:styleId="aa">
    <w:name w:val="Intense Emphasis"/>
    <w:basedOn w:val="a0"/>
    <w:uiPriority w:val="21"/>
    <w:qFormat/>
    <w:rsid w:val="001523E1"/>
    <w:rPr>
      <w:i/>
      <w:iCs/>
      <w:color w:val="0F4761" w:themeColor="accent1" w:themeShade="BF"/>
    </w:rPr>
  </w:style>
  <w:style w:type="paragraph" w:styleId="ab">
    <w:name w:val="Intense Quote"/>
    <w:basedOn w:val="a"/>
    <w:next w:val="a"/>
    <w:link w:val="ac"/>
    <w:uiPriority w:val="30"/>
    <w:qFormat/>
    <w:rsid w:val="001523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523E1"/>
    <w:rPr>
      <w:i/>
      <w:iCs/>
      <w:color w:val="0F4761" w:themeColor="accent1" w:themeShade="BF"/>
    </w:rPr>
  </w:style>
  <w:style w:type="character" w:styleId="ad">
    <w:name w:val="Intense Reference"/>
    <w:basedOn w:val="a0"/>
    <w:uiPriority w:val="32"/>
    <w:qFormat/>
    <w:rsid w:val="001523E1"/>
    <w:rPr>
      <w:b/>
      <w:bCs/>
      <w:smallCaps/>
      <w:color w:val="0F4761" w:themeColor="accent1" w:themeShade="BF"/>
      <w:spacing w:val="5"/>
    </w:rPr>
  </w:style>
  <w:style w:type="table" w:styleId="ae">
    <w:name w:val="Table Grid"/>
    <w:basedOn w:val="a1"/>
    <w:uiPriority w:val="39"/>
    <w:rsid w:val="00D87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971</TotalTime>
  <Pages>14</Pages>
  <Words>4595</Words>
  <Characters>28172</Characters>
  <Application>Microsoft Office Word</Application>
  <DocSecurity>0</DocSecurity>
  <Lines>402</Lines>
  <Paragraphs>96</Paragraphs>
  <ScaleCrop>false</ScaleCrop>
  <Company/>
  <LinksUpToDate>false</LinksUpToDate>
  <CharactersWithSpaces>32671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Haoyu Zeng</dc:creator>
  <cp:keywords/>
  <dc:description/>
  <cp:lastModifiedBy>Haoyu Zeng</cp:lastModifiedBy>
  <cp:revision>6</cp:revision>
  <dcterms:created xsi:type="dcterms:W3CDTF">2026-04-13T18:50:00Z</dcterms:created>
  <dcterms:modified xsi:type="dcterms:W3CDTF">2026-04-18T04:38:00Z</dcterms:modified>
</cp:coreProperties>
</file>