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2491B" w14:textId="77777777" w:rsidR="006F42E8" w:rsidRDefault="006F42E8" w:rsidP="006F42E8">
      <w:pPr>
        <w:jc w:val="center"/>
        <w:rPr>
          <w:rFonts w:ascii="Times New Roman" w:hAnsi="Times New Roman" w:cs="Times New Roman"/>
          <w:color w:val="153D63" w:themeColor="text2" w:themeTint="E6"/>
          <w:sz w:val="32"/>
          <w:szCs w:val="32"/>
        </w:rPr>
      </w:pPr>
    </w:p>
    <w:p w14:paraId="64A7744A" w14:textId="77777777" w:rsidR="006F42E8" w:rsidRDefault="006F42E8" w:rsidP="006F42E8">
      <w:pPr>
        <w:jc w:val="center"/>
        <w:rPr>
          <w:rFonts w:ascii="Times New Roman" w:hAnsi="Times New Roman" w:cs="Times New Roman"/>
          <w:color w:val="153D63" w:themeColor="text2" w:themeTint="E6"/>
          <w:sz w:val="32"/>
          <w:szCs w:val="32"/>
        </w:rPr>
      </w:pPr>
    </w:p>
    <w:p w14:paraId="3872C285" w14:textId="77777777" w:rsidR="006F42E8" w:rsidRDefault="006F42E8" w:rsidP="006F42E8">
      <w:pPr>
        <w:jc w:val="center"/>
        <w:rPr>
          <w:rFonts w:ascii="Times New Roman" w:hAnsi="Times New Roman" w:cs="Times New Roman"/>
          <w:color w:val="153D63" w:themeColor="text2" w:themeTint="E6"/>
          <w:sz w:val="32"/>
          <w:szCs w:val="32"/>
        </w:rPr>
      </w:pPr>
    </w:p>
    <w:p w14:paraId="1DD1A0C4" w14:textId="77777777" w:rsidR="006F42E8" w:rsidRDefault="006F42E8" w:rsidP="006F42E8">
      <w:pPr>
        <w:jc w:val="center"/>
        <w:rPr>
          <w:rFonts w:ascii="Times New Roman" w:hAnsi="Times New Roman" w:cs="Times New Roman"/>
          <w:color w:val="153D63" w:themeColor="text2" w:themeTint="E6"/>
          <w:sz w:val="32"/>
          <w:szCs w:val="32"/>
        </w:rPr>
      </w:pPr>
    </w:p>
    <w:p w14:paraId="45A9A52F" w14:textId="77777777" w:rsidR="006F42E8" w:rsidRDefault="006F42E8" w:rsidP="006F42E8">
      <w:pPr>
        <w:jc w:val="center"/>
        <w:rPr>
          <w:rFonts w:ascii="Times New Roman" w:hAnsi="Times New Roman" w:cs="Times New Roman"/>
          <w:color w:val="153D63" w:themeColor="text2" w:themeTint="E6"/>
          <w:sz w:val="32"/>
          <w:szCs w:val="32"/>
        </w:rPr>
      </w:pPr>
    </w:p>
    <w:p w14:paraId="70E0A834" w14:textId="77777777" w:rsidR="006F42E8" w:rsidRDefault="006F42E8" w:rsidP="006F42E8">
      <w:pPr>
        <w:jc w:val="center"/>
        <w:rPr>
          <w:rFonts w:ascii="Times New Roman" w:hAnsi="Times New Roman" w:cs="Times New Roman"/>
          <w:color w:val="153D63" w:themeColor="text2" w:themeTint="E6"/>
          <w:sz w:val="32"/>
          <w:szCs w:val="32"/>
        </w:rPr>
      </w:pPr>
    </w:p>
    <w:p w14:paraId="5AB94239" w14:textId="77777777" w:rsidR="006F42E8" w:rsidRDefault="006F42E8" w:rsidP="006F42E8">
      <w:pPr>
        <w:jc w:val="center"/>
        <w:rPr>
          <w:rFonts w:ascii="Times New Roman" w:hAnsi="Times New Roman" w:cs="Times New Roman"/>
          <w:color w:val="153D63" w:themeColor="text2" w:themeTint="E6"/>
          <w:sz w:val="32"/>
          <w:szCs w:val="32"/>
        </w:rPr>
      </w:pPr>
    </w:p>
    <w:p w14:paraId="5F246490" w14:textId="77777777" w:rsidR="006F42E8" w:rsidRDefault="006F42E8" w:rsidP="006F42E8">
      <w:pPr>
        <w:jc w:val="center"/>
        <w:rPr>
          <w:rFonts w:ascii="Times New Roman" w:hAnsi="Times New Roman" w:cs="Times New Roman"/>
          <w:color w:val="153D63" w:themeColor="text2" w:themeTint="E6"/>
          <w:sz w:val="32"/>
          <w:szCs w:val="32"/>
        </w:rPr>
      </w:pPr>
    </w:p>
    <w:p w14:paraId="42884A3C" w14:textId="77777777" w:rsidR="006F42E8" w:rsidRDefault="006F42E8" w:rsidP="006F42E8">
      <w:pPr>
        <w:jc w:val="center"/>
        <w:rPr>
          <w:rFonts w:ascii="Times New Roman" w:hAnsi="Times New Roman" w:cs="Times New Roman"/>
          <w:color w:val="153D63" w:themeColor="text2" w:themeTint="E6"/>
          <w:sz w:val="32"/>
          <w:szCs w:val="32"/>
        </w:rPr>
      </w:pPr>
    </w:p>
    <w:p w14:paraId="40048683" w14:textId="77777777" w:rsidR="006F42E8" w:rsidRDefault="006F42E8" w:rsidP="006F42E8">
      <w:pPr>
        <w:jc w:val="center"/>
        <w:rPr>
          <w:rFonts w:ascii="Times New Roman" w:hAnsi="Times New Roman" w:cs="Times New Roman"/>
          <w:color w:val="153D63" w:themeColor="text2" w:themeTint="E6"/>
          <w:sz w:val="32"/>
          <w:szCs w:val="32"/>
        </w:rPr>
      </w:pPr>
    </w:p>
    <w:p w14:paraId="38B4BE10" w14:textId="0194AEDA" w:rsidR="006F42E8" w:rsidRDefault="00B94C68" w:rsidP="006F42E8">
      <w:pPr>
        <w:jc w:val="center"/>
        <w:rPr>
          <w:rFonts w:ascii="Times New Roman" w:hAnsi="Times New Roman" w:cs="Times New Roman"/>
          <w:color w:val="153D63" w:themeColor="text2" w:themeTint="E6"/>
          <w:sz w:val="32"/>
          <w:szCs w:val="32"/>
        </w:rPr>
      </w:pPr>
      <w:r w:rsidRPr="00225BE4">
        <w:rPr>
          <w:rFonts w:ascii="Times New Roman" w:hAnsi="Times New Roman" w:cs="Times New Roman"/>
          <w:color w:val="153D63" w:themeColor="text2" w:themeTint="E6"/>
          <w:sz w:val="32"/>
          <w:szCs w:val="32"/>
        </w:rPr>
        <w:t>Extended Data</w:t>
      </w:r>
    </w:p>
    <w:p w14:paraId="339F64A2" w14:textId="77777777" w:rsidR="006F42E8" w:rsidRDefault="006F42E8">
      <w:pPr>
        <w:rPr>
          <w:rFonts w:ascii="Times New Roman" w:hAnsi="Times New Roman" w:cs="Times New Roman"/>
          <w:color w:val="153D63" w:themeColor="text2" w:themeTint="E6"/>
          <w:sz w:val="32"/>
          <w:szCs w:val="32"/>
        </w:rPr>
      </w:pPr>
      <w:r>
        <w:rPr>
          <w:rFonts w:ascii="Times New Roman" w:hAnsi="Times New Roman" w:cs="Times New Roman"/>
          <w:color w:val="153D63" w:themeColor="text2" w:themeTint="E6"/>
          <w:sz w:val="32"/>
          <w:szCs w:val="32"/>
        </w:rPr>
        <w:br w:type="page"/>
      </w:r>
    </w:p>
    <w:p w14:paraId="10099F19" w14:textId="77777777" w:rsidR="00DC7051" w:rsidRPr="00225BE4" w:rsidRDefault="00DC7051" w:rsidP="006F42E8">
      <w:pPr>
        <w:jc w:val="center"/>
        <w:rPr>
          <w:rFonts w:ascii="Times New Roman" w:eastAsiaTheme="majorEastAsia" w:hAnsi="Times New Roman" w:cs="Times New Roman"/>
          <w:color w:val="153D63" w:themeColor="text2" w:themeTint="E6"/>
          <w:sz w:val="40"/>
          <w:szCs w:val="40"/>
        </w:rPr>
      </w:pPr>
    </w:p>
    <w:p w14:paraId="4EED38D6" w14:textId="77777777" w:rsidR="008D7E55" w:rsidRPr="000D14EA" w:rsidRDefault="008D7E55" w:rsidP="000D14EA">
      <w:pPr>
        <w:jc w:val="both"/>
        <w:rPr>
          <w:rFonts w:ascii="Times New Roman" w:hAnsi="Times New Roman" w:cs="Times New Roman"/>
        </w:rPr>
      </w:pPr>
    </w:p>
    <w:p w14:paraId="4CBFCFDD" w14:textId="77777777" w:rsidR="0091144D" w:rsidRPr="000D14EA" w:rsidRDefault="0091144D" w:rsidP="00260A2C">
      <w:pPr>
        <w:keepNext/>
        <w:jc w:val="center"/>
        <w:rPr>
          <w:rFonts w:ascii="Times New Roman" w:hAnsi="Times New Roman" w:cs="Times New Roman"/>
        </w:rPr>
      </w:pPr>
      <w:r w:rsidRPr="000D14EA">
        <w:rPr>
          <w:rFonts w:ascii="Times New Roman" w:hAnsi="Times New Roman" w:cs="Times New Roman"/>
          <w:noProof/>
        </w:rPr>
        <w:drawing>
          <wp:inline distT="0" distB="0" distL="0" distR="0" wp14:anchorId="416685E5" wp14:editId="41D78C18">
            <wp:extent cx="6756477" cy="3325091"/>
            <wp:effectExtent l="0" t="0" r="6350" b="8890"/>
            <wp:docPr id="1591856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56012" name="Picture 15918560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65506" cy="3329534"/>
                    </a:xfrm>
                    <a:prstGeom prst="rect">
                      <a:avLst/>
                    </a:prstGeom>
                  </pic:spPr>
                </pic:pic>
              </a:graphicData>
            </a:graphic>
          </wp:inline>
        </w:drawing>
      </w:r>
    </w:p>
    <w:p w14:paraId="3B3CA454" w14:textId="4B3F0E9C" w:rsidR="00060F1F" w:rsidRPr="000D14EA" w:rsidRDefault="0091144D" w:rsidP="000D14EA">
      <w:pPr>
        <w:pStyle w:val="Heading2"/>
        <w:contextualSpacing/>
        <w:jc w:val="both"/>
        <w:rPr>
          <w:rFonts w:ascii="Times New Roman" w:hAnsi="Times New Roman" w:cs="Times New Roman"/>
          <w:b/>
          <w:bCs/>
          <w:sz w:val="22"/>
          <w:szCs w:val="22"/>
        </w:rPr>
      </w:pPr>
      <w:bookmarkStart w:id="0" w:name="_Ref231767048"/>
      <w:r w:rsidRPr="000D14EA">
        <w:rPr>
          <w:rFonts w:ascii="Times New Roman" w:hAnsi="Times New Roman" w:cs="Times New Roman"/>
          <w:b/>
          <w:bCs/>
          <w:sz w:val="22"/>
          <w:szCs w:val="22"/>
        </w:rPr>
        <w:t xml:space="preserve">Extended Data Fig. </w:t>
      </w:r>
      <w:r w:rsidRPr="000D14EA">
        <w:rPr>
          <w:rFonts w:ascii="Times New Roman" w:hAnsi="Times New Roman" w:cs="Times New Roman"/>
          <w:b/>
          <w:bCs/>
          <w:sz w:val="22"/>
          <w:szCs w:val="22"/>
        </w:rPr>
        <w:fldChar w:fldCharType="begin"/>
      </w:r>
      <w:r w:rsidRPr="000D14EA">
        <w:rPr>
          <w:rFonts w:ascii="Times New Roman" w:hAnsi="Times New Roman" w:cs="Times New Roman"/>
          <w:b/>
          <w:bCs/>
          <w:sz w:val="22"/>
          <w:szCs w:val="22"/>
        </w:rPr>
        <w:instrText xml:space="preserve"> SEQ Extended_Data_Fig. \* ARABIC </w:instrText>
      </w:r>
      <w:r w:rsidRPr="000D14EA">
        <w:rPr>
          <w:rFonts w:ascii="Times New Roman" w:hAnsi="Times New Roman" w:cs="Times New Roman"/>
          <w:b/>
          <w:bCs/>
          <w:sz w:val="22"/>
          <w:szCs w:val="22"/>
        </w:rPr>
        <w:fldChar w:fldCharType="separate"/>
      </w:r>
      <w:r w:rsidR="00357A41" w:rsidRPr="000D14EA">
        <w:rPr>
          <w:rFonts w:ascii="Times New Roman" w:hAnsi="Times New Roman" w:cs="Times New Roman"/>
          <w:b/>
          <w:bCs/>
          <w:noProof/>
          <w:sz w:val="22"/>
          <w:szCs w:val="22"/>
        </w:rPr>
        <w:t>1</w:t>
      </w:r>
      <w:r w:rsidRPr="000D14EA">
        <w:rPr>
          <w:rFonts w:ascii="Times New Roman" w:hAnsi="Times New Roman" w:cs="Times New Roman"/>
          <w:b/>
          <w:bCs/>
          <w:sz w:val="22"/>
          <w:szCs w:val="22"/>
        </w:rPr>
        <w:fldChar w:fldCharType="end"/>
      </w:r>
      <w:bookmarkEnd w:id="0"/>
      <w:r w:rsidR="00060F1F" w:rsidRPr="000D14EA">
        <w:rPr>
          <w:rFonts w:ascii="Times New Roman" w:hAnsi="Times New Roman" w:cs="Times New Roman"/>
          <w:b/>
          <w:bCs/>
          <w:sz w:val="22"/>
          <w:szCs w:val="22"/>
        </w:rPr>
        <w:t xml:space="preserve"> | </w:t>
      </w:r>
      <w:r w:rsidR="00332C07" w:rsidRPr="000D14EA">
        <w:rPr>
          <w:rFonts w:ascii="Times New Roman" w:hAnsi="Times New Roman" w:cs="Times New Roman"/>
          <w:b/>
          <w:bCs/>
          <w:sz w:val="22"/>
          <w:szCs w:val="22"/>
        </w:rPr>
        <w:t>Baseline serum protein profiles in relation to early immunotherapy response.</w:t>
      </w:r>
    </w:p>
    <w:p w14:paraId="03B432C6" w14:textId="4FC2C577" w:rsidR="00332C07" w:rsidRPr="000D14EA" w:rsidRDefault="00332C07" w:rsidP="000D14EA">
      <w:pPr>
        <w:pStyle w:val="Caption"/>
        <w:contextualSpacing/>
        <w:jc w:val="both"/>
        <w:rPr>
          <w:rFonts w:ascii="Times New Roman" w:hAnsi="Times New Roman" w:cs="Times New Roman"/>
          <w:i w:val="0"/>
          <w:iCs w:val="0"/>
          <w:sz w:val="22"/>
          <w:szCs w:val="22"/>
        </w:rPr>
      </w:pPr>
      <w:r w:rsidRPr="000D14EA">
        <w:rPr>
          <w:rFonts w:ascii="Times New Roman" w:hAnsi="Times New Roman" w:cs="Times New Roman"/>
          <w:b/>
          <w:bCs/>
          <w:i w:val="0"/>
          <w:iCs w:val="0"/>
          <w:sz w:val="22"/>
          <w:szCs w:val="22"/>
        </w:rPr>
        <w:t>a</w:t>
      </w:r>
      <w:r w:rsidRPr="000D14EA">
        <w:rPr>
          <w:rFonts w:ascii="Times New Roman" w:hAnsi="Times New Roman" w:cs="Times New Roman"/>
          <w:i w:val="0"/>
          <w:iCs w:val="0"/>
          <w:sz w:val="22"/>
          <w:szCs w:val="22"/>
        </w:rPr>
        <w:t xml:space="preserve">, Boxplots of </w:t>
      </w:r>
      <w:r w:rsidR="00A910C0" w:rsidRPr="000D14EA">
        <w:rPr>
          <w:rFonts w:ascii="Times New Roman" w:hAnsi="Times New Roman" w:cs="Times New Roman"/>
          <w:i w:val="0"/>
          <w:iCs w:val="0"/>
          <w:sz w:val="22"/>
          <w:szCs w:val="22"/>
        </w:rPr>
        <w:t xml:space="preserve">baseline </w:t>
      </w:r>
      <w:r w:rsidRPr="000D14EA">
        <w:rPr>
          <w:rFonts w:ascii="Times New Roman" w:hAnsi="Times New Roman" w:cs="Times New Roman"/>
          <w:i w:val="0"/>
          <w:iCs w:val="0"/>
          <w:sz w:val="22"/>
          <w:szCs w:val="22"/>
        </w:rPr>
        <w:t xml:space="preserve">normalized protein expression (NPX) levels </w:t>
      </w:r>
      <w:r w:rsidR="006A2EA8" w:rsidRPr="000D14EA">
        <w:rPr>
          <w:rFonts w:ascii="Times New Roman" w:hAnsi="Times New Roman" w:cs="Times New Roman"/>
          <w:i w:val="0"/>
          <w:iCs w:val="0"/>
          <w:sz w:val="22"/>
          <w:szCs w:val="22"/>
        </w:rPr>
        <w:t>of</w:t>
      </w:r>
      <w:r w:rsidRPr="000D14EA">
        <w:rPr>
          <w:rFonts w:ascii="Times New Roman" w:hAnsi="Times New Roman" w:cs="Times New Roman"/>
          <w:i w:val="0"/>
          <w:iCs w:val="0"/>
          <w:sz w:val="22"/>
          <w:szCs w:val="22"/>
        </w:rPr>
        <w:t xml:space="preserve"> specific baseline serum proteins that demonstrated unadjusted statistical significance (</w:t>
      </w:r>
      <w:r w:rsidR="00192209" w:rsidRPr="000D14EA">
        <w:rPr>
          <w:rFonts w:ascii="Times New Roman" w:hAnsi="Times New Roman" w:cs="Times New Roman"/>
          <w:sz w:val="22"/>
          <w:szCs w:val="22"/>
        </w:rPr>
        <w:t>P</w:t>
      </w:r>
      <w:r w:rsidR="00192209" w:rsidRPr="000D14EA">
        <w:rPr>
          <w:rFonts w:ascii="Times New Roman" w:hAnsi="Times New Roman" w:cs="Times New Roman"/>
          <w:i w:val="0"/>
          <w:iCs w:val="0"/>
          <w:sz w:val="22"/>
          <w:szCs w:val="22"/>
        </w:rPr>
        <w:t xml:space="preserve"> &lt; 0.05</w:t>
      </w:r>
      <w:r w:rsidRPr="000D14EA">
        <w:rPr>
          <w:rFonts w:ascii="Times New Roman" w:hAnsi="Times New Roman" w:cs="Times New Roman"/>
          <w:i w:val="0"/>
          <w:iCs w:val="0"/>
          <w:sz w:val="22"/>
          <w:szCs w:val="22"/>
        </w:rPr>
        <w:t>) between 3-month non-responders (NR,</w:t>
      </w:r>
      <w:r w:rsidR="00192209" w:rsidRPr="000D14EA">
        <w:rPr>
          <w:rFonts w:ascii="Times New Roman" w:hAnsi="Times New Roman" w:cs="Times New Roman"/>
          <w:i w:val="0"/>
          <w:iCs w:val="0"/>
          <w:sz w:val="22"/>
          <w:szCs w:val="22"/>
        </w:rPr>
        <w:t xml:space="preserve"> </w:t>
      </w:r>
      <w:r w:rsidR="00192209" w:rsidRPr="000D14EA">
        <w:rPr>
          <w:rFonts w:ascii="Times New Roman" w:hAnsi="Times New Roman" w:cs="Times New Roman"/>
          <w:sz w:val="22"/>
          <w:szCs w:val="22"/>
        </w:rPr>
        <w:t>n</w:t>
      </w:r>
      <w:r w:rsidR="00192209" w:rsidRPr="000D14EA">
        <w:rPr>
          <w:rFonts w:ascii="Times New Roman" w:hAnsi="Times New Roman" w:cs="Times New Roman"/>
          <w:i w:val="0"/>
          <w:iCs w:val="0"/>
          <w:sz w:val="22"/>
          <w:szCs w:val="22"/>
        </w:rPr>
        <w:t xml:space="preserve"> = 16)</w:t>
      </w:r>
      <w:r w:rsidRPr="000D14EA">
        <w:rPr>
          <w:rFonts w:ascii="Times New Roman" w:hAnsi="Times New Roman" w:cs="Times New Roman"/>
          <w:i w:val="0"/>
          <w:iCs w:val="0"/>
          <w:sz w:val="22"/>
          <w:szCs w:val="22"/>
        </w:rPr>
        <w:t xml:space="preserve"> and responders (R, </w:t>
      </w:r>
      <w:r w:rsidR="00192209" w:rsidRPr="000D14EA">
        <w:rPr>
          <w:rFonts w:ascii="Times New Roman" w:hAnsi="Times New Roman" w:cs="Times New Roman"/>
          <w:sz w:val="22"/>
          <w:szCs w:val="22"/>
        </w:rPr>
        <w:t>n</w:t>
      </w:r>
      <w:r w:rsidR="00192209" w:rsidRPr="000D14EA">
        <w:rPr>
          <w:rFonts w:ascii="Times New Roman" w:hAnsi="Times New Roman" w:cs="Times New Roman"/>
          <w:i w:val="0"/>
          <w:iCs w:val="0"/>
          <w:sz w:val="22"/>
          <w:szCs w:val="22"/>
        </w:rPr>
        <w:t xml:space="preserve"> = 56</w:t>
      </w:r>
      <w:r w:rsidRPr="000D14EA">
        <w:rPr>
          <w:rFonts w:ascii="Times New Roman" w:hAnsi="Times New Roman" w:cs="Times New Roman"/>
          <w:i w:val="0"/>
          <w:iCs w:val="0"/>
          <w:sz w:val="22"/>
          <w:szCs w:val="22"/>
        </w:rPr>
        <w:t>).</w:t>
      </w:r>
      <w:r w:rsidR="005A2D33" w:rsidRPr="000D14EA">
        <w:rPr>
          <w:rFonts w:ascii="Times New Roman" w:hAnsi="Times New Roman" w:cs="Times New Roman"/>
          <w:i w:val="0"/>
          <w:iCs w:val="0"/>
          <w:sz w:val="22"/>
          <w:szCs w:val="22"/>
        </w:rPr>
        <w:t xml:space="preserve"> Boxes show 25th, 50th and 75th centiles; whiskers indicate 1.5 × inter-quartile range; points represent individual samples. </w:t>
      </w:r>
      <w:r w:rsidR="005A2D33" w:rsidRPr="000D14EA">
        <w:rPr>
          <w:rFonts w:ascii="Times New Roman" w:hAnsi="Times New Roman" w:cs="Times New Roman"/>
          <w:sz w:val="22"/>
          <w:szCs w:val="22"/>
        </w:rPr>
        <w:t>P</w:t>
      </w:r>
      <w:r w:rsidR="005A2D33" w:rsidRPr="000D14EA">
        <w:rPr>
          <w:rFonts w:ascii="Times New Roman" w:hAnsi="Times New Roman" w:cs="Times New Roman"/>
          <w:i w:val="0"/>
          <w:iCs w:val="0"/>
          <w:sz w:val="22"/>
          <w:szCs w:val="22"/>
        </w:rPr>
        <w:t xml:space="preserve"> values </w:t>
      </w:r>
      <w:r w:rsidR="00806713" w:rsidRPr="000D14EA">
        <w:rPr>
          <w:rFonts w:ascii="Times New Roman" w:hAnsi="Times New Roman" w:cs="Times New Roman"/>
          <w:i w:val="0"/>
          <w:iCs w:val="0"/>
          <w:sz w:val="22"/>
          <w:szCs w:val="22"/>
        </w:rPr>
        <w:t>were</w:t>
      </w:r>
      <w:r w:rsidR="005A2D33" w:rsidRPr="000D14EA">
        <w:rPr>
          <w:rFonts w:ascii="Times New Roman" w:hAnsi="Times New Roman" w:cs="Times New Roman"/>
          <w:i w:val="0"/>
          <w:iCs w:val="0"/>
          <w:sz w:val="22"/>
          <w:szCs w:val="22"/>
        </w:rPr>
        <w:t xml:space="preserve"> calculated by two-sided Wilcoxon rank-sum test.</w:t>
      </w:r>
      <w:r w:rsidR="00BE2947" w:rsidRPr="000D14EA">
        <w:rPr>
          <w:rFonts w:ascii="Times New Roman" w:hAnsi="Times New Roman" w:cs="Times New Roman"/>
          <w:i w:val="0"/>
          <w:iCs w:val="0"/>
          <w:sz w:val="22"/>
          <w:szCs w:val="22"/>
        </w:rPr>
        <w:t xml:space="preserve"> </w:t>
      </w:r>
      <w:r w:rsidRPr="000D14EA">
        <w:rPr>
          <w:rFonts w:ascii="Times New Roman" w:hAnsi="Times New Roman" w:cs="Times New Roman"/>
          <w:b/>
          <w:bCs/>
          <w:i w:val="0"/>
          <w:iCs w:val="0"/>
          <w:sz w:val="22"/>
          <w:szCs w:val="22"/>
        </w:rPr>
        <w:t>b</w:t>
      </w:r>
      <w:r w:rsidRPr="000D14EA">
        <w:rPr>
          <w:rFonts w:ascii="Times New Roman" w:hAnsi="Times New Roman" w:cs="Times New Roman"/>
          <w:i w:val="0"/>
          <w:iCs w:val="0"/>
          <w:sz w:val="22"/>
          <w:szCs w:val="22"/>
        </w:rPr>
        <w:t xml:space="preserve">, Forest plot of odds ratios </w:t>
      </w:r>
      <w:r w:rsidR="00FE4832" w:rsidRPr="000D14EA">
        <w:rPr>
          <w:rFonts w:ascii="Times New Roman" w:hAnsi="Times New Roman" w:cs="Times New Roman"/>
          <w:i w:val="0"/>
          <w:iCs w:val="0"/>
          <w:sz w:val="22"/>
          <w:szCs w:val="22"/>
        </w:rPr>
        <w:t>of</w:t>
      </w:r>
      <w:r w:rsidRPr="000D14EA">
        <w:rPr>
          <w:rFonts w:ascii="Times New Roman" w:hAnsi="Times New Roman" w:cs="Times New Roman"/>
          <w:i w:val="0"/>
          <w:iCs w:val="0"/>
          <w:sz w:val="22"/>
          <w:szCs w:val="22"/>
        </w:rPr>
        <w:t xml:space="preserve"> baseline serum proteins that demonstrated unadjusted statistical significance </w:t>
      </w:r>
      <w:r w:rsidR="00192209" w:rsidRPr="000D14EA">
        <w:rPr>
          <w:rFonts w:ascii="Times New Roman" w:hAnsi="Times New Roman" w:cs="Times New Roman"/>
          <w:i w:val="0"/>
          <w:iCs w:val="0"/>
          <w:sz w:val="22"/>
          <w:szCs w:val="22"/>
        </w:rPr>
        <w:t>(</w:t>
      </w:r>
      <w:r w:rsidR="00192209" w:rsidRPr="000D14EA">
        <w:rPr>
          <w:rFonts w:ascii="Times New Roman" w:hAnsi="Times New Roman" w:cs="Times New Roman"/>
          <w:sz w:val="22"/>
          <w:szCs w:val="22"/>
        </w:rPr>
        <w:t>P</w:t>
      </w:r>
      <w:r w:rsidR="00192209" w:rsidRPr="000D14EA">
        <w:rPr>
          <w:rFonts w:ascii="Times New Roman" w:hAnsi="Times New Roman" w:cs="Times New Roman"/>
          <w:i w:val="0"/>
          <w:iCs w:val="0"/>
          <w:sz w:val="22"/>
          <w:szCs w:val="22"/>
        </w:rPr>
        <w:t xml:space="preserve"> &lt; 0.05) </w:t>
      </w:r>
      <w:r w:rsidRPr="000D14EA">
        <w:rPr>
          <w:rFonts w:ascii="Times New Roman" w:hAnsi="Times New Roman" w:cs="Times New Roman"/>
          <w:i w:val="0"/>
          <w:iCs w:val="0"/>
          <w:sz w:val="22"/>
          <w:szCs w:val="22"/>
        </w:rPr>
        <w:t xml:space="preserve">for predicting 3-month response. </w:t>
      </w:r>
      <w:r w:rsidR="00FE4832" w:rsidRPr="000D14EA">
        <w:rPr>
          <w:rFonts w:ascii="Times New Roman" w:hAnsi="Times New Roman" w:cs="Times New Roman"/>
          <w:i w:val="0"/>
          <w:iCs w:val="0"/>
          <w:sz w:val="22"/>
          <w:szCs w:val="22"/>
        </w:rPr>
        <w:t>C</w:t>
      </w:r>
      <w:r w:rsidRPr="000D14EA">
        <w:rPr>
          <w:rFonts w:ascii="Times New Roman" w:hAnsi="Times New Roman" w:cs="Times New Roman"/>
          <w:i w:val="0"/>
          <w:iCs w:val="0"/>
          <w:sz w:val="22"/>
          <w:szCs w:val="22"/>
        </w:rPr>
        <w:t>ircles represent odds ratios derived from univariate logistic regression, and whiskers indicate 95% confidence intervals. All FDR </w:t>
      </w:r>
      <w:r w:rsidR="00BE2947" w:rsidRPr="000D14EA">
        <w:rPr>
          <w:rFonts w:ascii="Times New Roman" w:hAnsi="Times New Roman" w:cs="Times New Roman"/>
          <w:sz w:val="22"/>
          <w:szCs w:val="22"/>
        </w:rPr>
        <w:t>P</w:t>
      </w:r>
      <w:r w:rsidRPr="000D14EA">
        <w:rPr>
          <w:rFonts w:ascii="Times New Roman" w:hAnsi="Times New Roman" w:cs="Times New Roman"/>
          <w:i w:val="0"/>
          <w:iCs w:val="0"/>
          <w:sz w:val="22"/>
          <w:szCs w:val="22"/>
        </w:rPr>
        <w:t xml:space="preserve"> values </w:t>
      </w:r>
      <w:r w:rsidR="00D02894" w:rsidRPr="000D14EA">
        <w:rPr>
          <w:rFonts w:ascii="Times New Roman" w:hAnsi="Times New Roman" w:cs="Times New Roman"/>
          <w:i w:val="0"/>
          <w:iCs w:val="0"/>
          <w:sz w:val="22"/>
          <w:szCs w:val="22"/>
        </w:rPr>
        <w:t>were</w:t>
      </w:r>
      <w:r w:rsidRPr="000D14EA">
        <w:rPr>
          <w:rFonts w:ascii="Times New Roman" w:hAnsi="Times New Roman" w:cs="Times New Roman"/>
          <w:i w:val="0"/>
          <w:iCs w:val="0"/>
          <w:sz w:val="22"/>
          <w:szCs w:val="22"/>
        </w:rPr>
        <w:t xml:space="preserve"> adjusted using the Benjamini-Hochberg method globally across all 92 evaluated serum proteins; no proteins retained statistical significance (FDR &lt; 0.</w:t>
      </w:r>
      <w:r w:rsidR="007B2F16" w:rsidRPr="000D14EA">
        <w:rPr>
          <w:rFonts w:ascii="Times New Roman" w:hAnsi="Times New Roman" w:cs="Times New Roman"/>
          <w:i w:val="0"/>
          <w:iCs w:val="0"/>
          <w:sz w:val="22"/>
          <w:szCs w:val="22"/>
        </w:rPr>
        <w:t>1</w:t>
      </w:r>
      <w:r w:rsidRPr="000D14EA">
        <w:rPr>
          <w:rFonts w:ascii="Times New Roman" w:hAnsi="Times New Roman" w:cs="Times New Roman"/>
          <w:i w:val="0"/>
          <w:iCs w:val="0"/>
          <w:sz w:val="22"/>
          <w:szCs w:val="22"/>
        </w:rPr>
        <w:t>) following global adjustment.</w:t>
      </w:r>
    </w:p>
    <w:p w14:paraId="2FF075A7" w14:textId="36DE5BBD" w:rsidR="00C0638F" w:rsidRPr="000D14EA" w:rsidRDefault="00C0638F" w:rsidP="000D14EA">
      <w:pPr>
        <w:jc w:val="both"/>
        <w:rPr>
          <w:rFonts w:ascii="Times New Roman" w:hAnsi="Times New Roman" w:cs="Times New Roman"/>
        </w:rPr>
      </w:pPr>
      <w:r w:rsidRPr="000D14EA">
        <w:rPr>
          <w:rFonts w:ascii="Times New Roman" w:hAnsi="Times New Roman" w:cs="Times New Roman"/>
        </w:rPr>
        <w:br w:type="page"/>
      </w:r>
    </w:p>
    <w:p w14:paraId="00B962A3" w14:textId="77777777" w:rsidR="003A660E" w:rsidRPr="000D14EA" w:rsidRDefault="003A660E" w:rsidP="00260A2C">
      <w:pPr>
        <w:keepNext/>
        <w:jc w:val="center"/>
        <w:rPr>
          <w:rFonts w:ascii="Times New Roman" w:hAnsi="Times New Roman" w:cs="Times New Roman"/>
        </w:rPr>
      </w:pPr>
      <w:r w:rsidRPr="000D14EA">
        <w:rPr>
          <w:rFonts w:ascii="Times New Roman" w:hAnsi="Times New Roman" w:cs="Times New Roman"/>
          <w:noProof/>
        </w:rPr>
        <w:lastRenderedPageBreak/>
        <w:drawing>
          <wp:inline distT="0" distB="0" distL="0" distR="0" wp14:anchorId="46B527FA" wp14:editId="30BDCD5A">
            <wp:extent cx="5866410" cy="7601231"/>
            <wp:effectExtent l="0" t="0" r="1270" b="0"/>
            <wp:docPr id="6176376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637631" name="Picture 61763763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70007" cy="7605892"/>
                    </a:xfrm>
                    <a:prstGeom prst="rect">
                      <a:avLst/>
                    </a:prstGeom>
                  </pic:spPr>
                </pic:pic>
              </a:graphicData>
            </a:graphic>
          </wp:inline>
        </w:drawing>
      </w:r>
    </w:p>
    <w:p w14:paraId="3886EECB" w14:textId="2F30000F" w:rsidR="00275424" w:rsidRPr="000D14EA" w:rsidRDefault="003A660E" w:rsidP="000D14EA">
      <w:pPr>
        <w:pStyle w:val="Heading2"/>
        <w:contextualSpacing/>
        <w:jc w:val="both"/>
        <w:rPr>
          <w:rFonts w:ascii="Times New Roman" w:hAnsi="Times New Roman" w:cs="Times New Roman"/>
          <w:b/>
          <w:bCs/>
          <w:sz w:val="22"/>
          <w:szCs w:val="22"/>
        </w:rPr>
      </w:pPr>
      <w:bookmarkStart w:id="1" w:name="_Ref231767455"/>
      <w:r w:rsidRPr="000D14EA">
        <w:rPr>
          <w:rFonts w:ascii="Times New Roman" w:hAnsi="Times New Roman" w:cs="Times New Roman"/>
          <w:b/>
          <w:bCs/>
          <w:sz w:val="22"/>
          <w:szCs w:val="22"/>
        </w:rPr>
        <w:t xml:space="preserve">Extended Data Fig. </w:t>
      </w:r>
      <w:r w:rsidRPr="000D14EA">
        <w:rPr>
          <w:rFonts w:ascii="Times New Roman" w:hAnsi="Times New Roman" w:cs="Times New Roman"/>
          <w:b/>
          <w:bCs/>
          <w:sz w:val="22"/>
          <w:szCs w:val="22"/>
        </w:rPr>
        <w:fldChar w:fldCharType="begin"/>
      </w:r>
      <w:r w:rsidRPr="000D14EA">
        <w:rPr>
          <w:rFonts w:ascii="Times New Roman" w:hAnsi="Times New Roman" w:cs="Times New Roman"/>
          <w:b/>
          <w:bCs/>
          <w:sz w:val="22"/>
          <w:szCs w:val="22"/>
        </w:rPr>
        <w:instrText xml:space="preserve"> SEQ Extended_Data_Fig. \* ARABIC </w:instrText>
      </w:r>
      <w:r w:rsidRPr="000D14EA">
        <w:rPr>
          <w:rFonts w:ascii="Times New Roman" w:hAnsi="Times New Roman" w:cs="Times New Roman"/>
          <w:b/>
          <w:bCs/>
          <w:sz w:val="22"/>
          <w:szCs w:val="22"/>
        </w:rPr>
        <w:fldChar w:fldCharType="separate"/>
      </w:r>
      <w:r w:rsidR="00357A41" w:rsidRPr="000D14EA">
        <w:rPr>
          <w:rFonts w:ascii="Times New Roman" w:hAnsi="Times New Roman" w:cs="Times New Roman"/>
          <w:b/>
          <w:bCs/>
          <w:noProof/>
          <w:sz w:val="22"/>
          <w:szCs w:val="22"/>
        </w:rPr>
        <w:t>2</w:t>
      </w:r>
      <w:r w:rsidRPr="000D14EA">
        <w:rPr>
          <w:rFonts w:ascii="Times New Roman" w:hAnsi="Times New Roman" w:cs="Times New Roman"/>
          <w:b/>
          <w:bCs/>
          <w:sz w:val="22"/>
          <w:szCs w:val="22"/>
        </w:rPr>
        <w:fldChar w:fldCharType="end"/>
      </w:r>
      <w:bookmarkEnd w:id="1"/>
      <w:r w:rsidR="00A6568C" w:rsidRPr="000D14EA">
        <w:rPr>
          <w:rFonts w:ascii="Times New Roman" w:hAnsi="Times New Roman" w:cs="Times New Roman"/>
          <w:b/>
          <w:bCs/>
          <w:sz w:val="22"/>
          <w:szCs w:val="22"/>
        </w:rPr>
        <w:t xml:space="preserve"> | Automated clustering and differential abundance analysis of myeloid cell subsets in peripheral blood.</w:t>
      </w:r>
    </w:p>
    <w:p w14:paraId="1FF70E11" w14:textId="5A6AD935" w:rsidR="009B5D51" w:rsidRPr="00260A2C" w:rsidRDefault="00A6568C" w:rsidP="00260A2C">
      <w:pPr>
        <w:pStyle w:val="Caption"/>
        <w:contextualSpacing/>
        <w:jc w:val="both"/>
        <w:rPr>
          <w:rFonts w:ascii="Times New Roman" w:hAnsi="Times New Roman" w:cs="Times New Roman"/>
          <w:b/>
          <w:bCs/>
          <w:i w:val="0"/>
          <w:iCs w:val="0"/>
          <w:sz w:val="22"/>
          <w:szCs w:val="22"/>
        </w:rPr>
      </w:pPr>
      <w:r w:rsidRPr="000D14EA">
        <w:rPr>
          <w:rFonts w:ascii="Times New Roman" w:hAnsi="Times New Roman" w:cs="Times New Roman"/>
          <w:b/>
          <w:bCs/>
          <w:i w:val="0"/>
          <w:iCs w:val="0"/>
          <w:sz w:val="22"/>
          <w:szCs w:val="22"/>
        </w:rPr>
        <w:t>a</w:t>
      </w:r>
      <w:r w:rsidRPr="000D14EA">
        <w:rPr>
          <w:rFonts w:ascii="Times New Roman" w:hAnsi="Times New Roman" w:cs="Times New Roman"/>
          <w:i w:val="0"/>
          <w:iCs w:val="0"/>
          <w:sz w:val="22"/>
          <w:szCs w:val="22"/>
        </w:rPr>
        <w:t xml:space="preserve">, Uniform Manifold Approximation and Projection (UMAP) of the </w:t>
      </w:r>
      <w:r w:rsidR="00023410" w:rsidRPr="000D14EA">
        <w:rPr>
          <w:rFonts w:ascii="Times New Roman" w:hAnsi="Times New Roman" w:cs="Times New Roman"/>
          <w:i w:val="0"/>
          <w:iCs w:val="0"/>
          <w:sz w:val="22"/>
          <w:szCs w:val="22"/>
        </w:rPr>
        <w:t xml:space="preserve">targeted </w:t>
      </w:r>
      <w:r w:rsidRPr="000D14EA">
        <w:rPr>
          <w:rFonts w:ascii="Times New Roman" w:hAnsi="Times New Roman" w:cs="Times New Roman"/>
          <w:i w:val="0"/>
          <w:iCs w:val="0"/>
          <w:sz w:val="22"/>
          <w:szCs w:val="22"/>
        </w:rPr>
        <w:t xml:space="preserve">myeloid compartment (CD3⁻CD19⁻CD56⁻CD15⁻ cells) </w:t>
      </w:r>
      <w:r w:rsidR="00023410" w:rsidRPr="000D14EA">
        <w:rPr>
          <w:rFonts w:ascii="Times New Roman" w:hAnsi="Times New Roman" w:cs="Times New Roman"/>
          <w:i w:val="0"/>
          <w:iCs w:val="0"/>
          <w:sz w:val="22"/>
          <w:szCs w:val="22"/>
        </w:rPr>
        <w:t>following</w:t>
      </w:r>
      <w:r w:rsidRPr="000D14EA">
        <w:rPr>
          <w:rFonts w:ascii="Times New Roman" w:hAnsi="Times New Roman" w:cs="Times New Roman"/>
          <w:i w:val="0"/>
          <w:iCs w:val="0"/>
          <w:sz w:val="22"/>
          <w:szCs w:val="22"/>
        </w:rPr>
        <w:t xml:space="preserve"> </w:t>
      </w:r>
      <w:proofErr w:type="spellStart"/>
      <w:r w:rsidRPr="000D14EA">
        <w:rPr>
          <w:rFonts w:ascii="Times New Roman" w:hAnsi="Times New Roman" w:cs="Times New Roman"/>
          <w:i w:val="0"/>
          <w:iCs w:val="0"/>
          <w:sz w:val="22"/>
          <w:szCs w:val="22"/>
        </w:rPr>
        <w:t>FlowSOM</w:t>
      </w:r>
      <w:proofErr w:type="spellEnd"/>
      <w:r w:rsidRPr="000D14EA">
        <w:rPr>
          <w:rFonts w:ascii="Times New Roman" w:hAnsi="Times New Roman" w:cs="Times New Roman"/>
          <w:i w:val="0"/>
          <w:iCs w:val="0"/>
          <w:sz w:val="22"/>
          <w:szCs w:val="22"/>
        </w:rPr>
        <w:t xml:space="preserve"> and consensus clustering</w:t>
      </w:r>
      <w:r w:rsidR="00275424" w:rsidRPr="000D14EA">
        <w:rPr>
          <w:rFonts w:ascii="Times New Roman" w:hAnsi="Times New Roman" w:cs="Times New Roman"/>
          <w:i w:val="0"/>
          <w:iCs w:val="0"/>
          <w:sz w:val="22"/>
          <w:szCs w:val="22"/>
        </w:rPr>
        <w:t>,</w:t>
      </w:r>
      <w:r w:rsidRPr="000D14EA">
        <w:rPr>
          <w:rFonts w:ascii="Times New Roman" w:hAnsi="Times New Roman" w:cs="Times New Roman"/>
          <w:i w:val="0"/>
          <w:iCs w:val="0"/>
          <w:sz w:val="22"/>
          <w:szCs w:val="22"/>
        </w:rPr>
        <w:t xml:space="preserve"> </w:t>
      </w:r>
      <w:r w:rsidR="00275424" w:rsidRPr="000D14EA">
        <w:rPr>
          <w:rFonts w:ascii="Times New Roman" w:hAnsi="Times New Roman" w:cs="Times New Roman"/>
          <w:i w:val="0"/>
          <w:iCs w:val="0"/>
          <w:sz w:val="22"/>
          <w:szCs w:val="22"/>
        </w:rPr>
        <w:t>with</w:t>
      </w:r>
      <w:r w:rsidRPr="000D14EA">
        <w:rPr>
          <w:rFonts w:ascii="Times New Roman" w:hAnsi="Times New Roman" w:cs="Times New Roman"/>
          <w:i w:val="0"/>
          <w:iCs w:val="0"/>
          <w:sz w:val="22"/>
          <w:szCs w:val="22"/>
        </w:rPr>
        <w:t xml:space="preserve"> manual annotation of cell subsets </w:t>
      </w:r>
      <w:r w:rsidR="00366E65" w:rsidRPr="000D14EA">
        <w:rPr>
          <w:rFonts w:ascii="Times New Roman" w:hAnsi="Times New Roman" w:cs="Times New Roman"/>
          <w:i w:val="0"/>
          <w:iCs w:val="0"/>
          <w:sz w:val="22"/>
          <w:szCs w:val="22"/>
        </w:rPr>
        <w:t>for</w:t>
      </w:r>
      <w:r w:rsidRPr="000D14EA">
        <w:rPr>
          <w:rFonts w:ascii="Times New Roman" w:hAnsi="Times New Roman" w:cs="Times New Roman"/>
          <w:i w:val="0"/>
          <w:iCs w:val="0"/>
          <w:sz w:val="22"/>
          <w:szCs w:val="22"/>
        </w:rPr>
        <w:t xml:space="preserve"> 3</w:t>
      </w:r>
      <w:r w:rsidRPr="000D14EA">
        <w:rPr>
          <w:rFonts w:ascii="Times New Roman" w:hAnsi="Times New Roman" w:cs="Times New Roman"/>
          <w:i w:val="0"/>
          <w:iCs w:val="0"/>
          <w:sz w:val="22"/>
          <w:szCs w:val="22"/>
        </w:rPr>
        <w:noBreakHyphen/>
        <w:t>month responder (R) and non</w:t>
      </w:r>
      <w:r w:rsidRPr="000D14EA">
        <w:rPr>
          <w:rFonts w:ascii="Times New Roman" w:hAnsi="Times New Roman" w:cs="Times New Roman"/>
          <w:i w:val="0"/>
          <w:iCs w:val="0"/>
          <w:sz w:val="22"/>
          <w:szCs w:val="22"/>
        </w:rPr>
        <w:noBreakHyphen/>
        <w:t xml:space="preserve">responder (NR) </w:t>
      </w:r>
      <w:r w:rsidR="00366E65" w:rsidRPr="000D14EA">
        <w:rPr>
          <w:rFonts w:ascii="Times New Roman" w:hAnsi="Times New Roman" w:cs="Times New Roman"/>
          <w:i w:val="0"/>
          <w:iCs w:val="0"/>
          <w:sz w:val="22"/>
          <w:szCs w:val="22"/>
        </w:rPr>
        <w:t>group</w:t>
      </w:r>
      <w:r w:rsidRPr="000D14EA">
        <w:rPr>
          <w:rFonts w:ascii="Times New Roman" w:hAnsi="Times New Roman" w:cs="Times New Roman"/>
          <w:i w:val="0"/>
          <w:iCs w:val="0"/>
          <w:sz w:val="22"/>
          <w:szCs w:val="22"/>
        </w:rPr>
        <w:t>s. Clustering was performed on all available baseline and 3-month samples (</w:t>
      </w:r>
      <w:r w:rsidRPr="000D14EA">
        <w:rPr>
          <w:rFonts w:ascii="Times New Roman" w:hAnsi="Times New Roman" w:cs="Times New Roman"/>
          <w:sz w:val="22"/>
          <w:szCs w:val="22"/>
        </w:rPr>
        <w:t>n</w:t>
      </w:r>
      <w:r w:rsidRPr="000D14EA">
        <w:rPr>
          <w:rFonts w:ascii="Times New Roman" w:hAnsi="Times New Roman" w:cs="Times New Roman"/>
          <w:i w:val="0"/>
          <w:iCs w:val="0"/>
          <w:sz w:val="22"/>
          <w:szCs w:val="22"/>
        </w:rPr>
        <w:t xml:space="preserve"> = 123 total samples; R</w:t>
      </w:r>
      <w:r w:rsidR="00DB713C" w:rsidRPr="000D14EA">
        <w:rPr>
          <w:rFonts w:ascii="Times New Roman" w:hAnsi="Times New Roman" w:cs="Times New Roman"/>
          <w:i w:val="0"/>
          <w:iCs w:val="0"/>
          <w:sz w:val="22"/>
          <w:szCs w:val="22"/>
        </w:rPr>
        <w:t xml:space="preserve">, </w:t>
      </w:r>
      <w:r w:rsidR="00DB713C" w:rsidRPr="000D14EA">
        <w:rPr>
          <w:rFonts w:ascii="Times New Roman" w:hAnsi="Times New Roman" w:cs="Times New Roman"/>
          <w:sz w:val="22"/>
          <w:szCs w:val="22"/>
        </w:rPr>
        <w:t>n</w:t>
      </w:r>
      <w:r w:rsidRPr="000D14EA">
        <w:rPr>
          <w:rFonts w:ascii="Times New Roman" w:hAnsi="Times New Roman" w:cs="Times New Roman"/>
          <w:i w:val="0"/>
          <w:iCs w:val="0"/>
          <w:sz w:val="22"/>
          <w:szCs w:val="22"/>
        </w:rPr>
        <w:t xml:space="preserve"> = 100, NR</w:t>
      </w:r>
      <w:r w:rsidR="00DB713C" w:rsidRPr="000D14EA">
        <w:rPr>
          <w:rFonts w:ascii="Times New Roman" w:hAnsi="Times New Roman" w:cs="Times New Roman"/>
          <w:i w:val="0"/>
          <w:iCs w:val="0"/>
          <w:sz w:val="22"/>
          <w:szCs w:val="22"/>
        </w:rPr>
        <w:t xml:space="preserve">, </w:t>
      </w:r>
      <w:r w:rsidR="00DB713C" w:rsidRPr="000D14EA">
        <w:rPr>
          <w:rFonts w:ascii="Times New Roman" w:hAnsi="Times New Roman" w:cs="Times New Roman"/>
          <w:sz w:val="22"/>
          <w:szCs w:val="22"/>
        </w:rPr>
        <w:t>n</w:t>
      </w:r>
      <w:r w:rsidRPr="000D14EA">
        <w:rPr>
          <w:rFonts w:ascii="Times New Roman" w:hAnsi="Times New Roman" w:cs="Times New Roman"/>
          <w:i w:val="0"/>
          <w:iCs w:val="0"/>
          <w:sz w:val="22"/>
          <w:szCs w:val="22"/>
        </w:rPr>
        <w:t xml:space="preserve"> = 23).  </w:t>
      </w:r>
      <w:r w:rsidRPr="000D14EA">
        <w:rPr>
          <w:rFonts w:ascii="Times New Roman" w:hAnsi="Times New Roman" w:cs="Times New Roman"/>
          <w:b/>
          <w:bCs/>
          <w:i w:val="0"/>
          <w:iCs w:val="0"/>
          <w:sz w:val="22"/>
          <w:szCs w:val="22"/>
        </w:rPr>
        <w:t>b</w:t>
      </w:r>
      <w:r w:rsidRPr="000D14EA">
        <w:rPr>
          <w:rFonts w:ascii="Times New Roman" w:hAnsi="Times New Roman" w:cs="Times New Roman"/>
          <w:i w:val="0"/>
          <w:iCs w:val="0"/>
          <w:sz w:val="22"/>
          <w:szCs w:val="22"/>
        </w:rPr>
        <w:t xml:space="preserve">, Stacked bar plot </w:t>
      </w:r>
      <w:r w:rsidR="004D6593" w:rsidRPr="000D14EA">
        <w:rPr>
          <w:rFonts w:ascii="Times New Roman" w:hAnsi="Times New Roman" w:cs="Times New Roman"/>
          <w:i w:val="0"/>
          <w:iCs w:val="0"/>
          <w:sz w:val="22"/>
          <w:szCs w:val="22"/>
        </w:rPr>
        <w:t>illustrating</w:t>
      </w:r>
      <w:r w:rsidRPr="000D14EA">
        <w:rPr>
          <w:rFonts w:ascii="Times New Roman" w:hAnsi="Times New Roman" w:cs="Times New Roman"/>
          <w:i w:val="0"/>
          <w:iCs w:val="0"/>
          <w:sz w:val="22"/>
          <w:szCs w:val="22"/>
        </w:rPr>
        <w:t xml:space="preserve"> the proportional composition of </w:t>
      </w:r>
      <w:r w:rsidR="00E734F4" w:rsidRPr="000D14EA">
        <w:rPr>
          <w:rFonts w:ascii="Times New Roman" w:hAnsi="Times New Roman" w:cs="Times New Roman"/>
          <w:i w:val="0"/>
          <w:iCs w:val="0"/>
          <w:sz w:val="22"/>
          <w:szCs w:val="22"/>
        </w:rPr>
        <w:t xml:space="preserve">annotated myeloid subsets within each individual sample, grouped by response status (R, </w:t>
      </w:r>
      <w:r w:rsidR="00E734F4" w:rsidRPr="000D14EA">
        <w:rPr>
          <w:rFonts w:ascii="Times New Roman" w:hAnsi="Times New Roman" w:cs="Times New Roman"/>
          <w:sz w:val="22"/>
          <w:szCs w:val="22"/>
        </w:rPr>
        <w:t>n</w:t>
      </w:r>
      <w:r w:rsidR="00E734F4" w:rsidRPr="000D14EA">
        <w:rPr>
          <w:rFonts w:ascii="Times New Roman" w:hAnsi="Times New Roman" w:cs="Times New Roman"/>
          <w:i w:val="0"/>
          <w:iCs w:val="0"/>
          <w:sz w:val="22"/>
          <w:szCs w:val="22"/>
        </w:rPr>
        <w:t xml:space="preserve"> = 100, NR, </w:t>
      </w:r>
      <w:r w:rsidR="00E734F4" w:rsidRPr="000D14EA">
        <w:rPr>
          <w:rFonts w:ascii="Times New Roman" w:hAnsi="Times New Roman" w:cs="Times New Roman"/>
          <w:sz w:val="22"/>
          <w:szCs w:val="22"/>
        </w:rPr>
        <w:t>n</w:t>
      </w:r>
      <w:r w:rsidR="00E734F4" w:rsidRPr="000D14EA">
        <w:rPr>
          <w:rFonts w:ascii="Times New Roman" w:hAnsi="Times New Roman" w:cs="Times New Roman"/>
          <w:i w:val="0"/>
          <w:iCs w:val="0"/>
          <w:sz w:val="22"/>
          <w:szCs w:val="22"/>
        </w:rPr>
        <w:t xml:space="preserve"> = 23)</w:t>
      </w:r>
      <w:r w:rsidRPr="000D14EA">
        <w:rPr>
          <w:rFonts w:ascii="Times New Roman" w:hAnsi="Times New Roman" w:cs="Times New Roman"/>
          <w:i w:val="0"/>
          <w:iCs w:val="0"/>
          <w:sz w:val="22"/>
          <w:szCs w:val="22"/>
        </w:rPr>
        <w:t xml:space="preserve">. </w:t>
      </w:r>
      <w:r w:rsidR="00E9589F" w:rsidRPr="000D14EA">
        <w:rPr>
          <w:rFonts w:ascii="Times New Roman" w:hAnsi="Times New Roman" w:cs="Times New Roman"/>
          <w:b/>
          <w:bCs/>
          <w:i w:val="0"/>
          <w:iCs w:val="0"/>
          <w:sz w:val="22"/>
          <w:szCs w:val="22"/>
        </w:rPr>
        <w:t>c</w:t>
      </w:r>
      <w:r w:rsidRPr="000D14EA">
        <w:rPr>
          <w:rFonts w:ascii="Times New Roman" w:hAnsi="Times New Roman" w:cs="Times New Roman"/>
          <w:i w:val="0"/>
          <w:iCs w:val="0"/>
          <w:sz w:val="22"/>
          <w:szCs w:val="22"/>
        </w:rPr>
        <w:t>, Boxplots comparing the frequency of each myeloid subset between R (</w:t>
      </w:r>
      <w:r w:rsidRPr="000D14EA">
        <w:rPr>
          <w:rFonts w:ascii="Times New Roman" w:hAnsi="Times New Roman" w:cs="Times New Roman"/>
          <w:sz w:val="22"/>
          <w:szCs w:val="22"/>
        </w:rPr>
        <w:t>n</w:t>
      </w:r>
      <w:r w:rsidRPr="000D14EA">
        <w:rPr>
          <w:rFonts w:ascii="Times New Roman" w:hAnsi="Times New Roman" w:cs="Times New Roman"/>
          <w:i w:val="0"/>
          <w:iCs w:val="0"/>
          <w:sz w:val="22"/>
          <w:szCs w:val="22"/>
        </w:rPr>
        <w:t xml:space="preserve"> = 100) and NR (</w:t>
      </w:r>
      <w:r w:rsidRPr="000D14EA">
        <w:rPr>
          <w:rFonts w:ascii="Times New Roman" w:hAnsi="Times New Roman" w:cs="Times New Roman"/>
          <w:sz w:val="22"/>
          <w:szCs w:val="22"/>
        </w:rPr>
        <w:t xml:space="preserve">n </w:t>
      </w:r>
      <w:r w:rsidRPr="000D14EA">
        <w:rPr>
          <w:rFonts w:ascii="Times New Roman" w:hAnsi="Times New Roman" w:cs="Times New Roman"/>
          <w:i w:val="0"/>
          <w:iCs w:val="0"/>
          <w:sz w:val="22"/>
          <w:szCs w:val="22"/>
        </w:rPr>
        <w:t>= 23) groups in the combined baseline and 3-month data</w:t>
      </w:r>
      <w:r w:rsidR="00435EC1" w:rsidRPr="000D14EA">
        <w:rPr>
          <w:rFonts w:ascii="Times New Roman" w:hAnsi="Times New Roman" w:cs="Times New Roman"/>
          <w:i w:val="0"/>
          <w:iCs w:val="0"/>
          <w:sz w:val="22"/>
          <w:szCs w:val="22"/>
        </w:rPr>
        <w:t>set</w:t>
      </w:r>
      <w:r w:rsidRPr="000D14EA">
        <w:rPr>
          <w:rFonts w:ascii="Times New Roman" w:hAnsi="Times New Roman" w:cs="Times New Roman"/>
          <w:i w:val="0"/>
          <w:iCs w:val="0"/>
          <w:sz w:val="22"/>
          <w:szCs w:val="22"/>
        </w:rPr>
        <w:t>. Statistical significance was assessed using generalized linear mixed models (GLMMs)</w:t>
      </w:r>
      <w:r w:rsidR="00F535E4" w:rsidRPr="000D14EA">
        <w:rPr>
          <w:rFonts w:ascii="Times New Roman" w:hAnsi="Times New Roman" w:cs="Times New Roman"/>
          <w:i w:val="0"/>
          <w:iCs w:val="0"/>
          <w:sz w:val="22"/>
          <w:szCs w:val="22"/>
        </w:rPr>
        <w:t xml:space="preserve">, </w:t>
      </w:r>
      <w:r w:rsidR="00D73E9E" w:rsidRPr="000D14EA">
        <w:rPr>
          <w:rFonts w:ascii="Times New Roman" w:hAnsi="Times New Roman" w:cs="Times New Roman"/>
          <w:i w:val="0"/>
          <w:iCs w:val="0"/>
          <w:sz w:val="22"/>
          <w:szCs w:val="22"/>
        </w:rPr>
        <w:t xml:space="preserve">FDR </w:t>
      </w:r>
      <w:r w:rsidR="00D73E9E" w:rsidRPr="000D14EA">
        <w:rPr>
          <w:rFonts w:ascii="Times New Roman" w:hAnsi="Times New Roman" w:cs="Times New Roman"/>
          <w:sz w:val="22"/>
          <w:szCs w:val="22"/>
        </w:rPr>
        <w:t>P</w:t>
      </w:r>
      <w:r w:rsidR="00D73E9E" w:rsidRPr="000D14EA">
        <w:rPr>
          <w:rFonts w:ascii="Times New Roman" w:hAnsi="Times New Roman" w:cs="Times New Roman"/>
          <w:i w:val="0"/>
          <w:iCs w:val="0"/>
          <w:sz w:val="22"/>
          <w:szCs w:val="22"/>
        </w:rPr>
        <w:t xml:space="preserve"> values were adjusted using the Benjamini-Hochberg method</w:t>
      </w:r>
      <w:r w:rsidRPr="000D14EA">
        <w:rPr>
          <w:rFonts w:ascii="Times New Roman" w:hAnsi="Times New Roman" w:cs="Times New Roman"/>
          <w:i w:val="0"/>
          <w:iCs w:val="0"/>
          <w:sz w:val="22"/>
          <w:szCs w:val="22"/>
        </w:rPr>
        <w:t xml:space="preserve">. </w:t>
      </w:r>
      <w:r w:rsidR="00986C1C" w:rsidRPr="000D14EA">
        <w:rPr>
          <w:rFonts w:ascii="Times New Roman" w:hAnsi="Times New Roman" w:cs="Times New Roman"/>
          <w:i w:val="0"/>
          <w:iCs w:val="0"/>
          <w:sz w:val="22"/>
          <w:szCs w:val="22"/>
        </w:rPr>
        <w:t>CD5⁺ cDC2 was the only subset significantly elevated in responders</w:t>
      </w:r>
      <w:r w:rsidR="00EA5787" w:rsidRPr="000D14EA">
        <w:rPr>
          <w:rFonts w:ascii="Times New Roman" w:hAnsi="Times New Roman" w:cs="Times New Roman"/>
          <w:i w:val="0"/>
          <w:iCs w:val="0"/>
          <w:sz w:val="22"/>
          <w:szCs w:val="22"/>
        </w:rPr>
        <w:t>.</w:t>
      </w:r>
      <w:r w:rsidR="00986C1C" w:rsidRPr="000D14EA">
        <w:rPr>
          <w:rFonts w:ascii="Times New Roman" w:hAnsi="Times New Roman" w:cs="Times New Roman"/>
          <w:i w:val="0"/>
          <w:iCs w:val="0"/>
          <w:sz w:val="22"/>
          <w:szCs w:val="22"/>
        </w:rPr>
        <w:t xml:space="preserve"> </w:t>
      </w:r>
      <w:r w:rsidR="00102986" w:rsidRPr="000D14EA">
        <w:rPr>
          <w:rFonts w:ascii="Times New Roman" w:hAnsi="Times New Roman" w:cs="Times New Roman"/>
          <w:i w:val="0"/>
          <w:iCs w:val="0"/>
          <w:sz w:val="22"/>
          <w:szCs w:val="22"/>
        </w:rPr>
        <w:t xml:space="preserve">Although classical monocytes also exhibit statistical significance, their lower frequency in responders reflects a general post-treatment reduction experienced by all patients captured in this. </w:t>
      </w:r>
      <w:r w:rsidRPr="000D14EA">
        <w:rPr>
          <w:rFonts w:ascii="Times New Roman" w:hAnsi="Times New Roman" w:cs="Times New Roman"/>
          <w:i w:val="0"/>
          <w:iCs w:val="0"/>
          <w:sz w:val="22"/>
          <w:szCs w:val="22"/>
        </w:rPr>
        <w:t>Boxes show 25th, 50th and 75th centiles; whiskers indicate 1.5 × inter-quartile range; points represent individual samples</w:t>
      </w:r>
      <w:r w:rsidR="00EA5A6E" w:rsidRPr="000D14EA">
        <w:rPr>
          <w:rFonts w:ascii="Times New Roman" w:hAnsi="Times New Roman" w:cs="Times New Roman"/>
          <w:i w:val="0"/>
          <w:iCs w:val="0"/>
          <w:sz w:val="22"/>
          <w:szCs w:val="22"/>
        </w:rPr>
        <w:t>.</w:t>
      </w:r>
    </w:p>
    <w:p w14:paraId="118E9E35" w14:textId="77777777" w:rsidR="00EB06A1" w:rsidRPr="000D14EA" w:rsidRDefault="00EB06A1" w:rsidP="00260A2C">
      <w:pPr>
        <w:keepNext/>
        <w:jc w:val="center"/>
        <w:rPr>
          <w:rFonts w:ascii="Times New Roman" w:hAnsi="Times New Roman" w:cs="Times New Roman"/>
        </w:rPr>
      </w:pPr>
      <w:r w:rsidRPr="000D14EA">
        <w:rPr>
          <w:rFonts w:ascii="Times New Roman" w:hAnsi="Times New Roman" w:cs="Times New Roman"/>
          <w:noProof/>
        </w:rPr>
        <w:lastRenderedPageBreak/>
        <w:drawing>
          <wp:inline distT="0" distB="0" distL="0" distR="0" wp14:anchorId="6E362160" wp14:editId="08A9149B">
            <wp:extent cx="5332021" cy="7544344"/>
            <wp:effectExtent l="0" t="0" r="2540" b="0"/>
            <wp:docPr id="1531129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29197" name="Picture 153112919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44406" cy="7561868"/>
                    </a:xfrm>
                    <a:prstGeom prst="rect">
                      <a:avLst/>
                    </a:prstGeom>
                  </pic:spPr>
                </pic:pic>
              </a:graphicData>
            </a:graphic>
          </wp:inline>
        </w:drawing>
      </w:r>
    </w:p>
    <w:p w14:paraId="23FFB378" w14:textId="708EE4BC" w:rsidR="008527C8" w:rsidRPr="00260A2C" w:rsidRDefault="00EB06A1" w:rsidP="000D14EA">
      <w:pPr>
        <w:pStyle w:val="Heading2"/>
        <w:jc w:val="both"/>
        <w:rPr>
          <w:rFonts w:ascii="Times New Roman" w:hAnsi="Times New Roman" w:cs="Times New Roman"/>
          <w:b/>
          <w:bCs/>
          <w:sz w:val="20"/>
          <w:szCs w:val="20"/>
        </w:rPr>
      </w:pPr>
      <w:bookmarkStart w:id="2" w:name="_Ref231768107"/>
      <w:r w:rsidRPr="00260A2C">
        <w:rPr>
          <w:rFonts w:ascii="Times New Roman" w:hAnsi="Times New Roman" w:cs="Times New Roman"/>
          <w:b/>
          <w:bCs/>
          <w:sz w:val="20"/>
          <w:szCs w:val="20"/>
        </w:rPr>
        <w:t xml:space="preserve">Extended Data Fig. </w:t>
      </w:r>
      <w:r w:rsidRPr="00260A2C">
        <w:rPr>
          <w:rFonts w:ascii="Times New Roman" w:hAnsi="Times New Roman" w:cs="Times New Roman"/>
          <w:b/>
          <w:bCs/>
          <w:sz w:val="20"/>
          <w:szCs w:val="20"/>
        </w:rPr>
        <w:fldChar w:fldCharType="begin"/>
      </w:r>
      <w:r w:rsidRPr="00260A2C">
        <w:rPr>
          <w:rFonts w:ascii="Times New Roman" w:hAnsi="Times New Roman" w:cs="Times New Roman"/>
          <w:b/>
          <w:bCs/>
          <w:sz w:val="20"/>
          <w:szCs w:val="20"/>
        </w:rPr>
        <w:instrText xml:space="preserve"> SEQ Extended_Data_Fig. \* ARABIC </w:instrText>
      </w:r>
      <w:r w:rsidRPr="00260A2C">
        <w:rPr>
          <w:rFonts w:ascii="Times New Roman" w:hAnsi="Times New Roman" w:cs="Times New Roman"/>
          <w:b/>
          <w:bCs/>
          <w:sz w:val="20"/>
          <w:szCs w:val="20"/>
        </w:rPr>
        <w:fldChar w:fldCharType="separate"/>
      </w:r>
      <w:r w:rsidR="00357A41" w:rsidRPr="00260A2C">
        <w:rPr>
          <w:rFonts w:ascii="Times New Roman" w:hAnsi="Times New Roman" w:cs="Times New Roman"/>
          <w:b/>
          <w:bCs/>
          <w:noProof/>
          <w:sz w:val="20"/>
          <w:szCs w:val="20"/>
        </w:rPr>
        <w:t>3</w:t>
      </w:r>
      <w:r w:rsidRPr="00260A2C">
        <w:rPr>
          <w:rFonts w:ascii="Times New Roman" w:hAnsi="Times New Roman" w:cs="Times New Roman"/>
          <w:b/>
          <w:bCs/>
          <w:sz w:val="20"/>
          <w:szCs w:val="20"/>
        </w:rPr>
        <w:fldChar w:fldCharType="end"/>
      </w:r>
      <w:bookmarkEnd w:id="2"/>
      <w:r w:rsidR="005A322A" w:rsidRPr="00260A2C">
        <w:rPr>
          <w:rFonts w:ascii="Times New Roman" w:hAnsi="Times New Roman" w:cs="Times New Roman"/>
          <w:b/>
          <w:bCs/>
          <w:sz w:val="20"/>
          <w:szCs w:val="20"/>
        </w:rPr>
        <w:t xml:space="preserve"> | </w:t>
      </w:r>
      <w:r w:rsidR="00ED7B64" w:rsidRPr="00260A2C">
        <w:rPr>
          <w:rFonts w:ascii="Times New Roman" w:hAnsi="Times New Roman" w:cs="Times New Roman"/>
          <w:b/>
          <w:bCs/>
          <w:sz w:val="20"/>
          <w:szCs w:val="20"/>
        </w:rPr>
        <w:t>Broad shifts in peripheral lymphoid and myeloid frequencies following early ICI therapy.</w:t>
      </w:r>
    </w:p>
    <w:p w14:paraId="20570CE0" w14:textId="7E727380" w:rsidR="0058602E" w:rsidRPr="00225BE4" w:rsidRDefault="00ED7B64" w:rsidP="00260A2C">
      <w:pPr>
        <w:pStyle w:val="Caption"/>
        <w:rPr>
          <w:rFonts w:ascii="Times New Roman" w:hAnsi="Times New Roman" w:cs="Times New Roman"/>
          <w:i w:val="0"/>
          <w:iCs w:val="0"/>
          <w:color w:val="auto"/>
          <w:sz w:val="20"/>
          <w:szCs w:val="20"/>
        </w:rPr>
      </w:pPr>
      <w:r w:rsidRPr="00225BE4">
        <w:rPr>
          <w:rFonts w:ascii="Times New Roman" w:hAnsi="Times New Roman" w:cs="Times New Roman"/>
          <w:b/>
          <w:bCs/>
          <w:i w:val="0"/>
          <w:iCs w:val="0"/>
          <w:color w:val="auto"/>
          <w:sz w:val="20"/>
          <w:szCs w:val="20"/>
        </w:rPr>
        <w:t>a</w:t>
      </w:r>
      <w:r w:rsidRPr="00225BE4">
        <w:rPr>
          <w:rFonts w:ascii="Times New Roman" w:hAnsi="Times New Roman" w:cs="Times New Roman"/>
          <w:i w:val="0"/>
          <w:iCs w:val="0"/>
          <w:color w:val="auto"/>
          <w:sz w:val="20"/>
          <w:szCs w:val="20"/>
        </w:rPr>
        <w:t xml:space="preserve">, Stacked bar plots illustrating the relative frequencies of major immune lineages (T cells, B cells, NK cells, and myeloid cells) within the overall CD45⁺ PBMC compartment at baseline and 3 months post-treatment, stratified by early response status (R, </w:t>
      </w:r>
      <w:r w:rsidRPr="00225BE4">
        <w:rPr>
          <w:rFonts w:ascii="Times New Roman" w:hAnsi="Times New Roman" w:cs="Times New Roman"/>
          <w:color w:val="auto"/>
          <w:sz w:val="20"/>
          <w:szCs w:val="20"/>
        </w:rPr>
        <w:t>n</w:t>
      </w:r>
      <w:r w:rsidRPr="00225BE4">
        <w:rPr>
          <w:rFonts w:ascii="Times New Roman" w:hAnsi="Times New Roman" w:cs="Times New Roman"/>
          <w:i w:val="0"/>
          <w:iCs w:val="0"/>
          <w:color w:val="auto"/>
          <w:sz w:val="20"/>
          <w:szCs w:val="20"/>
        </w:rPr>
        <w:t xml:space="preserve"> = 44 pairs; NR, </w:t>
      </w:r>
      <w:r w:rsidRPr="00225BE4">
        <w:rPr>
          <w:rFonts w:ascii="Times New Roman" w:hAnsi="Times New Roman" w:cs="Times New Roman"/>
          <w:color w:val="auto"/>
          <w:sz w:val="20"/>
          <w:szCs w:val="20"/>
        </w:rPr>
        <w:t>n</w:t>
      </w:r>
      <w:r w:rsidRPr="00225BE4">
        <w:rPr>
          <w:rFonts w:ascii="Times New Roman" w:hAnsi="Times New Roman" w:cs="Times New Roman"/>
          <w:i w:val="0"/>
          <w:iCs w:val="0"/>
          <w:color w:val="auto"/>
          <w:sz w:val="20"/>
          <w:szCs w:val="20"/>
        </w:rPr>
        <w:t xml:space="preserve"> = 7 pairs).</w:t>
      </w:r>
      <w:r w:rsidRPr="00225BE4">
        <w:rPr>
          <w:rFonts w:ascii="Times New Roman" w:hAnsi="Times New Roman" w:cs="Times New Roman"/>
          <w:i w:val="0"/>
          <w:iCs w:val="0"/>
          <w:color w:val="auto"/>
          <w:sz w:val="20"/>
          <w:szCs w:val="20"/>
        </w:rPr>
        <w:br/>
      </w:r>
      <w:r w:rsidRPr="00225BE4">
        <w:rPr>
          <w:rFonts w:ascii="Times New Roman" w:hAnsi="Times New Roman" w:cs="Times New Roman"/>
          <w:b/>
          <w:bCs/>
          <w:i w:val="0"/>
          <w:iCs w:val="0"/>
          <w:color w:val="auto"/>
          <w:sz w:val="20"/>
          <w:szCs w:val="20"/>
        </w:rPr>
        <w:t>b</w:t>
      </w:r>
      <w:r w:rsidRPr="00225BE4">
        <w:rPr>
          <w:rFonts w:ascii="Times New Roman" w:hAnsi="Times New Roman" w:cs="Times New Roman"/>
          <w:i w:val="0"/>
          <w:iCs w:val="0"/>
          <w:color w:val="auto"/>
          <w:sz w:val="20"/>
          <w:szCs w:val="20"/>
        </w:rPr>
        <w:t>,</w:t>
      </w:r>
      <w:r w:rsidRPr="00225BE4">
        <w:rPr>
          <w:rFonts w:ascii="Times New Roman" w:hAnsi="Times New Roman" w:cs="Times New Roman"/>
          <w:b/>
          <w:bCs/>
          <w:i w:val="0"/>
          <w:iCs w:val="0"/>
          <w:color w:val="auto"/>
          <w:sz w:val="20"/>
          <w:szCs w:val="20"/>
        </w:rPr>
        <w:t xml:space="preserve"> c</w:t>
      </w:r>
      <w:r w:rsidRPr="00225BE4">
        <w:rPr>
          <w:rFonts w:ascii="Times New Roman" w:hAnsi="Times New Roman" w:cs="Times New Roman"/>
          <w:i w:val="0"/>
          <w:iCs w:val="0"/>
          <w:color w:val="auto"/>
          <w:sz w:val="20"/>
          <w:szCs w:val="20"/>
        </w:rPr>
        <w:t>, Longitudinal changes in the frequencies of specific T cell subsets (</w:t>
      </w:r>
      <w:r w:rsidRPr="00225BE4">
        <w:rPr>
          <w:rFonts w:ascii="Times New Roman" w:hAnsi="Times New Roman" w:cs="Times New Roman"/>
          <w:b/>
          <w:bCs/>
          <w:i w:val="0"/>
          <w:iCs w:val="0"/>
          <w:color w:val="auto"/>
          <w:sz w:val="20"/>
          <w:szCs w:val="20"/>
        </w:rPr>
        <w:t>b</w:t>
      </w:r>
      <w:r w:rsidRPr="00225BE4">
        <w:rPr>
          <w:rFonts w:ascii="Times New Roman" w:hAnsi="Times New Roman" w:cs="Times New Roman"/>
          <w:i w:val="0"/>
          <w:iCs w:val="0"/>
          <w:color w:val="auto"/>
          <w:sz w:val="20"/>
          <w:szCs w:val="20"/>
        </w:rPr>
        <w:t>) and myeloid cell subsets (</w:t>
      </w:r>
      <w:r w:rsidRPr="00225BE4">
        <w:rPr>
          <w:rFonts w:ascii="Times New Roman" w:hAnsi="Times New Roman" w:cs="Times New Roman"/>
          <w:b/>
          <w:bCs/>
          <w:i w:val="0"/>
          <w:iCs w:val="0"/>
          <w:color w:val="auto"/>
          <w:sz w:val="20"/>
          <w:szCs w:val="20"/>
        </w:rPr>
        <w:t>c</w:t>
      </w:r>
      <w:r w:rsidRPr="00225BE4">
        <w:rPr>
          <w:rFonts w:ascii="Times New Roman" w:hAnsi="Times New Roman" w:cs="Times New Roman"/>
          <w:i w:val="0"/>
          <w:iCs w:val="0"/>
          <w:color w:val="auto"/>
          <w:sz w:val="20"/>
          <w:szCs w:val="20"/>
        </w:rPr>
        <w:t>) as a percentage of total PBMCs. Data for the entire cohort (All) are presented as scatter plots, while data stratified by response (R, NR) are shown as paired line plots.</w:t>
      </w:r>
      <w:r w:rsidRPr="00225BE4">
        <w:rPr>
          <w:rFonts w:ascii="Times New Roman" w:hAnsi="Times New Roman" w:cs="Times New Roman"/>
          <w:i w:val="0"/>
          <w:iCs w:val="0"/>
          <w:color w:val="auto"/>
          <w:sz w:val="20"/>
          <w:szCs w:val="20"/>
        </w:rPr>
        <w:br/>
      </w:r>
      <w:r w:rsidRPr="00225BE4">
        <w:rPr>
          <w:rFonts w:ascii="Times New Roman" w:hAnsi="Times New Roman" w:cs="Times New Roman"/>
          <w:b/>
          <w:bCs/>
          <w:i w:val="0"/>
          <w:iCs w:val="0"/>
          <w:color w:val="auto"/>
          <w:sz w:val="20"/>
          <w:szCs w:val="20"/>
        </w:rPr>
        <w:t>d</w:t>
      </w:r>
      <w:r w:rsidRPr="00225BE4">
        <w:rPr>
          <w:rFonts w:ascii="Times New Roman" w:hAnsi="Times New Roman" w:cs="Times New Roman"/>
          <w:i w:val="0"/>
          <w:iCs w:val="0"/>
          <w:color w:val="auto"/>
          <w:sz w:val="20"/>
          <w:szCs w:val="20"/>
        </w:rPr>
        <w:t>, Stacked bar plots detailing the subset composition within the myeloid compartment (defined as CD3⁻CD19⁻CD56⁻ cells) at baseline and 3 months, stratified by response.</w:t>
      </w:r>
      <w:r w:rsidR="008527C8" w:rsidRPr="00225BE4">
        <w:rPr>
          <w:rFonts w:ascii="Times New Roman" w:hAnsi="Times New Roman" w:cs="Times New Roman"/>
          <w:i w:val="0"/>
          <w:iCs w:val="0"/>
          <w:color w:val="auto"/>
          <w:sz w:val="20"/>
          <w:szCs w:val="20"/>
        </w:rPr>
        <w:t xml:space="preserve"> </w:t>
      </w:r>
      <w:r w:rsidRPr="00225BE4">
        <w:rPr>
          <w:rFonts w:ascii="Times New Roman" w:hAnsi="Times New Roman" w:cs="Times New Roman"/>
          <w:b/>
          <w:bCs/>
          <w:i w:val="0"/>
          <w:iCs w:val="0"/>
          <w:color w:val="auto"/>
          <w:sz w:val="20"/>
          <w:szCs w:val="20"/>
        </w:rPr>
        <w:t>e</w:t>
      </w:r>
      <w:r w:rsidRPr="00225BE4">
        <w:rPr>
          <w:rFonts w:ascii="Times New Roman" w:hAnsi="Times New Roman" w:cs="Times New Roman"/>
          <w:i w:val="0"/>
          <w:iCs w:val="0"/>
          <w:color w:val="auto"/>
          <w:sz w:val="20"/>
          <w:szCs w:val="20"/>
        </w:rPr>
        <w:t>, Longitudinal changes in the frequencies of classical monocytes and cDC1 subsets as a proportion of the myeloid layer.</w:t>
      </w:r>
      <w:r w:rsidR="00512C1B" w:rsidRPr="00225BE4">
        <w:rPr>
          <w:rFonts w:ascii="Times New Roman" w:hAnsi="Times New Roman" w:cs="Times New Roman"/>
          <w:i w:val="0"/>
          <w:iCs w:val="0"/>
          <w:color w:val="auto"/>
          <w:sz w:val="20"/>
          <w:szCs w:val="20"/>
        </w:rPr>
        <w:t xml:space="preserve"> </w:t>
      </w:r>
      <w:r w:rsidRPr="00225BE4">
        <w:rPr>
          <w:rFonts w:ascii="Times New Roman" w:hAnsi="Times New Roman" w:cs="Times New Roman"/>
          <w:b/>
          <w:bCs/>
          <w:i w:val="0"/>
          <w:iCs w:val="0"/>
          <w:color w:val="auto"/>
          <w:sz w:val="20"/>
          <w:szCs w:val="20"/>
        </w:rPr>
        <w:t>f</w:t>
      </w:r>
      <w:r w:rsidRPr="00225BE4">
        <w:rPr>
          <w:rFonts w:ascii="Times New Roman" w:hAnsi="Times New Roman" w:cs="Times New Roman"/>
          <w:i w:val="0"/>
          <w:iCs w:val="0"/>
          <w:color w:val="auto"/>
          <w:sz w:val="20"/>
          <w:szCs w:val="20"/>
        </w:rPr>
        <w:t>, Longitudinal changes in the percentage of mature CD16⁺ cells within the total CD56⁺ NK cell compartment, demonstrating a significant maturation shift across all patient groups.</w:t>
      </w:r>
      <w:r w:rsidR="00512C1B" w:rsidRPr="00225BE4">
        <w:rPr>
          <w:rFonts w:ascii="Times New Roman" w:hAnsi="Times New Roman" w:cs="Times New Roman"/>
          <w:i w:val="0"/>
          <w:iCs w:val="0"/>
          <w:color w:val="auto"/>
          <w:sz w:val="20"/>
          <w:szCs w:val="20"/>
        </w:rPr>
        <w:t xml:space="preserve"> </w:t>
      </w:r>
      <w:r w:rsidRPr="00225BE4">
        <w:rPr>
          <w:rFonts w:ascii="Times New Roman" w:hAnsi="Times New Roman" w:cs="Times New Roman"/>
          <w:i w:val="0"/>
          <w:iCs w:val="0"/>
          <w:color w:val="auto"/>
          <w:sz w:val="20"/>
          <w:szCs w:val="20"/>
        </w:rPr>
        <w:t>For panels </w:t>
      </w:r>
      <w:r w:rsidRPr="00225BE4">
        <w:rPr>
          <w:rFonts w:ascii="Times New Roman" w:hAnsi="Times New Roman" w:cs="Times New Roman"/>
          <w:b/>
          <w:bCs/>
          <w:i w:val="0"/>
          <w:iCs w:val="0"/>
          <w:color w:val="auto"/>
          <w:sz w:val="20"/>
          <w:szCs w:val="20"/>
        </w:rPr>
        <w:t>a</w:t>
      </w:r>
      <w:r w:rsidRPr="00225BE4">
        <w:rPr>
          <w:rFonts w:ascii="Times New Roman" w:hAnsi="Times New Roman" w:cs="Times New Roman"/>
          <w:i w:val="0"/>
          <w:iCs w:val="0"/>
          <w:color w:val="auto"/>
          <w:sz w:val="20"/>
          <w:szCs w:val="20"/>
        </w:rPr>
        <w:t> and </w:t>
      </w:r>
      <w:r w:rsidRPr="00225BE4">
        <w:rPr>
          <w:rFonts w:ascii="Times New Roman" w:hAnsi="Times New Roman" w:cs="Times New Roman"/>
          <w:b/>
          <w:bCs/>
          <w:i w:val="0"/>
          <w:iCs w:val="0"/>
          <w:color w:val="auto"/>
          <w:sz w:val="20"/>
          <w:szCs w:val="20"/>
        </w:rPr>
        <w:t>d</w:t>
      </w:r>
      <w:r w:rsidRPr="00225BE4">
        <w:rPr>
          <w:rFonts w:ascii="Times New Roman" w:hAnsi="Times New Roman" w:cs="Times New Roman"/>
          <w:i w:val="0"/>
          <w:iCs w:val="0"/>
          <w:color w:val="auto"/>
          <w:sz w:val="20"/>
          <w:szCs w:val="20"/>
        </w:rPr>
        <w:t xml:space="preserve">, arrows inside the </w:t>
      </w:r>
      <w:r w:rsidR="00512C1B" w:rsidRPr="00225BE4">
        <w:rPr>
          <w:rFonts w:ascii="Times New Roman" w:hAnsi="Times New Roman" w:cs="Times New Roman"/>
          <w:i w:val="0"/>
          <w:iCs w:val="0"/>
          <w:color w:val="auto"/>
          <w:sz w:val="20"/>
          <w:szCs w:val="20"/>
        </w:rPr>
        <w:t>colour</w:t>
      </w:r>
      <w:r w:rsidRPr="00225BE4">
        <w:rPr>
          <w:rFonts w:ascii="Times New Roman" w:hAnsi="Times New Roman" w:cs="Times New Roman"/>
          <w:i w:val="0"/>
          <w:iCs w:val="0"/>
          <w:color w:val="auto"/>
          <w:sz w:val="20"/>
          <w:szCs w:val="20"/>
        </w:rPr>
        <w:t xml:space="preserve"> legends indicate subsets with significant overall increases (upward) or decreases (downward). For panels </w:t>
      </w:r>
      <w:r w:rsidRPr="00225BE4">
        <w:rPr>
          <w:rFonts w:ascii="Times New Roman" w:hAnsi="Times New Roman" w:cs="Times New Roman"/>
          <w:b/>
          <w:bCs/>
          <w:i w:val="0"/>
          <w:iCs w:val="0"/>
          <w:color w:val="auto"/>
          <w:sz w:val="20"/>
          <w:szCs w:val="20"/>
        </w:rPr>
        <w:t>b</w:t>
      </w:r>
      <w:r w:rsidRPr="00225BE4">
        <w:rPr>
          <w:rFonts w:ascii="Times New Roman" w:hAnsi="Times New Roman" w:cs="Times New Roman"/>
          <w:i w:val="0"/>
          <w:iCs w:val="0"/>
          <w:color w:val="auto"/>
          <w:sz w:val="20"/>
          <w:szCs w:val="20"/>
        </w:rPr>
        <w:t>, </w:t>
      </w:r>
      <w:r w:rsidRPr="00225BE4">
        <w:rPr>
          <w:rFonts w:ascii="Times New Roman" w:hAnsi="Times New Roman" w:cs="Times New Roman"/>
          <w:b/>
          <w:bCs/>
          <w:i w:val="0"/>
          <w:iCs w:val="0"/>
          <w:color w:val="auto"/>
          <w:sz w:val="20"/>
          <w:szCs w:val="20"/>
        </w:rPr>
        <w:t>c</w:t>
      </w:r>
      <w:r w:rsidRPr="00225BE4">
        <w:rPr>
          <w:rFonts w:ascii="Times New Roman" w:hAnsi="Times New Roman" w:cs="Times New Roman"/>
          <w:i w:val="0"/>
          <w:iCs w:val="0"/>
          <w:color w:val="auto"/>
          <w:sz w:val="20"/>
          <w:szCs w:val="20"/>
        </w:rPr>
        <w:t>, </w:t>
      </w:r>
      <w:r w:rsidRPr="00225BE4">
        <w:rPr>
          <w:rFonts w:ascii="Times New Roman" w:hAnsi="Times New Roman" w:cs="Times New Roman"/>
          <w:b/>
          <w:bCs/>
          <w:i w:val="0"/>
          <w:iCs w:val="0"/>
          <w:color w:val="auto"/>
          <w:sz w:val="20"/>
          <w:szCs w:val="20"/>
        </w:rPr>
        <w:t>e</w:t>
      </w:r>
      <w:r w:rsidRPr="00225BE4">
        <w:rPr>
          <w:rFonts w:ascii="Times New Roman" w:hAnsi="Times New Roman" w:cs="Times New Roman"/>
          <w:i w:val="0"/>
          <w:iCs w:val="0"/>
          <w:color w:val="auto"/>
          <w:sz w:val="20"/>
          <w:szCs w:val="20"/>
        </w:rPr>
        <w:t>, and </w:t>
      </w:r>
      <w:r w:rsidRPr="00225BE4">
        <w:rPr>
          <w:rFonts w:ascii="Times New Roman" w:hAnsi="Times New Roman" w:cs="Times New Roman"/>
          <w:b/>
          <w:bCs/>
          <w:i w:val="0"/>
          <w:iCs w:val="0"/>
          <w:color w:val="auto"/>
          <w:sz w:val="20"/>
          <w:szCs w:val="20"/>
        </w:rPr>
        <w:t>f</w:t>
      </w:r>
      <w:r w:rsidRPr="00225BE4">
        <w:rPr>
          <w:rFonts w:ascii="Times New Roman" w:hAnsi="Times New Roman" w:cs="Times New Roman"/>
          <w:i w:val="0"/>
          <w:iCs w:val="0"/>
          <w:color w:val="auto"/>
          <w:sz w:val="20"/>
          <w:szCs w:val="20"/>
        </w:rPr>
        <w:t xml:space="preserve">, arrows next to the cohort labels denote a significant longitudinal change for that specific group. </w:t>
      </w:r>
      <w:r w:rsidR="00AE123A" w:rsidRPr="00225BE4">
        <w:rPr>
          <w:rFonts w:ascii="Times New Roman" w:hAnsi="Times New Roman" w:cs="Times New Roman"/>
          <w:i w:val="0"/>
          <w:iCs w:val="0"/>
          <w:color w:val="auto"/>
          <w:sz w:val="20"/>
          <w:szCs w:val="20"/>
        </w:rPr>
        <w:t xml:space="preserve">Unless otherwise noted, paired data are shown for all longitudinal analyses (All cohort, </w:t>
      </w:r>
      <w:r w:rsidR="00AE123A" w:rsidRPr="00225BE4">
        <w:rPr>
          <w:rFonts w:ascii="Times New Roman" w:hAnsi="Times New Roman" w:cs="Times New Roman"/>
          <w:color w:val="auto"/>
          <w:sz w:val="20"/>
          <w:szCs w:val="20"/>
        </w:rPr>
        <w:t>n</w:t>
      </w:r>
      <w:r w:rsidR="00AE123A" w:rsidRPr="00225BE4">
        <w:rPr>
          <w:rFonts w:ascii="Times New Roman" w:hAnsi="Times New Roman" w:cs="Times New Roman"/>
          <w:i w:val="0"/>
          <w:iCs w:val="0"/>
          <w:color w:val="auto"/>
          <w:sz w:val="20"/>
          <w:szCs w:val="20"/>
        </w:rPr>
        <w:t xml:space="preserve"> = 51 pairs; R cohort, </w:t>
      </w:r>
      <w:r w:rsidR="00AE123A" w:rsidRPr="00225BE4">
        <w:rPr>
          <w:rFonts w:ascii="Times New Roman" w:hAnsi="Times New Roman" w:cs="Times New Roman"/>
          <w:color w:val="auto"/>
          <w:sz w:val="20"/>
          <w:szCs w:val="20"/>
        </w:rPr>
        <w:t>n</w:t>
      </w:r>
      <w:r w:rsidR="00AE123A" w:rsidRPr="00225BE4">
        <w:rPr>
          <w:rFonts w:ascii="Times New Roman" w:hAnsi="Times New Roman" w:cs="Times New Roman"/>
          <w:i w:val="0"/>
          <w:iCs w:val="0"/>
          <w:color w:val="auto"/>
          <w:sz w:val="20"/>
          <w:szCs w:val="20"/>
        </w:rPr>
        <w:t xml:space="preserve"> = 44 pairs; NR cohort, </w:t>
      </w:r>
      <w:r w:rsidR="00AE123A" w:rsidRPr="00225BE4">
        <w:rPr>
          <w:rFonts w:ascii="Times New Roman" w:hAnsi="Times New Roman" w:cs="Times New Roman"/>
          <w:color w:val="auto"/>
          <w:sz w:val="20"/>
          <w:szCs w:val="20"/>
        </w:rPr>
        <w:t>n</w:t>
      </w:r>
      <w:r w:rsidR="00AE123A" w:rsidRPr="00225BE4">
        <w:rPr>
          <w:rFonts w:ascii="Times New Roman" w:hAnsi="Times New Roman" w:cs="Times New Roman"/>
          <w:i w:val="0"/>
          <w:iCs w:val="0"/>
          <w:color w:val="auto"/>
          <w:sz w:val="20"/>
          <w:szCs w:val="20"/>
        </w:rPr>
        <w:t xml:space="preserve"> = 7 pairs). </w:t>
      </w:r>
      <w:r w:rsidRPr="00225BE4">
        <w:rPr>
          <w:rFonts w:ascii="Times New Roman" w:hAnsi="Times New Roman" w:cs="Times New Roman"/>
          <w:i w:val="0"/>
          <w:iCs w:val="0"/>
          <w:color w:val="auto"/>
          <w:sz w:val="20"/>
          <w:szCs w:val="20"/>
        </w:rPr>
        <w:t>All </w:t>
      </w:r>
      <w:r w:rsidRPr="00225BE4">
        <w:rPr>
          <w:rFonts w:ascii="Times New Roman" w:hAnsi="Times New Roman" w:cs="Times New Roman"/>
          <w:color w:val="auto"/>
          <w:sz w:val="20"/>
          <w:szCs w:val="20"/>
        </w:rPr>
        <w:t>P</w:t>
      </w:r>
      <w:r w:rsidRPr="00225BE4">
        <w:rPr>
          <w:rFonts w:ascii="Times New Roman" w:hAnsi="Times New Roman" w:cs="Times New Roman"/>
          <w:i w:val="0"/>
          <w:iCs w:val="0"/>
          <w:color w:val="auto"/>
          <w:sz w:val="20"/>
          <w:szCs w:val="20"/>
        </w:rPr>
        <w:t> values were calculated using paired Wilcoxon signed-rank tests comparing baseline and 3-month time points.</w:t>
      </w:r>
    </w:p>
    <w:p w14:paraId="35E06830" w14:textId="77777777" w:rsidR="007D7571" w:rsidRPr="000D14EA" w:rsidRDefault="007D7571" w:rsidP="000D14EA">
      <w:pPr>
        <w:keepNext/>
        <w:jc w:val="both"/>
        <w:rPr>
          <w:rFonts w:ascii="Times New Roman" w:hAnsi="Times New Roman" w:cs="Times New Roman"/>
        </w:rPr>
      </w:pPr>
      <w:r w:rsidRPr="000D14EA">
        <w:rPr>
          <w:rFonts w:ascii="Times New Roman" w:hAnsi="Times New Roman" w:cs="Times New Roman"/>
          <w:noProof/>
        </w:rPr>
        <w:lastRenderedPageBreak/>
        <w:drawing>
          <wp:inline distT="0" distB="0" distL="0" distR="0" wp14:anchorId="7B8ADF7C" wp14:editId="7CF94A66">
            <wp:extent cx="6745184" cy="6787411"/>
            <wp:effectExtent l="0" t="0" r="0" b="0"/>
            <wp:docPr id="16573459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45960" name="Picture 16573459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54791" cy="6797078"/>
                    </a:xfrm>
                    <a:prstGeom prst="rect">
                      <a:avLst/>
                    </a:prstGeom>
                  </pic:spPr>
                </pic:pic>
              </a:graphicData>
            </a:graphic>
          </wp:inline>
        </w:drawing>
      </w:r>
    </w:p>
    <w:p w14:paraId="788609C1" w14:textId="622D3684" w:rsidR="00F706AD" w:rsidRPr="00260A2C" w:rsidRDefault="007D7571" w:rsidP="000D14EA">
      <w:pPr>
        <w:pStyle w:val="Heading2"/>
        <w:jc w:val="both"/>
        <w:rPr>
          <w:rFonts w:ascii="Times New Roman" w:hAnsi="Times New Roman" w:cs="Times New Roman"/>
          <w:b/>
          <w:bCs/>
          <w:sz w:val="20"/>
          <w:szCs w:val="20"/>
        </w:rPr>
      </w:pPr>
      <w:bookmarkStart w:id="3" w:name="_Ref231768691"/>
      <w:r w:rsidRPr="00260A2C">
        <w:rPr>
          <w:rFonts w:ascii="Times New Roman" w:hAnsi="Times New Roman" w:cs="Times New Roman"/>
          <w:b/>
          <w:bCs/>
          <w:sz w:val="20"/>
          <w:szCs w:val="20"/>
        </w:rPr>
        <w:t xml:space="preserve">Extended Data Fig. </w:t>
      </w:r>
      <w:r w:rsidRPr="00260A2C">
        <w:rPr>
          <w:rFonts w:ascii="Times New Roman" w:hAnsi="Times New Roman" w:cs="Times New Roman"/>
          <w:b/>
          <w:bCs/>
          <w:sz w:val="20"/>
          <w:szCs w:val="20"/>
        </w:rPr>
        <w:fldChar w:fldCharType="begin"/>
      </w:r>
      <w:r w:rsidRPr="00260A2C">
        <w:rPr>
          <w:rFonts w:ascii="Times New Roman" w:hAnsi="Times New Roman" w:cs="Times New Roman"/>
          <w:b/>
          <w:bCs/>
          <w:sz w:val="20"/>
          <w:szCs w:val="20"/>
        </w:rPr>
        <w:instrText xml:space="preserve"> SEQ Extended_Data_Fig. \* ARABIC </w:instrText>
      </w:r>
      <w:r w:rsidRPr="00260A2C">
        <w:rPr>
          <w:rFonts w:ascii="Times New Roman" w:hAnsi="Times New Roman" w:cs="Times New Roman"/>
          <w:b/>
          <w:bCs/>
          <w:sz w:val="20"/>
          <w:szCs w:val="20"/>
        </w:rPr>
        <w:fldChar w:fldCharType="separate"/>
      </w:r>
      <w:r w:rsidR="00357A41" w:rsidRPr="00260A2C">
        <w:rPr>
          <w:rFonts w:ascii="Times New Roman" w:hAnsi="Times New Roman" w:cs="Times New Roman"/>
          <w:b/>
          <w:bCs/>
          <w:noProof/>
          <w:sz w:val="20"/>
          <w:szCs w:val="20"/>
        </w:rPr>
        <w:t>4</w:t>
      </w:r>
      <w:r w:rsidRPr="00260A2C">
        <w:rPr>
          <w:rFonts w:ascii="Times New Roman" w:hAnsi="Times New Roman" w:cs="Times New Roman"/>
          <w:b/>
          <w:bCs/>
          <w:sz w:val="20"/>
          <w:szCs w:val="20"/>
        </w:rPr>
        <w:fldChar w:fldCharType="end"/>
      </w:r>
      <w:bookmarkEnd w:id="3"/>
      <w:r w:rsidR="002B3A00" w:rsidRPr="00260A2C">
        <w:rPr>
          <w:rFonts w:ascii="Times New Roman" w:hAnsi="Times New Roman" w:cs="Times New Roman"/>
          <w:b/>
          <w:bCs/>
          <w:sz w:val="20"/>
          <w:szCs w:val="20"/>
        </w:rPr>
        <w:t xml:space="preserve"> | </w:t>
      </w:r>
      <w:r w:rsidR="00B71435" w:rsidRPr="00260A2C">
        <w:rPr>
          <w:rFonts w:ascii="Times New Roman" w:hAnsi="Times New Roman" w:cs="Times New Roman"/>
          <w:b/>
          <w:bCs/>
          <w:sz w:val="20"/>
          <w:szCs w:val="20"/>
        </w:rPr>
        <w:t>Baseline and longitudinal expression of maturation markers on myeloid subsets.</w:t>
      </w:r>
    </w:p>
    <w:p w14:paraId="0D09CCC8" w14:textId="1C81D3B3" w:rsidR="00272B1D" w:rsidRPr="00225BE4" w:rsidRDefault="00B71435" w:rsidP="000D14EA">
      <w:pPr>
        <w:pStyle w:val="Caption"/>
        <w:contextualSpacing/>
        <w:jc w:val="both"/>
        <w:rPr>
          <w:rFonts w:ascii="Times New Roman" w:hAnsi="Times New Roman" w:cs="Times New Roman"/>
          <w:i w:val="0"/>
          <w:iCs w:val="0"/>
          <w:color w:val="auto"/>
          <w:sz w:val="20"/>
          <w:szCs w:val="20"/>
        </w:rPr>
      </w:pPr>
      <w:proofErr w:type="gramStart"/>
      <w:r w:rsidRPr="00225BE4">
        <w:rPr>
          <w:rFonts w:ascii="Times New Roman" w:hAnsi="Times New Roman" w:cs="Times New Roman"/>
          <w:b/>
          <w:bCs/>
          <w:i w:val="0"/>
          <w:iCs w:val="0"/>
          <w:color w:val="auto"/>
          <w:sz w:val="20"/>
          <w:szCs w:val="20"/>
        </w:rPr>
        <w:t>a</w:t>
      </w:r>
      <w:r w:rsidRPr="00225BE4">
        <w:rPr>
          <w:rFonts w:ascii="Times New Roman" w:hAnsi="Times New Roman" w:cs="Times New Roman"/>
          <w:i w:val="0"/>
          <w:iCs w:val="0"/>
          <w:color w:val="auto"/>
          <w:sz w:val="20"/>
          <w:szCs w:val="20"/>
        </w:rPr>
        <w:t>,</w:t>
      </w:r>
      <w:proofErr w:type="gramEnd"/>
      <w:r w:rsidRPr="00225BE4">
        <w:rPr>
          <w:rFonts w:ascii="Times New Roman" w:hAnsi="Times New Roman" w:cs="Times New Roman"/>
          <w:i w:val="0"/>
          <w:iCs w:val="0"/>
          <w:color w:val="auto"/>
          <w:sz w:val="20"/>
          <w:szCs w:val="20"/>
        </w:rPr>
        <w:t> Baseline relative expression (</w:t>
      </w:r>
      <w:proofErr w:type="spellStart"/>
      <w:r w:rsidRPr="00225BE4">
        <w:rPr>
          <w:rFonts w:ascii="Times New Roman" w:hAnsi="Times New Roman" w:cs="Times New Roman"/>
          <w:i w:val="0"/>
          <w:iCs w:val="0"/>
          <w:color w:val="auto"/>
          <w:sz w:val="20"/>
          <w:szCs w:val="20"/>
        </w:rPr>
        <w:t>arcsinh</w:t>
      </w:r>
      <w:proofErr w:type="spellEnd"/>
      <w:r w:rsidRPr="00225BE4">
        <w:rPr>
          <w:rFonts w:ascii="Times New Roman" w:hAnsi="Times New Roman" w:cs="Times New Roman"/>
          <w:i w:val="0"/>
          <w:iCs w:val="0"/>
          <w:color w:val="auto"/>
          <w:sz w:val="20"/>
          <w:szCs w:val="20"/>
        </w:rPr>
        <w:t xml:space="preserve">-transformed median fluorescence intensity [MFI]) of HLA-DR (top row) and CD54 (bottom row) on classical monocytes, cDC1, and cDC2 subsets in non-responders (NR, </w:t>
      </w:r>
      <w:r w:rsidRPr="00225BE4">
        <w:rPr>
          <w:rFonts w:ascii="Times New Roman" w:hAnsi="Times New Roman" w:cs="Times New Roman"/>
          <w:color w:val="auto"/>
          <w:sz w:val="20"/>
          <w:szCs w:val="20"/>
        </w:rPr>
        <w:t>n</w:t>
      </w:r>
      <w:r w:rsidRPr="00225BE4">
        <w:rPr>
          <w:rFonts w:ascii="Times New Roman" w:hAnsi="Times New Roman" w:cs="Times New Roman"/>
          <w:i w:val="0"/>
          <w:iCs w:val="0"/>
          <w:color w:val="auto"/>
          <w:sz w:val="20"/>
          <w:szCs w:val="20"/>
        </w:rPr>
        <w:t xml:space="preserve"> = 16), responders (R, </w:t>
      </w:r>
      <w:r w:rsidRPr="00225BE4">
        <w:rPr>
          <w:rFonts w:ascii="Times New Roman" w:hAnsi="Times New Roman" w:cs="Times New Roman"/>
          <w:color w:val="auto"/>
          <w:sz w:val="20"/>
          <w:szCs w:val="20"/>
        </w:rPr>
        <w:t>n</w:t>
      </w:r>
      <w:r w:rsidRPr="00225BE4">
        <w:rPr>
          <w:rFonts w:ascii="Times New Roman" w:hAnsi="Times New Roman" w:cs="Times New Roman"/>
          <w:i w:val="0"/>
          <w:iCs w:val="0"/>
          <w:color w:val="auto"/>
          <w:sz w:val="20"/>
          <w:szCs w:val="20"/>
        </w:rPr>
        <w:t xml:space="preserve"> = 56), and healthy controls (</w:t>
      </w:r>
      <w:r w:rsidRPr="00225BE4">
        <w:rPr>
          <w:rFonts w:ascii="Times New Roman" w:hAnsi="Times New Roman" w:cs="Times New Roman"/>
          <w:color w:val="auto"/>
          <w:sz w:val="20"/>
          <w:szCs w:val="20"/>
        </w:rPr>
        <w:t>n</w:t>
      </w:r>
      <w:r w:rsidRPr="00225BE4">
        <w:rPr>
          <w:rFonts w:ascii="Times New Roman" w:hAnsi="Times New Roman" w:cs="Times New Roman"/>
          <w:i w:val="0"/>
          <w:iCs w:val="0"/>
          <w:color w:val="auto"/>
          <w:sz w:val="20"/>
          <w:szCs w:val="20"/>
        </w:rPr>
        <w:t xml:space="preserve"> = 14).</w:t>
      </w:r>
      <w:r w:rsidR="003C13CD" w:rsidRPr="00225BE4">
        <w:rPr>
          <w:rFonts w:ascii="Times New Roman" w:hAnsi="Times New Roman" w:cs="Times New Roman"/>
          <w:i w:val="0"/>
          <w:iCs w:val="0"/>
          <w:color w:val="auto"/>
          <w:sz w:val="20"/>
          <w:szCs w:val="20"/>
        </w:rPr>
        <w:t xml:space="preserve"> </w:t>
      </w:r>
      <w:r w:rsidR="00AE289F" w:rsidRPr="00225BE4">
        <w:rPr>
          <w:rFonts w:ascii="Times New Roman" w:hAnsi="Times New Roman" w:cs="Times New Roman"/>
          <w:i w:val="0"/>
          <w:iCs w:val="0"/>
          <w:color w:val="auto"/>
          <w:sz w:val="20"/>
          <w:szCs w:val="20"/>
        </w:rPr>
        <w:t xml:space="preserve">These data complement Fig. 4h by detailing maturation marker expression on the broader myeloid populations beyond the representative CD5⁺ cDC2 subset. </w:t>
      </w:r>
      <w:r w:rsidR="003C13CD" w:rsidRPr="00225BE4">
        <w:rPr>
          <w:rFonts w:ascii="Times New Roman" w:hAnsi="Times New Roman" w:cs="Times New Roman"/>
          <w:i w:val="0"/>
          <w:iCs w:val="0"/>
          <w:color w:val="auto"/>
          <w:sz w:val="20"/>
          <w:szCs w:val="20"/>
        </w:rPr>
        <w:t xml:space="preserve">Boxes show 25th, 50th and 75th centiles; whiskers indicate 1.5 × inter-quartile range; points represent individual samples. </w:t>
      </w:r>
      <w:r w:rsidR="003C13CD" w:rsidRPr="00225BE4">
        <w:rPr>
          <w:rFonts w:ascii="Times New Roman" w:hAnsi="Times New Roman" w:cs="Times New Roman"/>
          <w:color w:val="auto"/>
          <w:sz w:val="20"/>
          <w:szCs w:val="20"/>
        </w:rPr>
        <w:t>P</w:t>
      </w:r>
      <w:r w:rsidR="003C13CD" w:rsidRPr="00225BE4">
        <w:rPr>
          <w:rFonts w:ascii="Times New Roman" w:hAnsi="Times New Roman" w:cs="Times New Roman"/>
          <w:i w:val="0"/>
          <w:iCs w:val="0"/>
          <w:color w:val="auto"/>
          <w:sz w:val="20"/>
          <w:szCs w:val="20"/>
        </w:rPr>
        <w:t> values comparing patient cohorts to healthy controls were calculated using the</w:t>
      </w:r>
      <w:r w:rsidR="000D4672" w:rsidRPr="00225BE4">
        <w:rPr>
          <w:rFonts w:ascii="Times New Roman" w:hAnsi="Times New Roman" w:cs="Times New Roman"/>
          <w:i w:val="0"/>
          <w:iCs w:val="0"/>
          <w:color w:val="auto"/>
          <w:sz w:val="20"/>
          <w:szCs w:val="20"/>
        </w:rPr>
        <w:t xml:space="preserve"> two-sided</w:t>
      </w:r>
      <w:r w:rsidR="003C13CD" w:rsidRPr="00225BE4">
        <w:rPr>
          <w:rFonts w:ascii="Times New Roman" w:hAnsi="Times New Roman" w:cs="Times New Roman"/>
          <w:i w:val="0"/>
          <w:iCs w:val="0"/>
          <w:color w:val="auto"/>
          <w:sz w:val="20"/>
          <w:szCs w:val="20"/>
        </w:rPr>
        <w:t xml:space="preserve"> Wilcoxon rank-sum test.</w:t>
      </w:r>
      <w:r w:rsidR="00F706AD" w:rsidRPr="00225BE4">
        <w:rPr>
          <w:rFonts w:ascii="Times New Roman" w:hAnsi="Times New Roman" w:cs="Times New Roman"/>
          <w:i w:val="0"/>
          <w:iCs w:val="0"/>
          <w:color w:val="auto"/>
          <w:sz w:val="20"/>
          <w:szCs w:val="20"/>
        </w:rPr>
        <w:t xml:space="preserve"> </w:t>
      </w:r>
      <w:r w:rsidRPr="00225BE4">
        <w:rPr>
          <w:rFonts w:ascii="Times New Roman" w:hAnsi="Times New Roman" w:cs="Times New Roman"/>
          <w:b/>
          <w:bCs/>
          <w:i w:val="0"/>
          <w:iCs w:val="0"/>
          <w:color w:val="auto"/>
          <w:sz w:val="20"/>
          <w:szCs w:val="20"/>
        </w:rPr>
        <w:t>b</w:t>
      </w:r>
      <w:r w:rsidRPr="00225BE4">
        <w:rPr>
          <w:rFonts w:ascii="Times New Roman" w:hAnsi="Times New Roman" w:cs="Times New Roman"/>
          <w:i w:val="0"/>
          <w:iCs w:val="0"/>
          <w:color w:val="auto"/>
          <w:sz w:val="20"/>
          <w:szCs w:val="20"/>
        </w:rPr>
        <w:t>, </w:t>
      </w:r>
      <w:r w:rsidR="00F706AD" w:rsidRPr="00225BE4">
        <w:rPr>
          <w:rFonts w:ascii="Times New Roman" w:hAnsi="Times New Roman" w:cs="Times New Roman"/>
          <w:i w:val="0"/>
          <w:iCs w:val="0"/>
          <w:color w:val="auto"/>
          <w:sz w:val="20"/>
          <w:szCs w:val="20"/>
        </w:rPr>
        <w:t xml:space="preserve">Longitudinal changes in CD54 and HLA-DR expression on cDC2 cells from baseline to 3 months post-treatment, shown for the entire cohort (All, </w:t>
      </w:r>
      <w:r w:rsidR="00F706AD" w:rsidRPr="00225BE4">
        <w:rPr>
          <w:rFonts w:ascii="Times New Roman" w:hAnsi="Times New Roman" w:cs="Times New Roman"/>
          <w:color w:val="auto"/>
          <w:sz w:val="20"/>
          <w:szCs w:val="20"/>
        </w:rPr>
        <w:t>n</w:t>
      </w:r>
      <w:r w:rsidR="00F706AD" w:rsidRPr="00225BE4">
        <w:rPr>
          <w:rFonts w:ascii="Times New Roman" w:hAnsi="Times New Roman" w:cs="Times New Roman"/>
          <w:i w:val="0"/>
          <w:iCs w:val="0"/>
          <w:color w:val="auto"/>
          <w:sz w:val="20"/>
          <w:szCs w:val="20"/>
        </w:rPr>
        <w:t xml:space="preserve"> = 51 pairs) and stratified by response (R, </w:t>
      </w:r>
      <w:r w:rsidR="00F706AD" w:rsidRPr="00225BE4">
        <w:rPr>
          <w:rFonts w:ascii="Times New Roman" w:hAnsi="Times New Roman" w:cs="Times New Roman"/>
          <w:color w:val="auto"/>
          <w:sz w:val="20"/>
          <w:szCs w:val="20"/>
        </w:rPr>
        <w:t>n</w:t>
      </w:r>
      <w:r w:rsidR="00F706AD" w:rsidRPr="00225BE4">
        <w:rPr>
          <w:rFonts w:ascii="Times New Roman" w:hAnsi="Times New Roman" w:cs="Times New Roman"/>
          <w:i w:val="0"/>
          <w:iCs w:val="0"/>
          <w:color w:val="auto"/>
          <w:sz w:val="20"/>
          <w:szCs w:val="20"/>
        </w:rPr>
        <w:t xml:space="preserve"> = 44 pairs; NR,</w:t>
      </w:r>
      <w:r w:rsidR="00F706AD" w:rsidRPr="00225BE4">
        <w:rPr>
          <w:rFonts w:ascii="Times New Roman" w:hAnsi="Times New Roman" w:cs="Times New Roman"/>
          <w:color w:val="auto"/>
          <w:sz w:val="20"/>
          <w:szCs w:val="20"/>
        </w:rPr>
        <w:t xml:space="preserve"> n</w:t>
      </w:r>
      <w:r w:rsidR="00F706AD" w:rsidRPr="00225BE4">
        <w:rPr>
          <w:rFonts w:ascii="Times New Roman" w:hAnsi="Times New Roman" w:cs="Times New Roman"/>
          <w:i w:val="0"/>
          <w:iCs w:val="0"/>
          <w:color w:val="auto"/>
          <w:sz w:val="20"/>
          <w:szCs w:val="20"/>
        </w:rPr>
        <w:t xml:space="preserve"> = 7 pairs). </w:t>
      </w:r>
      <w:r w:rsidR="00C3652F" w:rsidRPr="00225BE4">
        <w:rPr>
          <w:rFonts w:ascii="Times New Roman" w:hAnsi="Times New Roman" w:cs="Times New Roman"/>
          <w:i w:val="0"/>
          <w:iCs w:val="0"/>
          <w:color w:val="auto"/>
          <w:sz w:val="20"/>
          <w:szCs w:val="20"/>
        </w:rPr>
        <w:t>These data complement Fig. 4i by illustrating the dynamic longitudinal changes within the total cDC2 compartment.</w:t>
      </w:r>
      <w:r w:rsidR="00E8073D" w:rsidRPr="00225BE4">
        <w:rPr>
          <w:rFonts w:ascii="Times New Roman" w:hAnsi="Times New Roman" w:cs="Times New Roman"/>
          <w:i w:val="0"/>
          <w:iCs w:val="0"/>
          <w:color w:val="auto"/>
          <w:sz w:val="20"/>
          <w:szCs w:val="20"/>
        </w:rPr>
        <w:t xml:space="preserve"> </w:t>
      </w:r>
      <w:r w:rsidR="00F706AD" w:rsidRPr="00225BE4">
        <w:rPr>
          <w:rFonts w:ascii="Times New Roman" w:hAnsi="Times New Roman" w:cs="Times New Roman"/>
          <w:i w:val="0"/>
          <w:iCs w:val="0"/>
          <w:color w:val="auto"/>
          <w:sz w:val="20"/>
          <w:szCs w:val="20"/>
        </w:rPr>
        <w:t>Arrows next to the cohort labels denote a significant longitudinal decrease for that specific group. </w:t>
      </w:r>
      <w:r w:rsidR="00F706AD" w:rsidRPr="00225BE4">
        <w:rPr>
          <w:rFonts w:ascii="Times New Roman" w:hAnsi="Times New Roman" w:cs="Times New Roman"/>
          <w:color w:val="auto"/>
          <w:sz w:val="20"/>
          <w:szCs w:val="20"/>
        </w:rPr>
        <w:t>P</w:t>
      </w:r>
      <w:r w:rsidR="00F706AD" w:rsidRPr="00225BE4">
        <w:rPr>
          <w:rFonts w:ascii="Times New Roman" w:hAnsi="Times New Roman" w:cs="Times New Roman"/>
          <w:i w:val="0"/>
          <w:iCs w:val="0"/>
          <w:color w:val="auto"/>
          <w:sz w:val="20"/>
          <w:szCs w:val="20"/>
        </w:rPr>
        <w:t> values were calculated using paired Wilcoxon signed-rank tests.</w:t>
      </w:r>
    </w:p>
    <w:p w14:paraId="13B151EA" w14:textId="77777777" w:rsidR="00272B1D" w:rsidRPr="000D14EA" w:rsidRDefault="00272B1D" w:rsidP="000D14EA">
      <w:pPr>
        <w:jc w:val="both"/>
        <w:rPr>
          <w:rFonts w:ascii="Times New Roman" w:hAnsi="Times New Roman" w:cs="Times New Roman"/>
          <w:color w:val="0E2841" w:themeColor="text2"/>
          <w:sz w:val="22"/>
          <w:szCs w:val="22"/>
        </w:rPr>
      </w:pPr>
      <w:r w:rsidRPr="000D14EA">
        <w:rPr>
          <w:rFonts w:ascii="Times New Roman" w:hAnsi="Times New Roman" w:cs="Times New Roman"/>
          <w:i/>
          <w:iCs/>
          <w:sz w:val="22"/>
          <w:szCs w:val="22"/>
        </w:rPr>
        <w:br w:type="page"/>
      </w:r>
    </w:p>
    <w:p w14:paraId="4031DF0C" w14:textId="77777777" w:rsidR="009F6D2C" w:rsidRPr="000D14EA" w:rsidRDefault="009F6D2C" w:rsidP="000D14EA">
      <w:pPr>
        <w:pStyle w:val="Caption"/>
        <w:keepNext/>
        <w:jc w:val="both"/>
        <w:rPr>
          <w:rFonts w:ascii="Times New Roman" w:hAnsi="Times New Roman" w:cs="Times New Roman"/>
        </w:rPr>
      </w:pPr>
      <w:r w:rsidRPr="000D14EA">
        <w:rPr>
          <w:rFonts w:ascii="Times New Roman" w:hAnsi="Times New Roman" w:cs="Times New Roman"/>
          <w:i w:val="0"/>
          <w:iCs w:val="0"/>
          <w:noProof/>
          <w:sz w:val="22"/>
          <w:szCs w:val="22"/>
        </w:rPr>
        <w:lastRenderedPageBreak/>
        <w:drawing>
          <wp:inline distT="0" distB="0" distL="0" distR="0" wp14:anchorId="7F0DF708" wp14:editId="03B6CE83">
            <wp:extent cx="6781835" cy="3348841"/>
            <wp:effectExtent l="0" t="0" r="0" b="4445"/>
            <wp:docPr id="172895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5389" name="Picture 17289538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85448" cy="3350625"/>
                    </a:xfrm>
                    <a:prstGeom prst="rect">
                      <a:avLst/>
                    </a:prstGeom>
                  </pic:spPr>
                </pic:pic>
              </a:graphicData>
            </a:graphic>
          </wp:inline>
        </w:drawing>
      </w:r>
    </w:p>
    <w:p w14:paraId="3DAE573C" w14:textId="177086B2" w:rsidR="009A1016" w:rsidRPr="00260A2C" w:rsidRDefault="009F6D2C" w:rsidP="000D14EA">
      <w:pPr>
        <w:pStyle w:val="Heading2"/>
        <w:jc w:val="both"/>
        <w:rPr>
          <w:rFonts w:ascii="Times New Roman" w:hAnsi="Times New Roman" w:cs="Times New Roman"/>
          <w:b/>
          <w:bCs/>
          <w:sz w:val="20"/>
          <w:szCs w:val="20"/>
        </w:rPr>
      </w:pPr>
      <w:bookmarkStart w:id="4" w:name="_Ref231768899"/>
      <w:r w:rsidRPr="00260A2C">
        <w:rPr>
          <w:rFonts w:ascii="Times New Roman" w:hAnsi="Times New Roman" w:cs="Times New Roman"/>
          <w:b/>
          <w:bCs/>
          <w:sz w:val="20"/>
          <w:szCs w:val="20"/>
        </w:rPr>
        <w:t xml:space="preserve">Extended Data Fig. </w:t>
      </w:r>
      <w:r w:rsidRPr="00260A2C">
        <w:rPr>
          <w:rFonts w:ascii="Times New Roman" w:hAnsi="Times New Roman" w:cs="Times New Roman"/>
          <w:b/>
          <w:bCs/>
          <w:sz w:val="20"/>
          <w:szCs w:val="20"/>
        </w:rPr>
        <w:fldChar w:fldCharType="begin"/>
      </w:r>
      <w:r w:rsidRPr="00260A2C">
        <w:rPr>
          <w:rFonts w:ascii="Times New Roman" w:hAnsi="Times New Roman" w:cs="Times New Roman"/>
          <w:b/>
          <w:bCs/>
          <w:sz w:val="20"/>
          <w:szCs w:val="20"/>
        </w:rPr>
        <w:instrText xml:space="preserve"> SEQ Extended_Data_Fig. \* ARABIC </w:instrText>
      </w:r>
      <w:r w:rsidRPr="00260A2C">
        <w:rPr>
          <w:rFonts w:ascii="Times New Roman" w:hAnsi="Times New Roman" w:cs="Times New Roman"/>
          <w:b/>
          <w:bCs/>
          <w:sz w:val="20"/>
          <w:szCs w:val="20"/>
        </w:rPr>
        <w:fldChar w:fldCharType="separate"/>
      </w:r>
      <w:r w:rsidR="00357A41" w:rsidRPr="00260A2C">
        <w:rPr>
          <w:rFonts w:ascii="Times New Roman" w:hAnsi="Times New Roman" w:cs="Times New Roman"/>
          <w:b/>
          <w:bCs/>
          <w:noProof/>
          <w:sz w:val="20"/>
          <w:szCs w:val="20"/>
        </w:rPr>
        <w:t>5</w:t>
      </w:r>
      <w:r w:rsidRPr="00260A2C">
        <w:rPr>
          <w:rFonts w:ascii="Times New Roman" w:hAnsi="Times New Roman" w:cs="Times New Roman"/>
          <w:b/>
          <w:bCs/>
          <w:sz w:val="20"/>
          <w:szCs w:val="20"/>
        </w:rPr>
        <w:fldChar w:fldCharType="end"/>
      </w:r>
      <w:bookmarkEnd w:id="4"/>
      <w:r w:rsidR="00133913" w:rsidRPr="00260A2C">
        <w:rPr>
          <w:rFonts w:ascii="Times New Roman" w:hAnsi="Times New Roman" w:cs="Times New Roman"/>
          <w:b/>
          <w:bCs/>
          <w:sz w:val="20"/>
          <w:szCs w:val="20"/>
        </w:rPr>
        <w:t xml:space="preserve"> | Longitudinal and cross-sectional analysis of gut microbiome diversity in relation to clinical response.</w:t>
      </w:r>
    </w:p>
    <w:p w14:paraId="3D4F266A" w14:textId="7A20DBA9" w:rsidR="00133913" w:rsidRPr="00225BE4" w:rsidRDefault="00133913" w:rsidP="000D14EA">
      <w:pPr>
        <w:pStyle w:val="Caption"/>
        <w:contextualSpacing/>
        <w:jc w:val="both"/>
        <w:rPr>
          <w:rFonts w:ascii="Times New Roman" w:hAnsi="Times New Roman" w:cs="Times New Roman"/>
          <w:i w:val="0"/>
          <w:iCs w:val="0"/>
          <w:color w:val="auto"/>
          <w:sz w:val="20"/>
          <w:szCs w:val="20"/>
        </w:rPr>
      </w:pPr>
      <w:proofErr w:type="gramStart"/>
      <w:r w:rsidRPr="00225BE4">
        <w:rPr>
          <w:rFonts w:ascii="Times New Roman" w:hAnsi="Times New Roman" w:cs="Times New Roman"/>
          <w:b/>
          <w:bCs/>
          <w:i w:val="0"/>
          <w:iCs w:val="0"/>
          <w:color w:val="auto"/>
          <w:sz w:val="20"/>
          <w:szCs w:val="20"/>
        </w:rPr>
        <w:t>a,</w:t>
      </w:r>
      <w:proofErr w:type="gramEnd"/>
      <w:r w:rsidRPr="00225BE4">
        <w:rPr>
          <w:rFonts w:ascii="Times New Roman" w:hAnsi="Times New Roman" w:cs="Times New Roman"/>
          <w:i w:val="0"/>
          <w:iCs w:val="0"/>
          <w:color w:val="auto"/>
          <w:sz w:val="20"/>
          <w:szCs w:val="20"/>
        </w:rPr>
        <w:t> Principal coordinate analysis (</w:t>
      </w:r>
      <w:proofErr w:type="spellStart"/>
      <w:r w:rsidRPr="00225BE4">
        <w:rPr>
          <w:rFonts w:ascii="Times New Roman" w:hAnsi="Times New Roman" w:cs="Times New Roman"/>
          <w:i w:val="0"/>
          <w:iCs w:val="0"/>
          <w:color w:val="auto"/>
          <w:sz w:val="20"/>
          <w:szCs w:val="20"/>
        </w:rPr>
        <w:t>PCoA</w:t>
      </w:r>
      <w:proofErr w:type="spellEnd"/>
      <w:r w:rsidRPr="00225BE4">
        <w:rPr>
          <w:rFonts w:ascii="Times New Roman" w:hAnsi="Times New Roman" w:cs="Times New Roman"/>
          <w:i w:val="0"/>
          <w:iCs w:val="0"/>
          <w:color w:val="auto"/>
          <w:sz w:val="20"/>
          <w:szCs w:val="20"/>
        </w:rPr>
        <w:t>) of beta diversity comparing baseline and 3-month gut microbiome samples within the</w:t>
      </w:r>
      <w:r w:rsidR="00724450" w:rsidRPr="00225BE4">
        <w:rPr>
          <w:rFonts w:ascii="Times New Roman" w:hAnsi="Times New Roman" w:cs="Times New Roman"/>
          <w:i w:val="0"/>
          <w:iCs w:val="0"/>
          <w:color w:val="auto"/>
          <w:sz w:val="20"/>
          <w:szCs w:val="20"/>
        </w:rPr>
        <w:t xml:space="preserve"> paired</w:t>
      </w:r>
      <w:r w:rsidRPr="00225BE4">
        <w:rPr>
          <w:rFonts w:ascii="Times New Roman" w:hAnsi="Times New Roman" w:cs="Times New Roman"/>
          <w:i w:val="0"/>
          <w:iCs w:val="0"/>
          <w:color w:val="auto"/>
          <w:sz w:val="20"/>
          <w:szCs w:val="20"/>
        </w:rPr>
        <w:t xml:space="preserve"> non-responder (left</w:t>
      </w:r>
      <w:r w:rsidR="005B3F5E" w:rsidRPr="00225BE4">
        <w:rPr>
          <w:rFonts w:ascii="Times New Roman" w:hAnsi="Times New Roman" w:cs="Times New Roman"/>
          <w:i w:val="0"/>
          <w:iCs w:val="0"/>
          <w:color w:val="auto"/>
          <w:sz w:val="20"/>
          <w:szCs w:val="20"/>
        </w:rPr>
        <w:t xml:space="preserve">, </w:t>
      </w:r>
      <w:r w:rsidR="00F05E2F" w:rsidRPr="00225BE4">
        <w:rPr>
          <w:rFonts w:ascii="Times New Roman" w:hAnsi="Times New Roman" w:cs="Times New Roman"/>
          <w:color w:val="auto"/>
          <w:sz w:val="20"/>
          <w:szCs w:val="20"/>
        </w:rPr>
        <w:t>n</w:t>
      </w:r>
      <w:r w:rsidR="00F05E2F" w:rsidRPr="00225BE4">
        <w:rPr>
          <w:rFonts w:ascii="Times New Roman" w:hAnsi="Times New Roman" w:cs="Times New Roman"/>
          <w:i w:val="0"/>
          <w:iCs w:val="0"/>
          <w:color w:val="auto"/>
          <w:sz w:val="20"/>
          <w:szCs w:val="20"/>
        </w:rPr>
        <w:t xml:space="preserve"> = </w:t>
      </w:r>
      <w:r w:rsidR="00CB6503" w:rsidRPr="00225BE4">
        <w:rPr>
          <w:rFonts w:ascii="Times New Roman" w:hAnsi="Times New Roman" w:cs="Times New Roman"/>
          <w:i w:val="0"/>
          <w:iCs w:val="0"/>
          <w:color w:val="auto"/>
          <w:sz w:val="20"/>
          <w:szCs w:val="20"/>
        </w:rPr>
        <w:t>4</w:t>
      </w:r>
      <w:r w:rsidR="005B3F5E" w:rsidRPr="00225BE4">
        <w:rPr>
          <w:rFonts w:ascii="Times New Roman" w:hAnsi="Times New Roman" w:cs="Times New Roman"/>
          <w:i w:val="0"/>
          <w:iCs w:val="0"/>
          <w:color w:val="auto"/>
          <w:sz w:val="20"/>
          <w:szCs w:val="20"/>
        </w:rPr>
        <w:t xml:space="preserve"> pairs</w:t>
      </w:r>
      <w:r w:rsidRPr="00225BE4">
        <w:rPr>
          <w:rFonts w:ascii="Times New Roman" w:hAnsi="Times New Roman" w:cs="Times New Roman"/>
          <w:i w:val="0"/>
          <w:iCs w:val="0"/>
          <w:color w:val="auto"/>
          <w:sz w:val="20"/>
          <w:szCs w:val="20"/>
        </w:rPr>
        <w:t>) and responder (right</w:t>
      </w:r>
      <w:r w:rsidR="005B3F5E" w:rsidRPr="00225BE4">
        <w:rPr>
          <w:rFonts w:ascii="Times New Roman" w:hAnsi="Times New Roman" w:cs="Times New Roman"/>
          <w:i w:val="0"/>
          <w:iCs w:val="0"/>
          <w:color w:val="auto"/>
          <w:sz w:val="20"/>
          <w:szCs w:val="20"/>
        </w:rPr>
        <w:t xml:space="preserve">, </w:t>
      </w:r>
      <w:r w:rsidR="00F05E2F" w:rsidRPr="00225BE4">
        <w:rPr>
          <w:rFonts w:ascii="Times New Roman" w:hAnsi="Times New Roman" w:cs="Times New Roman"/>
          <w:color w:val="auto"/>
          <w:sz w:val="20"/>
          <w:szCs w:val="20"/>
        </w:rPr>
        <w:t>n</w:t>
      </w:r>
      <w:r w:rsidR="00F05E2F" w:rsidRPr="00225BE4">
        <w:rPr>
          <w:rFonts w:ascii="Times New Roman" w:hAnsi="Times New Roman" w:cs="Times New Roman"/>
          <w:i w:val="0"/>
          <w:iCs w:val="0"/>
          <w:color w:val="auto"/>
          <w:sz w:val="20"/>
          <w:szCs w:val="20"/>
        </w:rPr>
        <w:t xml:space="preserve"> =</w:t>
      </w:r>
      <w:r w:rsidR="00CB6503" w:rsidRPr="00225BE4">
        <w:rPr>
          <w:rFonts w:ascii="Times New Roman" w:hAnsi="Times New Roman" w:cs="Times New Roman"/>
          <w:i w:val="0"/>
          <w:iCs w:val="0"/>
          <w:color w:val="auto"/>
          <w:sz w:val="20"/>
          <w:szCs w:val="20"/>
        </w:rPr>
        <w:t xml:space="preserve"> </w:t>
      </w:r>
      <w:r w:rsidR="002877F5" w:rsidRPr="00225BE4">
        <w:rPr>
          <w:rFonts w:ascii="Times New Roman" w:hAnsi="Times New Roman" w:cs="Times New Roman"/>
          <w:i w:val="0"/>
          <w:iCs w:val="0"/>
          <w:color w:val="auto"/>
          <w:sz w:val="20"/>
          <w:szCs w:val="20"/>
        </w:rPr>
        <w:t>34 pairs</w:t>
      </w:r>
      <w:r w:rsidRPr="00225BE4">
        <w:rPr>
          <w:rFonts w:ascii="Times New Roman" w:hAnsi="Times New Roman" w:cs="Times New Roman"/>
          <w:i w:val="0"/>
          <w:iCs w:val="0"/>
          <w:color w:val="auto"/>
          <w:sz w:val="20"/>
          <w:szCs w:val="20"/>
        </w:rPr>
        <w:t>) cohorts. </w:t>
      </w:r>
      <w:r w:rsidR="00C807CC" w:rsidRPr="00225BE4">
        <w:rPr>
          <w:rFonts w:ascii="Times New Roman" w:hAnsi="Times New Roman" w:cs="Times New Roman"/>
          <w:color w:val="auto"/>
          <w:sz w:val="20"/>
          <w:szCs w:val="20"/>
        </w:rPr>
        <w:t>P</w:t>
      </w:r>
      <w:r w:rsidR="00C807CC" w:rsidRPr="00225BE4">
        <w:rPr>
          <w:rFonts w:ascii="Times New Roman" w:hAnsi="Times New Roman" w:cs="Times New Roman"/>
          <w:i w:val="0"/>
          <w:iCs w:val="0"/>
          <w:color w:val="auto"/>
          <w:sz w:val="20"/>
          <w:szCs w:val="20"/>
        </w:rPr>
        <w:t xml:space="preserve"> values were calculated using PERMANOVA (permutational multivariate analysis of variance)</w:t>
      </w:r>
      <w:r w:rsidRPr="00225BE4">
        <w:rPr>
          <w:rFonts w:ascii="Times New Roman" w:hAnsi="Times New Roman" w:cs="Times New Roman"/>
          <w:i w:val="0"/>
          <w:iCs w:val="0"/>
          <w:color w:val="auto"/>
          <w:sz w:val="20"/>
          <w:szCs w:val="20"/>
        </w:rPr>
        <w:t>.</w:t>
      </w:r>
      <w:r w:rsidR="003B2A6B" w:rsidRPr="00225BE4">
        <w:rPr>
          <w:rFonts w:ascii="Times New Roman" w:hAnsi="Times New Roman" w:cs="Times New Roman"/>
          <w:i w:val="0"/>
          <w:iCs w:val="0"/>
          <w:color w:val="auto"/>
          <w:sz w:val="20"/>
          <w:szCs w:val="20"/>
        </w:rPr>
        <w:t xml:space="preserve"> </w:t>
      </w:r>
      <w:r w:rsidRPr="00225BE4">
        <w:rPr>
          <w:rFonts w:ascii="Times New Roman" w:hAnsi="Times New Roman" w:cs="Times New Roman"/>
          <w:b/>
          <w:bCs/>
          <w:i w:val="0"/>
          <w:iCs w:val="0"/>
          <w:color w:val="auto"/>
          <w:sz w:val="20"/>
          <w:szCs w:val="20"/>
        </w:rPr>
        <w:t>b,</w:t>
      </w:r>
      <w:r w:rsidRPr="00225BE4">
        <w:rPr>
          <w:rFonts w:ascii="Times New Roman" w:hAnsi="Times New Roman" w:cs="Times New Roman"/>
          <w:i w:val="0"/>
          <w:iCs w:val="0"/>
          <w:color w:val="auto"/>
          <w:sz w:val="20"/>
          <w:szCs w:val="20"/>
        </w:rPr>
        <w:t> Longitudinal changes in gut microbial richness from baseline to 3 months for non-responders</w:t>
      </w:r>
      <w:r w:rsidR="007564D9" w:rsidRPr="00225BE4">
        <w:rPr>
          <w:rFonts w:ascii="Times New Roman" w:hAnsi="Times New Roman" w:cs="Times New Roman"/>
          <w:i w:val="0"/>
          <w:iCs w:val="0"/>
          <w:color w:val="auto"/>
          <w:sz w:val="20"/>
          <w:szCs w:val="20"/>
        </w:rPr>
        <w:t xml:space="preserve"> (NR, </w:t>
      </w:r>
      <w:r w:rsidR="007564D9" w:rsidRPr="00225BE4">
        <w:rPr>
          <w:rFonts w:ascii="Times New Roman" w:hAnsi="Times New Roman" w:cs="Times New Roman"/>
          <w:color w:val="auto"/>
          <w:sz w:val="20"/>
          <w:szCs w:val="20"/>
        </w:rPr>
        <w:t>n</w:t>
      </w:r>
      <w:r w:rsidR="007564D9" w:rsidRPr="00225BE4">
        <w:rPr>
          <w:rFonts w:ascii="Times New Roman" w:hAnsi="Times New Roman" w:cs="Times New Roman"/>
          <w:i w:val="0"/>
          <w:iCs w:val="0"/>
          <w:color w:val="auto"/>
          <w:sz w:val="20"/>
          <w:szCs w:val="20"/>
        </w:rPr>
        <w:t xml:space="preserve"> = 4 pairs)</w:t>
      </w:r>
      <w:r w:rsidRPr="00225BE4">
        <w:rPr>
          <w:rFonts w:ascii="Times New Roman" w:hAnsi="Times New Roman" w:cs="Times New Roman"/>
          <w:i w:val="0"/>
          <w:iCs w:val="0"/>
          <w:color w:val="auto"/>
          <w:sz w:val="20"/>
          <w:szCs w:val="20"/>
        </w:rPr>
        <w:t xml:space="preserve"> and responders</w:t>
      </w:r>
      <w:r w:rsidR="00C02555" w:rsidRPr="00225BE4">
        <w:rPr>
          <w:rFonts w:ascii="Times New Roman" w:hAnsi="Times New Roman" w:cs="Times New Roman"/>
          <w:i w:val="0"/>
          <w:iCs w:val="0"/>
          <w:color w:val="auto"/>
          <w:sz w:val="20"/>
          <w:szCs w:val="20"/>
        </w:rPr>
        <w:t xml:space="preserve"> (R, </w:t>
      </w:r>
      <w:r w:rsidR="00C02555" w:rsidRPr="00225BE4">
        <w:rPr>
          <w:rFonts w:ascii="Times New Roman" w:hAnsi="Times New Roman" w:cs="Times New Roman"/>
          <w:color w:val="auto"/>
          <w:sz w:val="20"/>
          <w:szCs w:val="20"/>
        </w:rPr>
        <w:t>n</w:t>
      </w:r>
      <w:r w:rsidR="00C02555" w:rsidRPr="00225BE4">
        <w:rPr>
          <w:rFonts w:ascii="Times New Roman" w:hAnsi="Times New Roman" w:cs="Times New Roman"/>
          <w:i w:val="0"/>
          <w:iCs w:val="0"/>
          <w:color w:val="auto"/>
          <w:sz w:val="20"/>
          <w:szCs w:val="20"/>
        </w:rPr>
        <w:t xml:space="preserve"> = 34 pairs)</w:t>
      </w:r>
      <w:r w:rsidRPr="00225BE4">
        <w:rPr>
          <w:rFonts w:ascii="Times New Roman" w:hAnsi="Times New Roman" w:cs="Times New Roman"/>
          <w:i w:val="0"/>
          <w:iCs w:val="0"/>
          <w:color w:val="auto"/>
          <w:sz w:val="20"/>
          <w:szCs w:val="20"/>
        </w:rPr>
        <w:t xml:space="preserve">. </w:t>
      </w:r>
      <w:r w:rsidR="001A62A9" w:rsidRPr="00225BE4">
        <w:rPr>
          <w:rFonts w:ascii="Times New Roman" w:hAnsi="Times New Roman" w:cs="Times New Roman"/>
          <w:i w:val="0"/>
          <w:iCs w:val="0"/>
          <w:color w:val="auto"/>
          <w:sz w:val="20"/>
          <w:szCs w:val="20"/>
        </w:rPr>
        <w:t>Coloured</w:t>
      </w:r>
      <w:r w:rsidRPr="00225BE4">
        <w:rPr>
          <w:rFonts w:ascii="Times New Roman" w:hAnsi="Times New Roman" w:cs="Times New Roman"/>
          <w:i w:val="0"/>
          <w:iCs w:val="0"/>
          <w:color w:val="auto"/>
          <w:sz w:val="20"/>
          <w:szCs w:val="20"/>
        </w:rPr>
        <w:t xml:space="preserve"> data points highlight three specific patients receiving dual-checkpoint blockade (anti-PD-1 + anti-CTLA4) who exhibited severe richness reduction, annotated by their corresponding immune-related adverse events (</w:t>
      </w:r>
      <w:proofErr w:type="spellStart"/>
      <w:r w:rsidRPr="00225BE4">
        <w:rPr>
          <w:rFonts w:ascii="Times New Roman" w:hAnsi="Times New Roman" w:cs="Times New Roman"/>
          <w:i w:val="0"/>
          <w:iCs w:val="0"/>
          <w:color w:val="auto"/>
          <w:sz w:val="20"/>
          <w:szCs w:val="20"/>
        </w:rPr>
        <w:t>irAEs</w:t>
      </w:r>
      <w:proofErr w:type="spellEnd"/>
      <w:r w:rsidRPr="00225BE4">
        <w:rPr>
          <w:rFonts w:ascii="Times New Roman" w:hAnsi="Times New Roman" w:cs="Times New Roman"/>
          <w:i w:val="0"/>
          <w:iCs w:val="0"/>
          <w:color w:val="auto"/>
          <w:sz w:val="20"/>
          <w:szCs w:val="20"/>
        </w:rPr>
        <w:t>). The patient highlighted in purple indicates the overlapping individual who also experienced profound oral richness depletion</w:t>
      </w:r>
      <w:r w:rsidR="00806439" w:rsidRPr="00225BE4">
        <w:rPr>
          <w:rFonts w:ascii="Times New Roman" w:hAnsi="Times New Roman" w:cs="Times New Roman"/>
          <w:i w:val="0"/>
          <w:iCs w:val="0"/>
          <w:color w:val="auto"/>
          <w:sz w:val="20"/>
          <w:szCs w:val="20"/>
        </w:rPr>
        <w:t xml:space="preserve"> </w:t>
      </w:r>
      <w:r w:rsidR="00A75864" w:rsidRPr="00225BE4">
        <w:rPr>
          <w:rFonts w:ascii="Times New Roman" w:hAnsi="Times New Roman" w:cs="Times New Roman"/>
          <w:i w:val="0"/>
          <w:iCs w:val="0"/>
          <w:color w:val="auto"/>
          <w:sz w:val="20"/>
          <w:szCs w:val="20"/>
        </w:rPr>
        <w:t>(</w:t>
      </w:r>
      <w:r w:rsidR="00806439" w:rsidRPr="00225BE4">
        <w:rPr>
          <w:rFonts w:ascii="Times New Roman" w:hAnsi="Times New Roman" w:cs="Times New Roman"/>
          <w:i w:val="0"/>
          <w:iCs w:val="0"/>
          <w:color w:val="auto"/>
          <w:sz w:val="20"/>
          <w:szCs w:val="20"/>
        </w:rPr>
        <w:t xml:space="preserve">detailed in Extended Data Fig. </w:t>
      </w:r>
      <w:r w:rsidR="00A75864" w:rsidRPr="00225BE4">
        <w:rPr>
          <w:rFonts w:ascii="Times New Roman" w:hAnsi="Times New Roman" w:cs="Times New Roman"/>
          <w:i w:val="0"/>
          <w:iCs w:val="0"/>
          <w:color w:val="auto"/>
          <w:sz w:val="20"/>
          <w:szCs w:val="20"/>
        </w:rPr>
        <w:t>8g)</w:t>
      </w:r>
      <w:r w:rsidRPr="00225BE4">
        <w:rPr>
          <w:rFonts w:ascii="Times New Roman" w:hAnsi="Times New Roman" w:cs="Times New Roman"/>
          <w:i w:val="0"/>
          <w:iCs w:val="0"/>
          <w:color w:val="auto"/>
          <w:sz w:val="20"/>
          <w:szCs w:val="20"/>
        </w:rPr>
        <w:t>.</w:t>
      </w:r>
      <w:r w:rsidR="0072423B" w:rsidRPr="00225BE4">
        <w:rPr>
          <w:rFonts w:ascii="Times New Roman" w:hAnsi="Times New Roman" w:cs="Times New Roman"/>
          <w:i w:val="0"/>
          <w:iCs w:val="0"/>
          <w:color w:val="auto"/>
          <w:sz w:val="20"/>
          <w:szCs w:val="20"/>
        </w:rPr>
        <w:t xml:space="preserve"> </w:t>
      </w:r>
      <w:r w:rsidRPr="00225BE4">
        <w:rPr>
          <w:rFonts w:ascii="Times New Roman" w:hAnsi="Times New Roman" w:cs="Times New Roman"/>
          <w:i w:val="0"/>
          <w:iCs w:val="0"/>
          <w:color w:val="auto"/>
          <w:sz w:val="20"/>
          <w:szCs w:val="20"/>
        </w:rPr>
        <w:t>Horizontal lines represent the median.</w:t>
      </w:r>
      <w:r w:rsidR="00CF39B5" w:rsidRPr="00225BE4">
        <w:rPr>
          <w:rFonts w:ascii="Times New Roman" w:hAnsi="Times New Roman" w:cs="Times New Roman"/>
          <w:color w:val="auto"/>
          <w:sz w:val="20"/>
          <w:szCs w:val="20"/>
        </w:rPr>
        <w:t> P</w:t>
      </w:r>
      <w:r w:rsidR="00CF39B5" w:rsidRPr="00225BE4">
        <w:rPr>
          <w:rFonts w:ascii="Times New Roman" w:hAnsi="Times New Roman" w:cs="Times New Roman"/>
          <w:i w:val="0"/>
          <w:iCs w:val="0"/>
          <w:color w:val="auto"/>
          <w:sz w:val="20"/>
          <w:szCs w:val="20"/>
        </w:rPr>
        <w:t> values were derived from paired Wilcoxon signed-rank test</w:t>
      </w:r>
      <w:r w:rsidR="00E42DD5" w:rsidRPr="00225BE4">
        <w:rPr>
          <w:rFonts w:ascii="Times New Roman" w:hAnsi="Times New Roman" w:cs="Times New Roman"/>
          <w:i w:val="0"/>
          <w:iCs w:val="0"/>
          <w:color w:val="auto"/>
          <w:sz w:val="20"/>
          <w:szCs w:val="20"/>
        </w:rPr>
        <w:t>.</w:t>
      </w:r>
      <w:r w:rsidR="003B2A6B" w:rsidRPr="00225BE4">
        <w:rPr>
          <w:rFonts w:ascii="Times New Roman" w:hAnsi="Times New Roman" w:cs="Times New Roman"/>
          <w:i w:val="0"/>
          <w:iCs w:val="0"/>
          <w:color w:val="auto"/>
          <w:sz w:val="20"/>
          <w:szCs w:val="20"/>
        </w:rPr>
        <w:t xml:space="preserve"> </w:t>
      </w:r>
      <w:r w:rsidRPr="00225BE4">
        <w:rPr>
          <w:rFonts w:ascii="Times New Roman" w:hAnsi="Times New Roman" w:cs="Times New Roman"/>
          <w:b/>
          <w:bCs/>
          <w:i w:val="0"/>
          <w:iCs w:val="0"/>
          <w:color w:val="auto"/>
          <w:sz w:val="20"/>
          <w:szCs w:val="20"/>
        </w:rPr>
        <w:t>c,</w:t>
      </w:r>
      <w:r w:rsidRPr="00225BE4">
        <w:rPr>
          <w:rFonts w:ascii="Times New Roman" w:hAnsi="Times New Roman" w:cs="Times New Roman"/>
          <w:i w:val="0"/>
          <w:iCs w:val="0"/>
          <w:color w:val="auto"/>
          <w:sz w:val="20"/>
          <w:szCs w:val="20"/>
        </w:rPr>
        <w:t> </w:t>
      </w:r>
      <w:proofErr w:type="spellStart"/>
      <w:r w:rsidRPr="00225BE4">
        <w:rPr>
          <w:rFonts w:ascii="Times New Roman" w:hAnsi="Times New Roman" w:cs="Times New Roman"/>
          <w:i w:val="0"/>
          <w:iCs w:val="0"/>
          <w:color w:val="auto"/>
          <w:sz w:val="20"/>
          <w:szCs w:val="20"/>
        </w:rPr>
        <w:t>PCoA</w:t>
      </w:r>
      <w:proofErr w:type="spellEnd"/>
      <w:r w:rsidRPr="00225BE4">
        <w:rPr>
          <w:rFonts w:ascii="Times New Roman" w:hAnsi="Times New Roman" w:cs="Times New Roman"/>
          <w:i w:val="0"/>
          <w:iCs w:val="0"/>
          <w:color w:val="auto"/>
          <w:sz w:val="20"/>
          <w:szCs w:val="20"/>
        </w:rPr>
        <w:t xml:space="preserve"> of beta diversity comparing responders (R</w:t>
      </w:r>
      <w:r w:rsidR="003A1155" w:rsidRPr="00225BE4">
        <w:rPr>
          <w:rFonts w:ascii="Times New Roman" w:hAnsi="Times New Roman" w:cs="Times New Roman"/>
          <w:i w:val="0"/>
          <w:iCs w:val="0"/>
          <w:color w:val="auto"/>
          <w:sz w:val="20"/>
          <w:szCs w:val="20"/>
        </w:rPr>
        <w:t xml:space="preserve">, </w:t>
      </w:r>
      <w:r w:rsidR="003A1155" w:rsidRPr="00225BE4">
        <w:rPr>
          <w:rFonts w:ascii="Times New Roman" w:hAnsi="Times New Roman" w:cs="Times New Roman"/>
          <w:color w:val="auto"/>
          <w:sz w:val="20"/>
          <w:szCs w:val="20"/>
        </w:rPr>
        <w:t>n</w:t>
      </w:r>
      <w:r w:rsidR="003A1155" w:rsidRPr="00225BE4">
        <w:rPr>
          <w:rFonts w:ascii="Times New Roman" w:hAnsi="Times New Roman" w:cs="Times New Roman"/>
          <w:i w:val="0"/>
          <w:iCs w:val="0"/>
          <w:color w:val="auto"/>
          <w:sz w:val="20"/>
          <w:szCs w:val="20"/>
        </w:rPr>
        <w:t xml:space="preserve"> = </w:t>
      </w:r>
      <w:r w:rsidR="00393020" w:rsidRPr="00225BE4">
        <w:rPr>
          <w:rFonts w:ascii="Times New Roman" w:hAnsi="Times New Roman" w:cs="Times New Roman"/>
          <w:i w:val="0"/>
          <w:iCs w:val="0"/>
          <w:color w:val="auto"/>
          <w:sz w:val="20"/>
          <w:szCs w:val="20"/>
        </w:rPr>
        <w:t>34</w:t>
      </w:r>
      <w:r w:rsidRPr="00225BE4">
        <w:rPr>
          <w:rFonts w:ascii="Times New Roman" w:hAnsi="Times New Roman" w:cs="Times New Roman"/>
          <w:i w:val="0"/>
          <w:iCs w:val="0"/>
          <w:color w:val="auto"/>
          <w:sz w:val="20"/>
          <w:szCs w:val="20"/>
        </w:rPr>
        <w:t>) and non-responders (NR</w:t>
      </w:r>
      <w:r w:rsidR="00393020" w:rsidRPr="00225BE4">
        <w:rPr>
          <w:rFonts w:ascii="Times New Roman" w:hAnsi="Times New Roman" w:cs="Times New Roman"/>
          <w:i w:val="0"/>
          <w:iCs w:val="0"/>
          <w:color w:val="auto"/>
          <w:sz w:val="20"/>
          <w:szCs w:val="20"/>
        </w:rPr>
        <w:t xml:space="preserve">, </w:t>
      </w:r>
      <w:r w:rsidR="00393020" w:rsidRPr="00225BE4">
        <w:rPr>
          <w:rFonts w:ascii="Times New Roman" w:hAnsi="Times New Roman" w:cs="Times New Roman"/>
          <w:color w:val="auto"/>
          <w:sz w:val="20"/>
          <w:szCs w:val="20"/>
        </w:rPr>
        <w:t>n</w:t>
      </w:r>
      <w:r w:rsidR="00393020" w:rsidRPr="00225BE4">
        <w:rPr>
          <w:rFonts w:ascii="Times New Roman" w:hAnsi="Times New Roman" w:cs="Times New Roman"/>
          <w:i w:val="0"/>
          <w:iCs w:val="0"/>
          <w:color w:val="auto"/>
          <w:sz w:val="20"/>
          <w:szCs w:val="20"/>
        </w:rPr>
        <w:t xml:space="preserve"> = 5</w:t>
      </w:r>
      <w:r w:rsidRPr="00225BE4">
        <w:rPr>
          <w:rFonts w:ascii="Times New Roman" w:hAnsi="Times New Roman" w:cs="Times New Roman"/>
          <w:i w:val="0"/>
          <w:iCs w:val="0"/>
          <w:color w:val="auto"/>
          <w:sz w:val="20"/>
          <w:szCs w:val="20"/>
        </w:rPr>
        <w:t xml:space="preserve">) at the 3-month post-treatment time point. Statistical significance was determined by </w:t>
      </w:r>
      <w:proofErr w:type="spellStart"/>
      <w:r w:rsidRPr="00225BE4">
        <w:rPr>
          <w:rFonts w:ascii="Times New Roman" w:hAnsi="Times New Roman" w:cs="Times New Roman"/>
          <w:i w:val="0"/>
          <w:iCs w:val="0"/>
          <w:color w:val="auto"/>
          <w:sz w:val="20"/>
          <w:szCs w:val="20"/>
        </w:rPr>
        <w:t>PermANOVA</w:t>
      </w:r>
      <w:proofErr w:type="spellEnd"/>
      <w:r w:rsidRPr="00225BE4">
        <w:rPr>
          <w:rFonts w:ascii="Times New Roman" w:hAnsi="Times New Roman" w:cs="Times New Roman"/>
          <w:i w:val="0"/>
          <w:iCs w:val="0"/>
          <w:color w:val="auto"/>
          <w:sz w:val="20"/>
          <w:szCs w:val="20"/>
        </w:rPr>
        <w:t>.</w:t>
      </w:r>
      <w:r w:rsidR="003B2A6B" w:rsidRPr="00225BE4">
        <w:rPr>
          <w:rFonts w:ascii="Times New Roman" w:hAnsi="Times New Roman" w:cs="Times New Roman"/>
          <w:i w:val="0"/>
          <w:iCs w:val="0"/>
          <w:color w:val="auto"/>
          <w:sz w:val="20"/>
          <w:szCs w:val="20"/>
        </w:rPr>
        <w:t xml:space="preserve"> </w:t>
      </w:r>
      <w:r w:rsidRPr="00225BE4">
        <w:rPr>
          <w:rFonts w:ascii="Times New Roman" w:hAnsi="Times New Roman" w:cs="Times New Roman"/>
          <w:b/>
          <w:bCs/>
          <w:i w:val="0"/>
          <w:iCs w:val="0"/>
          <w:color w:val="auto"/>
          <w:sz w:val="20"/>
          <w:szCs w:val="20"/>
        </w:rPr>
        <w:t>d,</w:t>
      </w:r>
      <w:r w:rsidRPr="00225BE4">
        <w:rPr>
          <w:rFonts w:ascii="Times New Roman" w:hAnsi="Times New Roman" w:cs="Times New Roman"/>
          <w:i w:val="0"/>
          <w:iCs w:val="0"/>
          <w:color w:val="auto"/>
          <w:sz w:val="20"/>
          <w:szCs w:val="20"/>
        </w:rPr>
        <w:t> </w:t>
      </w:r>
      <w:r w:rsidR="00CD35A7" w:rsidRPr="00225BE4">
        <w:rPr>
          <w:rFonts w:ascii="Times New Roman" w:hAnsi="Times New Roman" w:cs="Times New Roman"/>
          <w:i w:val="0"/>
          <w:iCs w:val="0"/>
          <w:color w:val="auto"/>
          <w:sz w:val="20"/>
          <w:szCs w:val="20"/>
        </w:rPr>
        <w:t>Boxplots</w:t>
      </w:r>
      <w:r w:rsidR="00AF320E" w:rsidRPr="00225BE4">
        <w:rPr>
          <w:rFonts w:ascii="Times New Roman" w:hAnsi="Times New Roman" w:cs="Times New Roman"/>
          <w:i w:val="0"/>
          <w:iCs w:val="0"/>
          <w:color w:val="auto"/>
          <w:sz w:val="20"/>
          <w:szCs w:val="20"/>
        </w:rPr>
        <w:t xml:space="preserve"> of</w:t>
      </w:r>
      <w:r w:rsidRPr="00225BE4">
        <w:rPr>
          <w:rFonts w:ascii="Times New Roman" w:hAnsi="Times New Roman" w:cs="Times New Roman"/>
          <w:i w:val="0"/>
          <w:iCs w:val="0"/>
          <w:color w:val="auto"/>
          <w:sz w:val="20"/>
          <w:szCs w:val="20"/>
        </w:rPr>
        <w:t xml:space="preserve"> baseline gut alpha diversity (Richness, Shannon, and </w:t>
      </w:r>
      <w:r w:rsidR="006003E3" w:rsidRPr="00225BE4">
        <w:rPr>
          <w:rFonts w:ascii="Times New Roman" w:hAnsi="Times New Roman" w:cs="Times New Roman"/>
          <w:i w:val="0"/>
          <w:iCs w:val="0"/>
          <w:color w:val="auto"/>
          <w:sz w:val="20"/>
          <w:szCs w:val="20"/>
        </w:rPr>
        <w:t xml:space="preserve">Unbiased </w:t>
      </w:r>
      <w:r w:rsidR="00715EAF" w:rsidRPr="00225BE4">
        <w:rPr>
          <w:rFonts w:ascii="Times New Roman" w:hAnsi="Times New Roman" w:cs="Times New Roman"/>
          <w:i w:val="0"/>
          <w:iCs w:val="0"/>
          <w:color w:val="auto"/>
          <w:sz w:val="20"/>
          <w:szCs w:val="20"/>
        </w:rPr>
        <w:t>S</w:t>
      </w:r>
      <w:r w:rsidRPr="00225BE4">
        <w:rPr>
          <w:rFonts w:ascii="Times New Roman" w:hAnsi="Times New Roman" w:cs="Times New Roman"/>
          <w:i w:val="0"/>
          <w:iCs w:val="0"/>
          <w:color w:val="auto"/>
          <w:sz w:val="20"/>
          <w:szCs w:val="20"/>
        </w:rPr>
        <w:t>impson indices) between non-responders</w:t>
      </w:r>
      <w:r w:rsidR="00504D30" w:rsidRPr="00225BE4">
        <w:rPr>
          <w:rFonts w:ascii="Times New Roman" w:hAnsi="Times New Roman" w:cs="Times New Roman"/>
          <w:i w:val="0"/>
          <w:iCs w:val="0"/>
          <w:color w:val="auto"/>
          <w:sz w:val="20"/>
          <w:szCs w:val="20"/>
        </w:rPr>
        <w:t xml:space="preserve"> (NR, </w:t>
      </w:r>
      <w:r w:rsidR="00504D30" w:rsidRPr="00225BE4">
        <w:rPr>
          <w:rFonts w:ascii="Times New Roman" w:hAnsi="Times New Roman" w:cs="Times New Roman"/>
          <w:color w:val="auto"/>
          <w:sz w:val="20"/>
          <w:szCs w:val="20"/>
        </w:rPr>
        <w:t>n</w:t>
      </w:r>
      <w:r w:rsidR="00504D30" w:rsidRPr="00225BE4">
        <w:rPr>
          <w:rFonts w:ascii="Times New Roman" w:hAnsi="Times New Roman" w:cs="Times New Roman"/>
          <w:i w:val="0"/>
          <w:iCs w:val="0"/>
          <w:color w:val="auto"/>
          <w:sz w:val="20"/>
          <w:szCs w:val="20"/>
        </w:rPr>
        <w:t xml:space="preserve"> = 14)</w:t>
      </w:r>
      <w:r w:rsidRPr="00225BE4">
        <w:rPr>
          <w:rFonts w:ascii="Times New Roman" w:hAnsi="Times New Roman" w:cs="Times New Roman"/>
          <w:i w:val="0"/>
          <w:iCs w:val="0"/>
          <w:color w:val="auto"/>
          <w:sz w:val="20"/>
          <w:szCs w:val="20"/>
        </w:rPr>
        <w:t xml:space="preserve"> and responders</w:t>
      </w:r>
      <w:r w:rsidR="00504D30" w:rsidRPr="00225BE4">
        <w:rPr>
          <w:rFonts w:ascii="Times New Roman" w:hAnsi="Times New Roman" w:cs="Times New Roman"/>
          <w:i w:val="0"/>
          <w:iCs w:val="0"/>
          <w:color w:val="auto"/>
          <w:sz w:val="20"/>
          <w:szCs w:val="20"/>
        </w:rPr>
        <w:t xml:space="preserve"> (R, </w:t>
      </w:r>
      <w:r w:rsidR="00504D30" w:rsidRPr="00225BE4">
        <w:rPr>
          <w:rFonts w:ascii="Times New Roman" w:hAnsi="Times New Roman" w:cs="Times New Roman"/>
          <w:color w:val="auto"/>
          <w:sz w:val="20"/>
          <w:szCs w:val="20"/>
        </w:rPr>
        <w:t>n</w:t>
      </w:r>
      <w:r w:rsidR="00504D30" w:rsidRPr="00225BE4">
        <w:rPr>
          <w:rFonts w:ascii="Times New Roman" w:hAnsi="Times New Roman" w:cs="Times New Roman"/>
          <w:i w:val="0"/>
          <w:iCs w:val="0"/>
          <w:color w:val="auto"/>
          <w:sz w:val="20"/>
          <w:szCs w:val="20"/>
        </w:rPr>
        <w:t xml:space="preserve"> = 49)</w:t>
      </w:r>
      <w:r w:rsidRPr="00225BE4">
        <w:rPr>
          <w:rFonts w:ascii="Times New Roman" w:hAnsi="Times New Roman" w:cs="Times New Roman"/>
          <w:i w:val="0"/>
          <w:iCs w:val="0"/>
          <w:color w:val="auto"/>
          <w:sz w:val="20"/>
          <w:szCs w:val="20"/>
        </w:rPr>
        <w:t xml:space="preserve">. </w:t>
      </w:r>
      <w:r w:rsidR="00410244" w:rsidRPr="00225BE4">
        <w:rPr>
          <w:rFonts w:ascii="Times New Roman" w:hAnsi="Times New Roman" w:cs="Times New Roman"/>
          <w:i w:val="0"/>
          <w:iCs w:val="0"/>
          <w:color w:val="auto"/>
          <w:sz w:val="20"/>
          <w:szCs w:val="20"/>
        </w:rPr>
        <w:t>Boxes show 25th, 50th and 75th centiles; whiskers indicate 1.5 × inter-quartile range; points represent individual samples</w:t>
      </w:r>
      <w:r w:rsidRPr="00225BE4">
        <w:rPr>
          <w:rFonts w:ascii="Times New Roman" w:hAnsi="Times New Roman" w:cs="Times New Roman"/>
          <w:i w:val="0"/>
          <w:iCs w:val="0"/>
          <w:color w:val="auto"/>
          <w:sz w:val="20"/>
          <w:szCs w:val="20"/>
        </w:rPr>
        <w:t>. Statistical significance was determined by a two-sided Wilcoxon rank-sum test.</w:t>
      </w:r>
    </w:p>
    <w:p w14:paraId="703D30DA" w14:textId="76880A03" w:rsidR="00F5612C" w:rsidRPr="000D14EA" w:rsidRDefault="00F5612C" w:rsidP="000D14EA">
      <w:pPr>
        <w:jc w:val="both"/>
        <w:rPr>
          <w:rFonts w:ascii="Times New Roman" w:hAnsi="Times New Roman" w:cs="Times New Roman"/>
        </w:rPr>
      </w:pPr>
      <w:r w:rsidRPr="000D14EA">
        <w:rPr>
          <w:rFonts w:ascii="Times New Roman" w:hAnsi="Times New Roman" w:cs="Times New Roman"/>
        </w:rPr>
        <w:br w:type="page"/>
      </w:r>
    </w:p>
    <w:p w14:paraId="38DA184A" w14:textId="77777777" w:rsidR="00747AF9" w:rsidRPr="000D14EA" w:rsidRDefault="00F17193" w:rsidP="000D14EA">
      <w:pPr>
        <w:keepNext/>
        <w:jc w:val="both"/>
        <w:rPr>
          <w:rFonts w:ascii="Times New Roman" w:hAnsi="Times New Roman" w:cs="Times New Roman"/>
        </w:rPr>
      </w:pPr>
      <w:r w:rsidRPr="000D14EA">
        <w:rPr>
          <w:rFonts w:ascii="Times New Roman" w:hAnsi="Times New Roman" w:cs="Times New Roman"/>
          <w:noProof/>
        </w:rPr>
        <w:lastRenderedPageBreak/>
        <w:drawing>
          <wp:inline distT="0" distB="0" distL="0" distR="0" wp14:anchorId="47689348" wp14:editId="6BC3C791">
            <wp:extent cx="6756468" cy="4025735"/>
            <wp:effectExtent l="0" t="0" r="6350" b="0"/>
            <wp:docPr id="4813464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46439" name="Picture 48134643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59872" cy="4027763"/>
                    </a:xfrm>
                    <a:prstGeom prst="rect">
                      <a:avLst/>
                    </a:prstGeom>
                  </pic:spPr>
                </pic:pic>
              </a:graphicData>
            </a:graphic>
          </wp:inline>
        </w:drawing>
      </w:r>
    </w:p>
    <w:p w14:paraId="2A277CB1" w14:textId="28B9805A" w:rsidR="00747AF9" w:rsidRPr="00260A2C" w:rsidRDefault="00747AF9" w:rsidP="000D14EA">
      <w:pPr>
        <w:pStyle w:val="Heading2"/>
        <w:jc w:val="both"/>
        <w:rPr>
          <w:rFonts w:ascii="Times New Roman" w:hAnsi="Times New Roman" w:cs="Times New Roman"/>
          <w:b/>
          <w:bCs/>
          <w:sz w:val="20"/>
          <w:szCs w:val="20"/>
        </w:rPr>
      </w:pPr>
      <w:bookmarkStart w:id="5" w:name="_Ref231769167"/>
      <w:r w:rsidRPr="00260A2C">
        <w:rPr>
          <w:rFonts w:ascii="Times New Roman" w:hAnsi="Times New Roman" w:cs="Times New Roman"/>
          <w:b/>
          <w:bCs/>
          <w:sz w:val="20"/>
          <w:szCs w:val="20"/>
        </w:rPr>
        <w:t xml:space="preserve">Extended Data Fig. </w:t>
      </w:r>
      <w:r w:rsidRPr="00260A2C">
        <w:rPr>
          <w:rFonts w:ascii="Times New Roman" w:hAnsi="Times New Roman" w:cs="Times New Roman"/>
          <w:b/>
          <w:bCs/>
          <w:sz w:val="20"/>
          <w:szCs w:val="20"/>
        </w:rPr>
        <w:fldChar w:fldCharType="begin"/>
      </w:r>
      <w:r w:rsidRPr="00260A2C">
        <w:rPr>
          <w:rFonts w:ascii="Times New Roman" w:hAnsi="Times New Roman" w:cs="Times New Roman"/>
          <w:b/>
          <w:bCs/>
          <w:sz w:val="20"/>
          <w:szCs w:val="20"/>
        </w:rPr>
        <w:instrText xml:space="preserve"> SEQ Extended_Data_Fig. \* ARABIC </w:instrText>
      </w:r>
      <w:r w:rsidRPr="00260A2C">
        <w:rPr>
          <w:rFonts w:ascii="Times New Roman" w:hAnsi="Times New Roman" w:cs="Times New Roman"/>
          <w:b/>
          <w:bCs/>
          <w:sz w:val="20"/>
          <w:szCs w:val="20"/>
        </w:rPr>
        <w:fldChar w:fldCharType="separate"/>
      </w:r>
      <w:r w:rsidR="00357A41" w:rsidRPr="00260A2C">
        <w:rPr>
          <w:rFonts w:ascii="Times New Roman" w:hAnsi="Times New Roman" w:cs="Times New Roman"/>
          <w:b/>
          <w:bCs/>
          <w:noProof/>
          <w:sz w:val="20"/>
          <w:szCs w:val="20"/>
        </w:rPr>
        <w:t>6</w:t>
      </w:r>
      <w:r w:rsidRPr="00260A2C">
        <w:rPr>
          <w:rFonts w:ascii="Times New Roman" w:hAnsi="Times New Roman" w:cs="Times New Roman"/>
          <w:b/>
          <w:bCs/>
          <w:sz w:val="20"/>
          <w:szCs w:val="20"/>
        </w:rPr>
        <w:fldChar w:fldCharType="end"/>
      </w:r>
      <w:bookmarkEnd w:id="5"/>
      <w:r w:rsidRPr="00260A2C">
        <w:rPr>
          <w:rFonts w:ascii="Times New Roman" w:hAnsi="Times New Roman" w:cs="Times New Roman"/>
          <w:b/>
          <w:bCs/>
          <w:sz w:val="20"/>
          <w:szCs w:val="20"/>
        </w:rPr>
        <w:t xml:space="preserve"> </w:t>
      </w:r>
      <w:r w:rsidR="00DE1980" w:rsidRPr="00260A2C">
        <w:rPr>
          <w:rFonts w:ascii="Times New Roman" w:hAnsi="Times New Roman" w:cs="Times New Roman"/>
          <w:b/>
          <w:bCs/>
          <w:sz w:val="20"/>
          <w:szCs w:val="20"/>
        </w:rPr>
        <w:t xml:space="preserve">| </w:t>
      </w:r>
      <w:r w:rsidR="00ED6493" w:rsidRPr="00260A2C">
        <w:rPr>
          <w:rFonts w:ascii="Times New Roman" w:hAnsi="Times New Roman" w:cs="Times New Roman"/>
          <w:b/>
          <w:bCs/>
          <w:sz w:val="20"/>
          <w:szCs w:val="20"/>
        </w:rPr>
        <w:t>Sparse partial least squares discriminant analysis (</w:t>
      </w:r>
      <w:proofErr w:type="spellStart"/>
      <w:r w:rsidR="00ED6493" w:rsidRPr="00260A2C">
        <w:rPr>
          <w:rFonts w:ascii="Times New Roman" w:hAnsi="Times New Roman" w:cs="Times New Roman"/>
          <w:b/>
          <w:bCs/>
          <w:sz w:val="20"/>
          <w:szCs w:val="20"/>
        </w:rPr>
        <w:t>sPLS</w:t>
      </w:r>
      <w:proofErr w:type="spellEnd"/>
      <w:r w:rsidR="00ED6493" w:rsidRPr="00260A2C">
        <w:rPr>
          <w:rFonts w:ascii="Times New Roman" w:hAnsi="Times New Roman" w:cs="Times New Roman"/>
          <w:b/>
          <w:bCs/>
          <w:sz w:val="20"/>
          <w:szCs w:val="20"/>
        </w:rPr>
        <w:t>-DA) of baseline gut microbiota.</w:t>
      </w:r>
    </w:p>
    <w:p w14:paraId="0E60D0E0" w14:textId="423919FA" w:rsidR="00E8696D" w:rsidRPr="00225BE4" w:rsidRDefault="00ED6493" w:rsidP="000D14EA">
      <w:pPr>
        <w:pStyle w:val="Caption"/>
        <w:contextualSpacing/>
        <w:jc w:val="both"/>
        <w:rPr>
          <w:rFonts w:ascii="Times New Roman" w:hAnsi="Times New Roman" w:cs="Times New Roman"/>
          <w:i w:val="0"/>
          <w:iCs w:val="0"/>
          <w:color w:val="auto"/>
          <w:sz w:val="20"/>
          <w:szCs w:val="20"/>
        </w:rPr>
      </w:pPr>
      <w:proofErr w:type="gramStart"/>
      <w:r w:rsidRPr="00225BE4">
        <w:rPr>
          <w:rFonts w:ascii="Times New Roman" w:hAnsi="Times New Roman" w:cs="Times New Roman"/>
          <w:b/>
          <w:bCs/>
          <w:i w:val="0"/>
          <w:iCs w:val="0"/>
          <w:color w:val="auto"/>
          <w:sz w:val="20"/>
          <w:szCs w:val="20"/>
        </w:rPr>
        <w:t>a</w:t>
      </w:r>
      <w:r w:rsidRPr="00225BE4">
        <w:rPr>
          <w:rFonts w:ascii="Times New Roman" w:hAnsi="Times New Roman" w:cs="Times New Roman"/>
          <w:i w:val="0"/>
          <w:iCs w:val="0"/>
          <w:color w:val="auto"/>
          <w:sz w:val="20"/>
          <w:szCs w:val="20"/>
        </w:rPr>
        <w:t>,</w:t>
      </w:r>
      <w:proofErr w:type="gramEnd"/>
      <w:r w:rsidRPr="00225BE4">
        <w:rPr>
          <w:rFonts w:ascii="Times New Roman" w:hAnsi="Times New Roman" w:cs="Times New Roman"/>
          <w:i w:val="0"/>
          <w:iCs w:val="0"/>
          <w:color w:val="auto"/>
          <w:sz w:val="20"/>
          <w:szCs w:val="20"/>
        </w:rPr>
        <w:t xml:space="preserve"> </w:t>
      </w:r>
      <w:proofErr w:type="spellStart"/>
      <w:r w:rsidRPr="00225BE4">
        <w:rPr>
          <w:rFonts w:ascii="Times New Roman" w:hAnsi="Times New Roman" w:cs="Times New Roman"/>
          <w:i w:val="0"/>
          <w:iCs w:val="0"/>
          <w:color w:val="auto"/>
          <w:sz w:val="20"/>
          <w:szCs w:val="20"/>
        </w:rPr>
        <w:t>sPLS</w:t>
      </w:r>
      <w:proofErr w:type="spellEnd"/>
      <w:r w:rsidRPr="00225BE4">
        <w:rPr>
          <w:rFonts w:ascii="Times New Roman" w:hAnsi="Times New Roman" w:cs="Times New Roman"/>
          <w:i w:val="0"/>
          <w:iCs w:val="0"/>
          <w:color w:val="auto"/>
          <w:sz w:val="20"/>
          <w:szCs w:val="20"/>
        </w:rPr>
        <w:t>-DA score plot illustrating the multivariate separation between subsequent responders (R, </w:t>
      </w:r>
      <w:r w:rsidRPr="00225BE4">
        <w:rPr>
          <w:rFonts w:ascii="Times New Roman" w:hAnsi="Times New Roman" w:cs="Times New Roman"/>
          <w:color w:val="auto"/>
          <w:sz w:val="20"/>
          <w:szCs w:val="20"/>
        </w:rPr>
        <w:t>n</w:t>
      </w:r>
      <w:r w:rsidRPr="00225BE4">
        <w:rPr>
          <w:rFonts w:ascii="Times New Roman" w:hAnsi="Times New Roman" w:cs="Times New Roman"/>
          <w:i w:val="0"/>
          <w:iCs w:val="0"/>
          <w:color w:val="auto"/>
          <w:sz w:val="20"/>
          <w:szCs w:val="20"/>
        </w:rPr>
        <w:t> = 49) and non-responders (NR, </w:t>
      </w:r>
      <w:r w:rsidRPr="00225BE4">
        <w:rPr>
          <w:rFonts w:ascii="Times New Roman" w:hAnsi="Times New Roman" w:cs="Times New Roman"/>
          <w:color w:val="auto"/>
          <w:sz w:val="20"/>
          <w:szCs w:val="20"/>
        </w:rPr>
        <w:t>n</w:t>
      </w:r>
      <w:r w:rsidRPr="00225BE4">
        <w:rPr>
          <w:rFonts w:ascii="Times New Roman" w:hAnsi="Times New Roman" w:cs="Times New Roman"/>
          <w:i w:val="0"/>
          <w:iCs w:val="0"/>
          <w:color w:val="auto"/>
          <w:sz w:val="20"/>
          <w:szCs w:val="20"/>
        </w:rPr>
        <w:t> = 14). The model was constructed using the 50 species initially identified as differentially abundant by the Wilcoxon rank-sum test (detailed in Fig. 5b). The axes denote the first two latent components, accounting for 23% (Component 1) and 4% (Component 2) of the explained variance. </w:t>
      </w:r>
      <w:r w:rsidRPr="00225BE4">
        <w:rPr>
          <w:rFonts w:ascii="Times New Roman" w:hAnsi="Times New Roman" w:cs="Times New Roman"/>
          <w:b/>
          <w:bCs/>
          <w:i w:val="0"/>
          <w:iCs w:val="0"/>
          <w:color w:val="auto"/>
          <w:sz w:val="20"/>
          <w:szCs w:val="20"/>
        </w:rPr>
        <w:t>b</w:t>
      </w:r>
      <w:r w:rsidRPr="00225BE4">
        <w:rPr>
          <w:rFonts w:ascii="Times New Roman" w:hAnsi="Times New Roman" w:cs="Times New Roman"/>
          <w:i w:val="0"/>
          <w:iCs w:val="0"/>
          <w:color w:val="auto"/>
          <w:sz w:val="20"/>
          <w:szCs w:val="20"/>
        </w:rPr>
        <w:t>, </w:t>
      </w:r>
      <w:r w:rsidRPr="00225BE4">
        <w:rPr>
          <w:rFonts w:ascii="Times New Roman" w:hAnsi="Times New Roman" w:cs="Times New Roman"/>
          <w:b/>
          <w:bCs/>
          <w:i w:val="0"/>
          <w:iCs w:val="0"/>
          <w:color w:val="auto"/>
          <w:sz w:val="20"/>
          <w:szCs w:val="20"/>
        </w:rPr>
        <w:t>c</w:t>
      </w:r>
      <w:r w:rsidRPr="00225BE4">
        <w:rPr>
          <w:rFonts w:ascii="Times New Roman" w:hAnsi="Times New Roman" w:cs="Times New Roman"/>
          <w:i w:val="0"/>
          <w:iCs w:val="0"/>
          <w:color w:val="auto"/>
          <w:sz w:val="20"/>
          <w:szCs w:val="20"/>
        </w:rPr>
        <w:t xml:space="preserve">, </w:t>
      </w:r>
      <w:proofErr w:type="gramStart"/>
      <w:r w:rsidRPr="00225BE4">
        <w:rPr>
          <w:rFonts w:ascii="Times New Roman" w:hAnsi="Times New Roman" w:cs="Times New Roman"/>
          <w:i w:val="0"/>
          <w:iCs w:val="0"/>
          <w:color w:val="auto"/>
          <w:sz w:val="20"/>
          <w:szCs w:val="20"/>
        </w:rPr>
        <w:t>Loading</w:t>
      </w:r>
      <w:proofErr w:type="gramEnd"/>
      <w:r w:rsidRPr="00225BE4">
        <w:rPr>
          <w:rFonts w:ascii="Times New Roman" w:hAnsi="Times New Roman" w:cs="Times New Roman"/>
          <w:i w:val="0"/>
          <w:iCs w:val="0"/>
          <w:color w:val="auto"/>
          <w:sz w:val="20"/>
          <w:szCs w:val="20"/>
        </w:rPr>
        <w:t xml:space="preserve"> plots displaying the top 20 species contributing to the group separation along Component 1 (</w:t>
      </w:r>
      <w:r w:rsidRPr="00225BE4">
        <w:rPr>
          <w:rFonts w:ascii="Times New Roman" w:hAnsi="Times New Roman" w:cs="Times New Roman"/>
          <w:b/>
          <w:bCs/>
          <w:i w:val="0"/>
          <w:iCs w:val="0"/>
          <w:color w:val="auto"/>
          <w:sz w:val="20"/>
          <w:szCs w:val="20"/>
        </w:rPr>
        <w:t>b</w:t>
      </w:r>
      <w:r w:rsidRPr="00225BE4">
        <w:rPr>
          <w:rFonts w:ascii="Times New Roman" w:hAnsi="Times New Roman" w:cs="Times New Roman"/>
          <w:i w:val="0"/>
          <w:iCs w:val="0"/>
          <w:color w:val="auto"/>
          <w:sz w:val="20"/>
          <w:szCs w:val="20"/>
        </w:rPr>
        <w:t>) and Component 2 (</w:t>
      </w:r>
      <w:r w:rsidRPr="00225BE4">
        <w:rPr>
          <w:rFonts w:ascii="Times New Roman" w:hAnsi="Times New Roman" w:cs="Times New Roman"/>
          <w:b/>
          <w:bCs/>
          <w:i w:val="0"/>
          <w:iCs w:val="0"/>
          <w:color w:val="auto"/>
          <w:sz w:val="20"/>
          <w:szCs w:val="20"/>
        </w:rPr>
        <w:t>c</w:t>
      </w:r>
      <w:r w:rsidRPr="00225BE4">
        <w:rPr>
          <w:rFonts w:ascii="Times New Roman" w:hAnsi="Times New Roman" w:cs="Times New Roman"/>
          <w:i w:val="0"/>
          <w:iCs w:val="0"/>
          <w:color w:val="auto"/>
          <w:sz w:val="20"/>
          <w:szCs w:val="20"/>
        </w:rPr>
        <w:t xml:space="preserve">). Horizontal bars indicate the loading weights for each feature, with </w:t>
      </w:r>
      <w:r w:rsidR="0042253B" w:rsidRPr="00225BE4">
        <w:rPr>
          <w:rFonts w:ascii="Times New Roman" w:hAnsi="Times New Roman" w:cs="Times New Roman"/>
          <w:i w:val="0"/>
          <w:iCs w:val="0"/>
          <w:color w:val="auto"/>
          <w:sz w:val="20"/>
          <w:szCs w:val="20"/>
        </w:rPr>
        <w:t>colours</w:t>
      </w:r>
      <w:r w:rsidRPr="00225BE4">
        <w:rPr>
          <w:rFonts w:ascii="Times New Roman" w:hAnsi="Times New Roman" w:cs="Times New Roman"/>
          <w:i w:val="0"/>
          <w:iCs w:val="0"/>
          <w:color w:val="auto"/>
          <w:sz w:val="20"/>
          <w:szCs w:val="20"/>
        </w:rPr>
        <w:t xml:space="preserve"> denoting the clinical group (R or NR) in which the species is enriched. Taxonomic labels highlighted in red indicate species that are also part of the final robust 11-species signature (identified in Fig. 5f).</w:t>
      </w:r>
    </w:p>
    <w:p w14:paraId="40CD9F1F" w14:textId="2B5E2F38" w:rsidR="00DE1980" w:rsidRPr="000D14EA" w:rsidRDefault="00DE1980" w:rsidP="000D14EA">
      <w:pPr>
        <w:jc w:val="both"/>
        <w:rPr>
          <w:rFonts w:ascii="Times New Roman" w:hAnsi="Times New Roman" w:cs="Times New Roman"/>
        </w:rPr>
      </w:pPr>
      <w:r w:rsidRPr="000D14EA">
        <w:rPr>
          <w:rFonts w:ascii="Times New Roman" w:hAnsi="Times New Roman" w:cs="Times New Roman"/>
        </w:rPr>
        <w:br w:type="page"/>
      </w:r>
    </w:p>
    <w:p w14:paraId="33A1229D" w14:textId="739C6456" w:rsidR="003B4D79" w:rsidRPr="000D14EA" w:rsidRDefault="00CD2800" w:rsidP="000D14EA">
      <w:pPr>
        <w:keepNext/>
        <w:jc w:val="both"/>
        <w:rPr>
          <w:rFonts w:ascii="Times New Roman" w:hAnsi="Times New Roman" w:cs="Times New Roman"/>
        </w:rPr>
      </w:pPr>
      <w:r w:rsidRPr="000D14EA">
        <w:rPr>
          <w:rFonts w:ascii="Times New Roman" w:hAnsi="Times New Roman" w:cs="Times New Roman"/>
          <w:noProof/>
        </w:rPr>
        <w:lastRenderedPageBreak/>
        <w:drawing>
          <wp:inline distT="0" distB="0" distL="0" distR="0" wp14:anchorId="51C22742" wp14:editId="17D7D468">
            <wp:extent cx="6792685" cy="5405535"/>
            <wp:effectExtent l="0" t="0" r="8255" b="5080"/>
            <wp:docPr id="722842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4235" name="Picture 7228423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04039" cy="5414571"/>
                    </a:xfrm>
                    <a:prstGeom prst="rect">
                      <a:avLst/>
                    </a:prstGeom>
                  </pic:spPr>
                </pic:pic>
              </a:graphicData>
            </a:graphic>
          </wp:inline>
        </w:drawing>
      </w:r>
    </w:p>
    <w:p w14:paraId="4F5DAF08" w14:textId="0E6724D5" w:rsidR="00EB3B9F" w:rsidRPr="00260A2C" w:rsidRDefault="003B4D79" w:rsidP="000D14EA">
      <w:pPr>
        <w:pStyle w:val="Heading2"/>
        <w:jc w:val="both"/>
        <w:rPr>
          <w:rFonts w:ascii="Times New Roman" w:hAnsi="Times New Roman" w:cs="Times New Roman"/>
          <w:b/>
          <w:bCs/>
          <w:sz w:val="20"/>
          <w:szCs w:val="20"/>
        </w:rPr>
      </w:pPr>
      <w:bookmarkStart w:id="6" w:name="_Ref231769258"/>
      <w:r w:rsidRPr="00260A2C">
        <w:rPr>
          <w:rFonts w:ascii="Times New Roman" w:hAnsi="Times New Roman" w:cs="Times New Roman"/>
          <w:b/>
          <w:bCs/>
          <w:sz w:val="20"/>
          <w:szCs w:val="20"/>
        </w:rPr>
        <w:t xml:space="preserve">Extended Data Fig. </w:t>
      </w:r>
      <w:r w:rsidRPr="00260A2C">
        <w:rPr>
          <w:rFonts w:ascii="Times New Roman" w:hAnsi="Times New Roman" w:cs="Times New Roman"/>
          <w:b/>
          <w:bCs/>
          <w:sz w:val="20"/>
          <w:szCs w:val="20"/>
        </w:rPr>
        <w:fldChar w:fldCharType="begin"/>
      </w:r>
      <w:r w:rsidRPr="00260A2C">
        <w:rPr>
          <w:rFonts w:ascii="Times New Roman" w:hAnsi="Times New Roman" w:cs="Times New Roman"/>
          <w:b/>
          <w:bCs/>
          <w:sz w:val="20"/>
          <w:szCs w:val="20"/>
        </w:rPr>
        <w:instrText xml:space="preserve"> SEQ Extended_Data_Fig. \* ARABIC </w:instrText>
      </w:r>
      <w:r w:rsidRPr="00260A2C">
        <w:rPr>
          <w:rFonts w:ascii="Times New Roman" w:hAnsi="Times New Roman" w:cs="Times New Roman"/>
          <w:b/>
          <w:bCs/>
          <w:sz w:val="20"/>
          <w:szCs w:val="20"/>
        </w:rPr>
        <w:fldChar w:fldCharType="separate"/>
      </w:r>
      <w:r w:rsidR="00357A41" w:rsidRPr="00260A2C">
        <w:rPr>
          <w:rFonts w:ascii="Times New Roman" w:hAnsi="Times New Roman" w:cs="Times New Roman"/>
          <w:b/>
          <w:bCs/>
          <w:noProof/>
          <w:sz w:val="20"/>
          <w:szCs w:val="20"/>
        </w:rPr>
        <w:t>7</w:t>
      </w:r>
      <w:r w:rsidRPr="00260A2C">
        <w:rPr>
          <w:rFonts w:ascii="Times New Roman" w:hAnsi="Times New Roman" w:cs="Times New Roman"/>
          <w:b/>
          <w:bCs/>
          <w:sz w:val="20"/>
          <w:szCs w:val="20"/>
        </w:rPr>
        <w:fldChar w:fldCharType="end"/>
      </w:r>
      <w:bookmarkEnd w:id="6"/>
      <w:r w:rsidR="00EB3B9F" w:rsidRPr="00260A2C">
        <w:rPr>
          <w:rFonts w:ascii="Times New Roman" w:hAnsi="Times New Roman" w:cs="Times New Roman"/>
          <w:b/>
          <w:bCs/>
          <w:sz w:val="20"/>
          <w:szCs w:val="20"/>
        </w:rPr>
        <w:t xml:space="preserve"> </w:t>
      </w:r>
      <w:r w:rsidR="00330BA7" w:rsidRPr="00260A2C">
        <w:rPr>
          <w:rFonts w:ascii="Times New Roman" w:hAnsi="Times New Roman" w:cs="Times New Roman"/>
          <w:b/>
          <w:bCs/>
          <w:sz w:val="20"/>
          <w:szCs w:val="20"/>
        </w:rPr>
        <w:t>| Baseline gut microbiome composition in relation to immune-related adverse event (</w:t>
      </w:r>
      <w:proofErr w:type="spellStart"/>
      <w:r w:rsidR="00330BA7" w:rsidRPr="00260A2C">
        <w:rPr>
          <w:rFonts w:ascii="Times New Roman" w:hAnsi="Times New Roman" w:cs="Times New Roman"/>
          <w:b/>
          <w:bCs/>
          <w:sz w:val="20"/>
          <w:szCs w:val="20"/>
        </w:rPr>
        <w:t>irAE</w:t>
      </w:r>
      <w:proofErr w:type="spellEnd"/>
      <w:r w:rsidR="00330BA7" w:rsidRPr="00260A2C">
        <w:rPr>
          <w:rFonts w:ascii="Times New Roman" w:hAnsi="Times New Roman" w:cs="Times New Roman"/>
          <w:b/>
          <w:bCs/>
          <w:sz w:val="20"/>
          <w:szCs w:val="20"/>
        </w:rPr>
        <w:t>) severity.</w:t>
      </w:r>
      <w:r w:rsidR="00EB3B9F" w:rsidRPr="00260A2C">
        <w:rPr>
          <w:rFonts w:ascii="Times New Roman" w:hAnsi="Times New Roman" w:cs="Times New Roman"/>
          <w:b/>
          <w:bCs/>
          <w:sz w:val="20"/>
          <w:szCs w:val="20"/>
        </w:rPr>
        <w:t xml:space="preserve"> </w:t>
      </w:r>
    </w:p>
    <w:p w14:paraId="5825091A" w14:textId="63342A3C" w:rsidR="001E1EBA" w:rsidRPr="00225BE4" w:rsidRDefault="00ED4ED5" w:rsidP="000D14EA">
      <w:pPr>
        <w:pStyle w:val="Caption"/>
        <w:contextualSpacing/>
        <w:jc w:val="both"/>
        <w:rPr>
          <w:rFonts w:ascii="Times New Roman" w:hAnsi="Times New Roman" w:cs="Times New Roman"/>
          <w:i w:val="0"/>
          <w:iCs w:val="0"/>
          <w:color w:val="auto"/>
          <w:sz w:val="20"/>
          <w:szCs w:val="20"/>
        </w:rPr>
      </w:pPr>
      <w:proofErr w:type="gramStart"/>
      <w:r w:rsidRPr="00225BE4">
        <w:rPr>
          <w:rFonts w:ascii="Times New Roman" w:hAnsi="Times New Roman" w:cs="Times New Roman"/>
          <w:b/>
          <w:bCs/>
          <w:i w:val="0"/>
          <w:iCs w:val="0"/>
          <w:color w:val="auto"/>
          <w:sz w:val="20"/>
          <w:szCs w:val="20"/>
        </w:rPr>
        <w:t>a</w:t>
      </w:r>
      <w:r w:rsidRPr="00225BE4">
        <w:rPr>
          <w:rFonts w:ascii="Times New Roman" w:hAnsi="Times New Roman" w:cs="Times New Roman"/>
          <w:i w:val="0"/>
          <w:iCs w:val="0"/>
          <w:color w:val="auto"/>
          <w:sz w:val="20"/>
          <w:szCs w:val="20"/>
        </w:rPr>
        <w:t>,</w:t>
      </w:r>
      <w:proofErr w:type="gramEnd"/>
      <w:r w:rsidRPr="00225BE4">
        <w:rPr>
          <w:rFonts w:ascii="Times New Roman" w:hAnsi="Times New Roman" w:cs="Times New Roman"/>
          <w:i w:val="0"/>
          <w:iCs w:val="0"/>
          <w:color w:val="auto"/>
          <w:sz w:val="20"/>
          <w:szCs w:val="20"/>
        </w:rPr>
        <w:t> </w:t>
      </w:r>
      <w:r w:rsidR="00AA02CA" w:rsidRPr="00225BE4">
        <w:rPr>
          <w:rFonts w:ascii="Times New Roman" w:hAnsi="Times New Roman" w:cs="Times New Roman"/>
          <w:i w:val="0"/>
          <w:iCs w:val="0"/>
          <w:color w:val="auto"/>
          <w:sz w:val="20"/>
          <w:szCs w:val="20"/>
        </w:rPr>
        <w:t>Principal coordinates analysis (</w:t>
      </w:r>
      <w:proofErr w:type="spellStart"/>
      <w:r w:rsidR="00AA02CA" w:rsidRPr="00225BE4">
        <w:rPr>
          <w:rFonts w:ascii="Times New Roman" w:hAnsi="Times New Roman" w:cs="Times New Roman"/>
          <w:i w:val="0"/>
          <w:iCs w:val="0"/>
          <w:color w:val="auto"/>
          <w:sz w:val="20"/>
          <w:szCs w:val="20"/>
        </w:rPr>
        <w:t>PCoA</w:t>
      </w:r>
      <w:proofErr w:type="spellEnd"/>
      <w:r w:rsidR="00AA02CA" w:rsidRPr="00225BE4">
        <w:rPr>
          <w:rFonts w:ascii="Times New Roman" w:hAnsi="Times New Roman" w:cs="Times New Roman"/>
          <w:i w:val="0"/>
          <w:iCs w:val="0"/>
          <w:color w:val="auto"/>
          <w:sz w:val="20"/>
          <w:szCs w:val="20"/>
        </w:rPr>
        <w:t xml:space="preserve">) based on Aitchison distance demonstrating significant baseline microbial beta diversity separation between subsequent </w:t>
      </w:r>
      <w:r w:rsidR="001A5E03" w:rsidRPr="00225BE4">
        <w:rPr>
          <w:rFonts w:ascii="Times New Roman" w:hAnsi="Times New Roman" w:cs="Times New Roman"/>
          <w:i w:val="0"/>
          <w:iCs w:val="0"/>
          <w:color w:val="auto"/>
          <w:sz w:val="20"/>
          <w:szCs w:val="20"/>
        </w:rPr>
        <w:t xml:space="preserve">mild </w:t>
      </w:r>
      <w:proofErr w:type="spellStart"/>
      <w:r w:rsidR="001A5E03" w:rsidRPr="00225BE4">
        <w:rPr>
          <w:rFonts w:ascii="Times New Roman" w:hAnsi="Times New Roman" w:cs="Times New Roman"/>
          <w:i w:val="0"/>
          <w:iCs w:val="0"/>
          <w:color w:val="auto"/>
          <w:sz w:val="20"/>
          <w:szCs w:val="20"/>
        </w:rPr>
        <w:t>irAE</w:t>
      </w:r>
      <w:proofErr w:type="spellEnd"/>
      <w:r w:rsidR="001A5E03" w:rsidRPr="00225BE4">
        <w:rPr>
          <w:rFonts w:ascii="Times New Roman" w:hAnsi="Times New Roman" w:cs="Times New Roman"/>
          <w:i w:val="0"/>
          <w:iCs w:val="0"/>
          <w:color w:val="auto"/>
          <w:sz w:val="20"/>
          <w:szCs w:val="20"/>
        </w:rPr>
        <w:t xml:space="preserve"> (</w:t>
      </w:r>
      <w:r w:rsidR="001A5E03" w:rsidRPr="00225BE4">
        <w:rPr>
          <w:rFonts w:ascii="Times New Roman" w:hAnsi="Times New Roman" w:cs="Times New Roman"/>
          <w:color w:val="auto"/>
          <w:sz w:val="20"/>
          <w:szCs w:val="20"/>
        </w:rPr>
        <w:t>n</w:t>
      </w:r>
      <w:r w:rsidR="001A5E03" w:rsidRPr="00225BE4">
        <w:rPr>
          <w:rFonts w:ascii="Times New Roman" w:hAnsi="Times New Roman" w:cs="Times New Roman"/>
          <w:i w:val="0"/>
          <w:iCs w:val="0"/>
          <w:color w:val="auto"/>
          <w:sz w:val="20"/>
          <w:szCs w:val="20"/>
        </w:rPr>
        <w:t xml:space="preserve"> = 53) and severe </w:t>
      </w:r>
      <w:proofErr w:type="spellStart"/>
      <w:r w:rsidR="001A5E03" w:rsidRPr="00225BE4">
        <w:rPr>
          <w:rFonts w:ascii="Times New Roman" w:hAnsi="Times New Roman" w:cs="Times New Roman"/>
          <w:i w:val="0"/>
          <w:iCs w:val="0"/>
          <w:color w:val="auto"/>
          <w:sz w:val="20"/>
          <w:szCs w:val="20"/>
        </w:rPr>
        <w:t>irAE</w:t>
      </w:r>
      <w:proofErr w:type="spellEnd"/>
      <w:r w:rsidR="001A5E03" w:rsidRPr="00225BE4">
        <w:rPr>
          <w:rFonts w:ascii="Times New Roman" w:hAnsi="Times New Roman" w:cs="Times New Roman"/>
          <w:i w:val="0"/>
          <w:iCs w:val="0"/>
          <w:color w:val="auto"/>
          <w:sz w:val="20"/>
          <w:szCs w:val="20"/>
        </w:rPr>
        <w:t xml:space="preserve"> (</w:t>
      </w:r>
      <w:r w:rsidR="001A5E03" w:rsidRPr="00225BE4">
        <w:rPr>
          <w:rFonts w:ascii="Times New Roman" w:hAnsi="Times New Roman" w:cs="Times New Roman"/>
          <w:color w:val="auto"/>
          <w:sz w:val="20"/>
          <w:szCs w:val="20"/>
        </w:rPr>
        <w:t>n</w:t>
      </w:r>
      <w:r w:rsidR="001A5E03" w:rsidRPr="00225BE4">
        <w:rPr>
          <w:rFonts w:ascii="Times New Roman" w:hAnsi="Times New Roman" w:cs="Times New Roman"/>
          <w:i w:val="0"/>
          <w:iCs w:val="0"/>
          <w:color w:val="auto"/>
          <w:sz w:val="20"/>
          <w:szCs w:val="20"/>
        </w:rPr>
        <w:t xml:space="preserve"> = 10) group</w:t>
      </w:r>
      <w:r w:rsidRPr="00225BE4">
        <w:rPr>
          <w:rFonts w:ascii="Times New Roman" w:hAnsi="Times New Roman" w:cs="Times New Roman"/>
          <w:i w:val="0"/>
          <w:iCs w:val="0"/>
          <w:color w:val="auto"/>
          <w:sz w:val="20"/>
          <w:szCs w:val="20"/>
        </w:rPr>
        <w:t>.</w:t>
      </w:r>
      <w:r w:rsidR="00AA02CA" w:rsidRPr="00225BE4">
        <w:rPr>
          <w:rFonts w:ascii="Times New Roman" w:hAnsi="Times New Roman" w:cs="Times New Roman"/>
          <w:i w:val="0"/>
          <w:iCs w:val="0"/>
          <w:color w:val="auto"/>
          <w:sz w:val="20"/>
          <w:szCs w:val="20"/>
        </w:rPr>
        <w:t xml:space="preserve"> </w:t>
      </w:r>
      <w:r w:rsidRPr="00225BE4">
        <w:rPr>
          <w:rFonts w:ascii="Times New Roman" w:hAnsi="Times New Roman" w:cs="Times New Roman"/>
          <w:color w:val="auto"/>
          <w:sz w:val="20"/>
          <w:szCs w:val="20"/>
        </w:rPr>
        <w:t>P</w:t>
      </w:r>
      <w:r w:rsidRPr="00225BE4">
        <w:rPr>
          <w:rFonts w:ascii="Times New Roman" w:hAnsi="Times New Roman" w:cs="Times New Roman"/>
          <w:i w:val="0"/>
          <w:iCs w:val="0"/>
          <w:color w:val="auto"/>
          <w:sz w:val="20"/>
          <w:szCs w:val="20"/>
        </w:rPr>
        <w:t xml:space="preserve"> value w</w:t>
      </w:r>
      <w:r w:rsidR="007C5A10" w:rsidRPr="00225BE4">
        <w:rPr>
          <w:rFonts w:ascii="Times New Roman" w:hAnsi="Times New Roman" w:cs="Times New Roman"/>
          <w:i w:val="0"/>
          <w:iCs w:val="0"/>
          <w:color w:val="auto"/>
          <w:sz w:val="20"/>
          <w:szCs w:val="20"/>
        </w:rPr>
        <w:t>as</w:t>
      </w:r>
      <w:r w:rsidRPr="00225BE4">
        <w:rPr>
          <w:rFonts w:ascii="Times New Roman" w:hAnsi="Times New Roman" w:cs="Times New Roman"/>
          <w:i w:val="0"/>
          <w:iCs w:val="0"/>
          <w:color w:val="auto"/>
          <w:sz w:val="20"/>
          <w:szCs w:val="20"/>
        </w:rPr>
        <w:t xml:space="preserve"> calculated using PERMANOVA (permutational multivariate analysis of variance).</w:t>
      </w:r>
      <w:r w:rsidR="00EB3B9F" w:rsidRPr="00225BE4">
        <w:rPr>
          <w:rFonts w:ascii="Times New Roman" w:hAnsi="Times New Roman" w:cs="Times New Roman"/>
          <w:i w:val="0"/>
          <w:iCs w:val="0"/>
          <w:color w:val="auto"/>
          <w:sz w:val="20"/>
          <w:szCs w:val="20"/>
        </w:rPr>
        <w:t xml:space="preserve"> </w:t>
      </w:r>
      <w:r w:rsidR="00330BA7" w:rsidRPr="00225BE4">
        <w:rPr>
          <w:rFonts w:ascii="Times New Roman" w:hAnsi="Times New Roman" w:cs="Times New Roman"/>
          <w:b/>
          <w:bCs/>
          <w:i w:val="0"/>
          <w:iCs w:val="0"/>
          <w:color w:val="auto"/>
          <w:sz w:val="20"/>
          <w:szCs w:val="20"/>
        </w:rPr>
        <w:t>b</w:t>
      </w:r>
      <w:r w:rsidR="00A20812" w:rsidRPr="00225BE4">
        <w:rPr>
          <w:rFonts w:ascii="Times New Roman" w:hAnsi="Times New Roman" w:cs="Times New Roman"/>
          <w:i w:val="0"/>
          <w:iCs w:val="0"/>
          <w:color w:val="auto"/>
          <w:sz w:val="20"/>
          <w:szCs w:val="20"/>
        </w:rPr>
        <w:t>, Boxplots of</w:t>
      </w:r>
      <w:r w:rsidR="00330BA7" w:rsidRPr="00225BE4">
        <w:rPr>
          <w:rFonts w:ascii="Times New Roman" w:hAnsi="Times New Roman" w:cs="Times New Roman"/>
          <w:i w:val="0"/>
          <w:iCs w:val="0"/>
          <w:color w:val="auto"/>
          <w:sz w:val="20"/>
          <w:szCs w:val="20"/>
        </w:rPr>
        <w:t xml:space="preserve"> baseline gut alpha diversity (Richness and Shannon index) between the </w:t>
      </w:r>
      <w:r w:rsidR="00A20812" w:rsidRPr="00225BE4">
        <w:rPr>
          <w:rFonts w:ascii="Times New Roman" w:hAnsi="Times New Roman" w:cs="Times New Roman"/>
          <w:i w:val="0"/>
          <w:iCs w:val="0"/>
          <w:color w:val="auto"/>
          <w:sz w:val="20"/>
          <w:szCs w:val="20"/>
        </w:rPr>
        <w:t xml:space="preserve">mild </w:t>
      </w:r>
      <w:proofErr w:type="spellStart"/>
      <w:r w:rsidR="00A20812" w:rsidRPr="00225BE4">
        <w:rPr>
          <w:rFonts w:ascii="Times New Roman" w:hAnsi="Times New Roman" w:cs="Times New Roman"/>
          <w:i w:val="0"/>
          <w:iCs w:val="0"/>
          <w:color w:val="auto"/>
          <w:sz w:val="20"/>
          <w:szCs w:val="20"/>
        </w:rPr>
        <w:t>irAE</w:t>
      </w:r>
      <w:proofErr w:type="spellEnd"/>
      <w:r w:rsidR="00A20812" w:rsidRPr="00225BE4">
        <w:rPr>
          <w:rFonts w:ascii="Times New Roman" w:hAnsi="Times New Roman" w:cs="Times New Roman"/>
          <w:i w:val="0"/>
          <w:iCs w:val="0"/>
          <w:color w:val="auto"/>
          <w:sz w:val="20"/>
          <w:szCs w:val="20"/>
        </w:rPr>
        <w:t xml:space="preserve"> (</w:t>
      </w:r>
      <w:r w:rsidR="00A20812" w:rsidRPr="00225BE4">
        <w:rPr>
          <w:rFonts w:ascii="Times New Roman" w:hAnsi="Times New Roman" w:cs="Times New Roman"/>
          <w:color w:val="auto"/>
          <w:sz w:val="20"/>
          <w:szCs w:val="20"/>
        </w:rPr>
        <w:t>n</w:t>
      </w:r>
      <w:r w:rsidR="00A20812" w:rsidRPr="00225BE4">
        <w:rPr>
          <w:rFonts w:ascii="Times New Roman" w:hAnsi="Times New Roman" w:cs="Times New Roman"/>
          <w:i w:val="0"/>
          <w:iCs w:val="0"/>
          <w:color w:val="auto"/>
          <w:sz w:val="20"/>
          <w:szCs w:val="20"/>
        </w:rPr>
        <w:t xml:space="preserve"> = 53) and severe </w:t>
      </w:r>
      <w:proofErr w:type="spellStart"/>
      <w:r w:rsidR="00A20812" w:rsidRPr="00225BE4">
        <w:rPr>
          <w:rFonts w:ascii="Times New Roman" w:hAnsi="Times New Roman" w:cs="Times New Roman"/>
          <w:i w:val="0"/>
          <w:iCs w:val="0"/>
          <w:color w:val="auto"/>
          <w:sz w:val="20"/>
          <w:szCs w:val="20"/>
        </w:rPr>
        <w:t>irAE</w:t>
      </w:r>
      <w:proofErr w:type="spellEnd"/>
      <w:r w:rsidR="00A20812" w:rsidRPr="00225BE4">
        <w:rPr>
          <w:rFonts w:ascii="Times New Roman" w:hAnsi="Times New Roman" w:cs="Times New Roman"/>
          <w:i w:val="0"/>
          <w:iCs w:val="0"/>
          <w:color w:val="auto"/>
          <w:sz w:val="20"/>
          <w:szCs w:val="20"/>
        </w:rPr>
        <w:t xml:space="preserve"> (</w:t>
      </w:r>
      <w:r w:rsidR="00A20812" w:rsidRPr="00225BE4">
        <w:rPr>
          <w:rFonts w:ascii="Times New Roman" w:hAnsi="Times New Roman" w:cs="Times New Roman"/>
          <w:color w:val="auto"/>
          <w:sz w:val="20"/>
          <w:szCs w:val="20"/>
        </w:rPr>
        <w:t>n</w:t>
      </w:r>
      <w:r w:rsidR="00A20812" w:rsidRPr="00225BE4">
        <w:rPr>
          <w:rFonts w:ascii="Times New Roman" w:hAnsi="Times New Roman" w:cs="Times New Roman"/>
          <w:i w:val="0"/>
          <w:iCs w:val="0"/>
          <w:color w:val="auto"/>
          <w:sz w:val="20"/>
          <w:szCs w:val="20"/>
        </w:rPr>
        <w:t xml:space="preserve"> = 10) group</w:t>
      </w:r>
      <w:r w:rsidR="00330BA7" w:rsidRPr="00225BE4">
        <w:rPr>
          <w:rFonts w:ascii="Times New Roman" w:hAnsi="Times New Roman" w:cs="Times New Roman"/>
          <w:i w:val="0"/>
          <w:iCs w:val="0"/>
          <w:color w:val="auto"/>
          <w:sz w:val="20"/>
          <w:szCs w:val="20"/>
        </w:rPr>
        <w:t xml:space="preserve">. </w:t>
      </w:r>
      <w:r w:rsidR="003D4AD0" w:rsidRPr="00225BE4">
        <w:rPr>
          <w:rFonts w:ascii="Times New Roman" w:hAnsi="Times New Roman" w:cs="Times New Roman"/>
          <w:i w:val="0"/>
          <w:iCs w:val="0"/>
          <w:color w:val="auto"/>
          <w:sz w:val="20"/>
          <w:szCs w:val="20"/>
        </w:rPr>
        <w:t>B</w:t>
      </w:r>
      <w:r w:rsidR="00212A38" w:rsidRPr="00225BE4">
        <w:rPr>
          <w:rFonts w:ascii="Times New Roman" w:hAnsi="Times New Roman" w:cs="Times New Roman"/>
          <w:i w:val="0"/>
          <w:iCs w:val="0"/>
          <w:color w:val="auto"/>
          <w:sz w:val="20"/>
          <w:szCs w:val="20"/>
        </w:rPr>
        <w:t>oxes show 25th, 50th and 75th centiles; whiskers indicate 1.5 × inter-quartile range; points represent individual samples</w:t>
      </w:r>
      <w:r w:rsidR="00EE2C1A" w:rsidRPr="00225BE4">
        <w:rPr>
          <w:rFonts w:ascii="Times New Roman" w:hAnsi="Times New Roman" w:cs="Times New Roman"/>
          <w:i w:val="0"/>
          <w:iCs w:val="0"/>
          <w:color w:val="auto"/>
          <w:sz w:val="20"/>
          <w:szCs w:val="20"/>
        </w:rPr>
        <w:t>.</w:t>
      </w:r>
      <w:r w:rsidR="00330BA7" w:rsidRPr="00225BE4">
        <w:rPr>
          <w:rFonts w:ascii="Times New Roman" w:hAnsi="Times New Roman" w:cs="Times New Roman"/>
          <w:i w:val="0"/>
          <w:iCs w:val="0"/>
          <w:color w:val="auto"/>
          <w:sz w:val="20"/>
          <w:szCs w:val="20"/>
        </w:rPr>
        <w:t xml:space="preserve"> Statistical significance was determined by a two-sided Wilcoxon rank-sum test.</w:t>
      </w:r>
      <w:r w:rsidR="00EB3B9F" w:rsidRPr="00225BE4">
        <w:rPr>
          <w:rFonts w:ascii="Times New Roman" w:hAnsi="Times New Roman" w:cs="Times New Roman"/>
          <w:i w:val="0"/>
          <w:iCs w:val="0"/>
          <w:color w:val="auto"/>
          <w:sz w:val="20"/>
          <w:szCs w:val="20"/>
        </w:rPr>
        <w:t xml:space="preserve"> </w:t>
      </w:r>
      <w:r w:rsidR="00330BA7" w:rsidRPr="00225BE4">
        <w:rPr>
          <w:rFonts w:ascii="Times New Roman" w:hAnsi="Times New Roman" w:cs="Times New Roman"/>
          <w:b/>
          <w:bCs/>
          <w:i w:val="0"/>
          <w:iCs w:val="0"/>
          <w:color w:val="auto"/>
          <w:sz w:val="20"/>
          <w:szCs w:val="20"/>
        </w:rPr>
        <w:t>c</w:t>
      </w:r>
      <w:r w:rsidR="00330BA7" w:rsidRPr="00225BE4">
        <w:rPr>
          <w:rFonts w:ascii="Times New Roman" w:hAnsi="Times New Roman" w:cs="Times New Roman"/>
          <w:i w:val="0"/>
          <w:iCs w:val="0"/>
          <w:color w:val="auto"/>
          <w:sz w:val="20"/>
          <w:szCs w:val="20"/>
        </w:rPr>
        <w:t>, Linear discriminant analysis effect size (</w:t>
      </w:r>
      <w:proofErr w:type="spellStart"/>
      <w:r w:rsidR="00330BA7" w:rsidRPr="00225BE4">
        <w:rPr>
          <w:rFonts w:ascii="Times New Roman" w:hAnsi="Times New Roman" w:cs="Times New Roman"/>
          <w:i w:val="0"/>
          <w:iCs w:val="0"/>
          <w:color w:val="auto"/>
          <w:sz w:val="20"/>
          <w:szCs w:val="20"/>
        </w:rPr>
        <w:t>LEfSe</w:t>
      </w:r>
      <w:proofErr w:type="spellEnd"/>
      <w:r w:rsidR="00330BA7" w:rsidRPr="00225BE4">
        <w:rPr>
          <w:rFonts w:ascii="Times New Roman" w:hAnsi="Times New Roman" w:cs="Times New Roman"/>
          <w:i w:val="0"/>
          <w:iCs w:val="0"/>
          <w:color w:val="auto"/>
          <w:sz w:val="20"/>
          <w:szCs w:val="20"/>
        </w:rPr>
        <w:t xml:space="preserve">) plot highlighting differentially abundant taxa distinguishing patients with mild versus severe </w:t>
      </w:r>
      <w:proofErr w:type="spellStart"/>
      <w:r w:rsidR="00330BA7" w:rsidRPr="00225BE4">
        <w:rPr>
          <w:rFonts w:ascii="Times New Roman" w:hAnsi="Times New Roman" w:cs="Times New Roman"/>
          <w:i w:val="0"/>
          <w:iCs w:val="0"/>
          <w:color w:val="auto"/>
          <w:sz w:val="20"/>
          <w:szCs w:val="20"/>
        </w:rPr>
        <w:t>irAEs</w:t>
      </w:r>
      <w:proofErr w:type="spellEnd"/>
      <w:r w:rsidR="00330BA7" w:rsidRPr="00225BE4">
        <w:rPr>
          <w:rFonts w:ascii="Times New Roman" w:hAnsi="Times New Roman" w:cs="Times New Roman"/>
          <w:i w:val="0"/>
          <w:iCs w:val="0"/>
          <w:color w:val="auto"/>
          <w:sz w:val="20"/>
          <w:szCs w:val="20"/>
        </w:rPr>
        <w:t xml:space="preserve"> (</w:t>
      </w:r>
      <w:r w:rsidR="00330BA7" w:rsidRPr="00225BE4">
        <w:rPr>
          <w:rFonts w:ascii="Times New Roman" w:hAnsi="Times New Roman" w:cs="Times New Roman"/>
          <w:color w:val="auto"/>
          <w:sz w:val="20"/>
          <w:szCs w:val="20"/>
        </w:rPr>
        <w:t>P</w:t>
      </w:r>
      <w:r w:rsidR="00330BA7" w:rsidRPr="00225BE4">
        <w:rPr>
          <w:rFonts w:ascii="Times New Roman" w:hAnsi="Times New Roman" w:cs="Times New Roman"/>
          <w:i w:val="0"/>
          <w:iCs w:val="0"/>
          <w:color w:val="auto"/>
          <w:sz w:val="20"/>
          <w:szCs w:val="20"/>
        </w:rPr>
        <w:t> &lt; 0.05, LDA score &gt; 3).</w:t>
      </w:r>
      <w:r w:rsidR="00EB3B9F" w:rsidRPr="00225BE4">
        <w:rPr>
          <w:rFonts w:ascii="Times New Roman" w:hAnsi="Times New Roman" w:cs="Times New Roman"/>
          <w:i w:val="0"/>
          <w:iCs w:val="0"/>
          <w:color w:val="auto"/>
          <w:sz w:val="20"/>
          <w:szCs w:val="20"/>
        </w:rPr>
        <w:t xml:space="preserve"> </w:t>
      </w:r>
      <w:r w:rsidR="00330BA7" w:rsidRPr="00225BE4">
        <w:rPr>
          <w:rFonts w:ascii="Times New Roman" w:hAnsi="Times New Roman" w:cs="Times New Roman"/>
          <w:b/>
          <w:bCs/>
          <w:i w:val="0"/>
          <w:iCs w:val="0"/>
          <w:color w:val="auto"/>
          <w:sz w:val="20"/>
          <w:szCs w:val="20"/>
        </w:rPr>
        <w:t>d</w:t>
      </w:r>
      <w:r w:rsidR="00330BA7" w:rsidRPr="00225BE4">
        <w:rPr>
          <w:rFonts w:ascii="Times New Roman" w:hAnsi="Times New Roman" w:cs="Times New Roman"/>
          <w:i w:val="0"/>
          <w:iCs w:val="0"/>
          <w:color w:val="auto"/>
          <w:sz w:val="20"/>
          <w:szCs w:val="20"/>
        </w:rPr>
        <w:t>, Cladogram illustrating the phylogenetic relationships and hierarchical structure (from phylum to species) of the differentially abundant taxa identified in </w:t>
      </w:r>
      <w:r w:rsidR="00330BA7" w:rsidRPr="00225BE4">
        <w:rPr>
          <w:rFonts w:ascii="Times New Roman" w:hAnsi="Times New Roman" w:cs="Times New Roman"/>
          <w:b/>
          <w:bCs/>
          <w:i w:val="0"/>
          <w:iCs w:val="0"/>
          <w:color w:val="auto"/>
          <w:sz w:val="20"/>
          <w:szCs w:val="20"/>
        </w:rPr>
        <w:t>c</w:t>
      </w:r>
      <w:r w:rsidR="00330BA7" w:rsidRPr="00225BE4">
        <w:rPr>
          <w:rFonts w:ascii="Times New Roman" w:hAnsi="Times New Roman" w:cs="Times New Roman"/>
          <w:i w:val="0"/>
          <w:iCs w:val="0"/>
          <w:color w:val="auto"/>
          <w:sz w:val="20"/>
          <w:szCs w:val="20"/>
        </w:rPr>
        <w:t>.</w:t>
      </w:r>
    </w:p>
    <w:p w14:paraId="29CF2978" w14:textId="66F5F5DD" w:rsidR="00357A41" w:rsidRPr="000D14EA" w:rsidRDefault="00357A41" w:rsidP="000D14EA">
      <w:pPr>
        <w:jc w:val="both"/>
        <w:rPr>
          <w:rFonts w:ascii="Times New Roman" w:hAnsi="Times New Roman" w:cs="Times New Roman"/>
        </w:rPr>
      </w:pPr>
      <w:r w:rsidRPr="000D14EA">
        <w:rPr>
          <w:rFonts w:ascii="Times New Roman" w:hAnsi="Times New Roman" w:cs="Times New Roman"/>
        </w:rPr>
        <w:br w:type="page"/>
      </w:r>
    </w:p>
    <w:p w14:paraId="3F28C6E1" w14:textId="41D0A0BA" w:rsidR="00357A41" w:rsidRPr="000D14EA" w:rsidRDefault="00DE4600" w:rsidP="00260A2C">
      <w:pPr>
        <w:keepNext/>
        <w:jc w:val="center"/>
        <w:rPr>
          <w:rFonts w:ascii="Times New Roman" w:hAnsi="Times New Roman" w:cs="Times New Roman"/>
        </w:rPr>
      </w:pPr>
      <w:r w:rsidRPr="000D14EA">
        <w:rPr>
          <w:rFonts w:ascii="Times New Roman" w:hAnsi="Times New Roman" w:cs="Times New Roman"/>
          <w:noProof/>
        </w:rPr>
        <w:lastRenderedPageBreak/>
        <w:drawing>
          <wp:inline distT="0" distB="0" distL="0" distR="0" wp14:anchorId="7BB2E2FF" wp14:editId="551B40B0">
            <wp:extent cx="4240279" cy="6103917"/>
            <wp:effectExtent l="0" t="0" r="8255" b="0"/>
            <wp:docPr id="1908997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997568" name="Picture 19089975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66953" cy="6142315"/>
                    </a:xfrm>
                    <a:prstGeom prst="rect">
                      <a:avLst/>
                    </a:prstGeom>
                  </pic:spPr>
                </pic:pic>
              </a:graphicData>
            </a:graphic>
          </wp:inline>
        </w:drawing>
      </w:r>
    </w:p>
    <w:p w14:paraId="5925FF4F" w14:textId="6ED871E3" w:rsidR="003C30CD" w:rsidRPr="00225BE4" w:rsidRDefault="00357A41" w:rsidP="00260A2C">
      <w:pPr>
        <w:pStyle w:val="Heading2"/>
        <w:jc w:val="both"/>
        <w:rPr>
          <w:rFonts w:ascii="Times New Roman" w:hAnsi="Times New Roman" w:cs="Times New Roman"/>
          <w:b/>
          <w:bCs/>
          <w:color w:val="auto"/>
          <w:sz w:val="20"/>
          <w:szCs w:val="20"/>
        </w:rPr>
      </w:pPr>
      <w:bookmarkStart w:id="7" w:name="_Ref231769445"/>
      <w:r w:rsidRPr="00260A2C">
        <w:rPr>
          <w:rFonts w:ascii="Times New Roman" w:hAnsi="Times New Roman" w:cs="Times New Roman"/>
          <w:b/>
          <w:bCs/>
          <w:sz w:val="20"/>
          <w:szCs w:val="20"/>
        </w:rPr>
        <w:t xml:space="preserve">Extended Data Fig. </w:t>
      </w:r>
      <w:r w:rsidRPr="00260A2C">
        <w:rPr>
          <w:rFonts w:ascii="Times New Roman" w:hAnsi="Times New Roman" w:cs="Times New Roman"/>
          <w:b/>
          <w:bCs/>
          <w:sz w:val="20"/>
          <w:szCs w:val="20"/>
        </w:rPr>
        <w:fldChar w:fldCharType="begin"/>
      </w:r>
      <w:r w:rsidRPr="00260A2C">
        <w:rPr>
          <w:rFonts w:ascii="Times New Roman" w:hAnsi="Times New Roman" w:cs="Times New Roman"/>
          <w:b/>
          <w:bCs/>
          <w:sz w:val="20"/>
          <w:szCs w:val="20"/>
        </w:rPr>
        <w:instrText xml:space="preserve"> SEQ Extended_Data_Fig. \* ARABIC </w:instrText>
      </w:r>
      <w:r w:rsidRPr="00260A2C">
        <w:rPr>
          <w:rFonts w:ascii="Times New Roman" w:hAnsi="Times New Roman" w:cs="Times New Roman"/>
          <w:b/>
          <w:bCs/>
          <w:sz w:val="20"/>
          <w:szCs w:val="20"/>
        </w:rPr>
        <w:fldChar w:fldCharType="separate"/>
      </w:r>
      <w:r w:rsidRPr="00260A2C">
        <w:rPr>
          <w:rFonts w:ascii="Times New Roman" w:hAnsi="Times New Roman" w:cs="Times New Roman"/>
          <w:b/>
          <w:bCs/>
          <w:noProof/>
          <w:sz w:val="20"/>
          <w:szCs w:val="20"/>
        </w:rPr>
        <w:t>8</w:t>
      </w:r>
      <w:r w:rsidRPr="00260A2C">
        <w:rPr>
          <w:rFonts w:ascii="Times New Roman" w:hAnsi="Times New Roman" w:cs="Times New Roman"/>
          <w:b/>
          <w:bCs/>
          <w:sz w:val="20"/>
          <w:szCs w:val="20"/>
        </w:rPr>
        <w:fldChar w:fldCharType="end"/>
      </w:r>
      <w:bookmarkEnd w:id="7"/>
      <w:r w:rsidR="00AC4AF9" w:rsidRPr="00260A2C">
        <w:rPr>
          <w:rFonts w:ascii="Times New Roman" w:hAnsi="Times New Roman" w:cs="Times New Roman"/>
          <w:b/>
          <w:bCs/>
          <w:sz w:val="20"/>
          <w:szCs w:val="20"/>
        </w:rPr>
        <w:t xml:space="preserve"> </w:t>
      </w:r>
      <w:r w:rsidR="00120D40" w:rsidRPr="00260A2C">
        <w:rPr>
          <w:rFonts w:ascii="Times New Roman" w:hAnsi="Times New Roman" w:cs="Times New Roman"/>
          <w:b/>
          <w:bCs/>
          <w:sz w:val="20"/>
          <w:szCs w:val="20"/>
        </w:rPr>
        <w:t xml:space="preserve">| </w:t>
      </w:r>
      <w:r w:rsidR="00534F18" w:rsidRPr="00260A2C">
        <w:rPr>
          <w:rFonts w:ascii="Times New Roman" w:hAnsi="Times New Roman" w:cs="Times New Roman"/>
          <w:b/>
          <w:bCs/>
          <w:sz w:val="20"/>
          <w:szCs w:val="20"/>
        </w:rPr>
        <w:t>Baseline oral microbiome correlates with systemic immunotherapy toxicity, demographic variables, and clinical covariates</w:t>
      </w:r>
      <w:r w:rsidR="00120D40" w:rsidRPr="00260A2C">
        <w:rPr>
          <w:rFonts w:ascii="Times New Roman" w:hAnsi="Times New Roman" w:cs="Times New Roman"/>
          <w:b/>
          <w:bCs/>
          <w:sz w:val="20"/>
          <w:szCs w:val="20"/>
        </w:rPr>
        <w:t>.</w:t>
      </w:r>
      <w:r w:rsidR="00260A2C">
        <w:rPr>
          <w:rFonts w:ascii="Times New Roman" w:hAnsi="Times New Roman" w:cs="Times New Roman"/>
          <w:b/>
          <w:bCs/>
          <w:sz w:val="20"/>
          <w:szCs w:val="20"/>
        </w:rPr>
        <w:t xml:space="preserve"> </w:t>
      </w:r>
      <w:proofErr w:type="gramStart"/>
      <w:r w:rsidR="00120D40" w:rsidRPr="00225BE4">
        <w:rPr>
          <w:rFonts w:ascii="Times New Roman" w:hAnsi="Times New Roman" w:cs="Times New Roman"/>
          <w:b/>
          <w:bCs/>
          <w:color w:val="auto"/>
          <w:sz w:val="20"/>
          <w:szCs w:val="20"/>
        </w:rPr>
        <w:t>a</w:t>
      </w:r>
      <w:r w:rsidR="00120D40" w:rsidRPr="00225BE4">
        <w:rPr>
          <w:rFonts w:ascii="Times New Roman" w:hAnsi="Times New Roman" w:cs="Times New Roman"/>
          <w:color w:val="auto"/>
          <w:sz w:val="20"/>
          <w:szCs w:val="20"/>
        </w:rPr>
        <w:t>,</w:t>
      </w:r>
      <w:proofErr w:type="gramEnd"/>
      <w:r w:rsidR="00120D40" w:rsidRPr="00225BE4">
        <w:rPr>
          <w:rFonts w:ascii="Times New Roman" w:hAnsi="Times New Roman" w:cs="Times New Roman"/>
          <w:color w:val="auto"/>
          <w:sz w:val="20"/>
          <w:szCs w:val="20"/>
        </w:rPr>
        <w:t xml:space="preserve"> </w:t>
      </w:r>
      <w:r w:rsidR="0045410F" w:rsidRPr="00225BE4">
        <w:rPr>
          <w:rFonts w:ascii="Times New Roman" w:hAnsi="Times New Roman" w:cs="Times New Roman"/>
          <w:color w:val="auto"/>
          <w:sz w:val="20"/>
          <w:szCs w:val="20"/>
        </w:rPr>
        <w:t xml:space="preserve">Boxplots of baseline oral alpha diversity (Richness and Shannon index) between the mild </w:t>
      </w:r>
      <w:proofErr w:type="spellStart"/>
      <w:r w:rsidR="0045410F" w:rsidRPr="00225BE4">
        <w:rPr>
          <w:rFonts w:ascii="Times New Roman" w:hAnsi="Times New Roman" w:cs="Times New Roman"/>
          <w:color w:val="auto"/>
          <w:sz w:val="20"/>
          <w:szCs w:val="20"/>
        </w:rPr>
        <w:t>irAE</w:t>
      </w:r>
      <w:proofErr w:type="spellEnd"/>
      <w:r w:rsidR="0045410F" w:rsidRPr="00225BE4">
        <w:rPr>
          <w:rFonts w:ascii="Times New Roman" w:hAnsi="Times New Roman" w:cs="Times New Roman"/>
          <w:color w:val="auto"/>
          <w:sz w:val="20"/>
          <w:szCs w:val="20"/>
        </w:rPr>
        <w:t xml:space="preserve"> (n = 61) and severe </w:t>
      </w:r>
      <w:proofErr w:type="spellStart"/>
      <w:r w:rsidR="0045410F" w:rsidRPr="00225BE4">
        <w:rPr>
          <w:rFonts w:ascii="Times New Roman" w:hAnsi="Times New Roman" w:cs="Times New Roman"/>
          <w:color w:val="auto"/>
          <w:sz w:val="20"/>
          <w:szCs w:val="20"/>
        </w:rPr>
        <w:t>irAE</w:t>
      </w:r>
      <w:proofErr w:type="spellEnd"/>
      <w:r w:rsidR="0045410F" w:rsidRPr="00225BE4">
        <w:rPr>
          <w:rFonts w:ascii="Times New Roman" w:hAnsi="Times New Roman" w:cs="Times New Roman"/>
          <w:color w:val="auto"/>
          <w:sz w:val="20"/>
          <w:szCs w:val="20"/>
        </w:rPr>
        <w:t xml:space="preserve"> (n = 12) group. Statistical significance was determined by a two-sided Wilcoxon rank-sum test</w:t>
      </w:r>
      <w:r w:rsidR="00120D40" w:rsidRPr="00225BE4">
        <w:rPr>
          <w:rFonts w:ascii="Times New Roman" w:hAnsi="Times New Roman" w:cs="Times New Roman"/>
          <w:color w:val="auto"/>
          <w:sz w:val="20"/>
          <w:szCs w:val="20"/>
        </w:rPr>
        <w:t>.</w:t>
      </w:r>
      <w:r w:rsidR="00AC4AF9" w:rsidRPr="00225BE4">
        <w:rPr>
          <w:rFonts w:ascii="Times New Roman" w:hAnsi="Times New Roman" w:cs="Times New Roman"/>
          <w:color w:val="auto"/>
          <w:sz w:val="20"/>
          <w:szCs w:val="20"/>
        </w:rPr>
        <w:t xml:space="preserve"> </w:t>
      </w:r>
      <w:r w:rsidR="00272C4A" w:rsidRPr="00225BE4">
        <w:rPr>
          <w:rFonts w:ascii="Times New Roman" w:hAnsi="Times New Roman" w:cs="Times New Roman"/>
          <w:b/>
          <w:bCs/>
          <w:color w:val="auto"/>
          <w:sz w:val="20"/>
          <w:szCs w:val="20"/>
        </w:rPr>
        <w:t>b</w:t>
      </w:r>
      <w:r w:rsidR="00272C4A" w:rsidRPr="00225BE4">
        <w:rPr>
          <w:rFonts w:ascii="Times New Roman" w:hAnsi="Times New Roman" w:cs="Times New Roman"/>
          <w:color w:val="auto"/>
          <w:sz w:val="20"/>
          <w:szCs w:val="20"/>
        </w:rPr>
        <w:t>, Linear discriminant analysis effect size (</w:t>
      </w:r>
      <w:proofErr w:type="spellStart"/>
      <w:r w:rsidR="00272C4A" w:rsidRPr="00225BE4">
        <w:rPr>
          <w:rFonts w:ascii="Times New Roman" w:hAnsi="Times New Roman" w:cs="Times New Roman"/>
          <w:color w:val="auto"/>
          <w:sz w:val="20"/>
          <w:szCs w:val="20"/>
        </w:rPr>
        <w:t>LEfSe</w:t>
      </w:r>
      <w:proofErr w:type="spellEnd"/>
      <w:r w:rsidR="00272C4A" w:rsidRPr="00225BE4">
        <w:rPr>
          <w:rFonts w:ascii="Times New Roman" w:hAnsi="Times New Roman" w:cs="Times New Roman"/>
          <w:color w:val="auto"/>
          <w:sz w:val="20"/>
          <w:szCs w:val="20"/>
        </w:rPr>
        <w:t>) identifying 37 baseline oral taxa significantly enriched in patients who subsequently developed severe immune-related adverse events (</w:t>
      </w:r>
      <w:proofErr w:type="spellStart"/>
      <w:r w:rsidR="00272C4A" w:rsidRPr="00225BE4">
        <w:rPr>
          <w:rFonts w:ascii="Times New Roman" w:hAnsi="Times New Roman" w:cs="Times New Roman"/>
          <w:color w:val="auto"/>
          <w:sz w:val="20"/>
          <w:szCs w:val="20"/>
        </w:rPr>
        <w:t>irAEs</w:t>
      </w:r>
      <w:proofErr w:type="spellEnd"/>
      <w:r w:rsidR="00272C4A" w:rsidRPr="00225BE4">
        <w:rPr>
          <w:rFonts w:ascii="Times New Roman" w:hAnsi="Times New Roman" w:cs="Times New Roman"/>
          <w:color w:val="auto"/>
          <w:sz w:val="20"/>
          <w:szCs w:val="20"/>
        </w:rPr>
        <w:t xml:space="preserve">, n = 12) compared to those with mild </w:t>
      </w:r>
      <w:proofErr w:type="spellStart"/>
      <w:r w:rsidR="00272C4A" w:rsidRPr="00225BE4">
        <w:rPr>
          <w:rFonts w:ascii="Times New Roman" w:hAnsi="Times New Roman" w:cs="Times New Roman"/>
          <w:color w:val="auto"/>
          <w:sz w:val="20"/>
          <w:szCs w:val="20"/>
        </w:rPr>
        <w:t>irAEs</w:t>
      </w:r>
      <w:proofErr w:type="spellEnd"/>
      <w:r w:rsidR="00272C4A" w:rsidRPr="00225BE4">
        <w:rPr>
          <w:rFonts w:ascii="Times New Roman" w:hAnsi="Times New Roman" w:cs="Times New Roman"/>
          <w:color w:val="auto"/>
          <w:sz w:val="20"/>
          <w:szCs w:val="20"/>
        </w:rPr>
        <w:t xml:space="preserve"> (n = 61). Data are presented as a bar plot (P &lt; 0.05, LDA score &gt; 3). No taxa were significantly enriched in the mild </w:t>
      </w:r>
      <w:proofErr w:type="spellStart"/>
      <w:r w:rsidR="00272C4A" w:rsidRPr="00225BE4">
        <w:rPr>
          <w:rFonts w:ascii="Times New Roman" w:hAnsi="Times New Roman" w:cs="Times New Roman"/>
          <w:color w:val="auto"/>
          <w:sz w:val="20"/>
          <w:szCs w:val="20"/>
        </w:rPr>
        <w:t>irAE</w:t>
      </w:r>
      <w:proofErr w:type="spellEnd"/>
      <w:r w:rsidR="00272C4A" w:rsidRPr="00225BE4">
        <w:rPr>
          <w:rFonts w:ascii="Times New Roman" w:hAnsi="Times New Roman" w:cs="Times New Roman"/>
          <w:color w:val="auto"/>
          <w:sz w:val="20"/>
          <w:szCs w:val="20"/>
        </w:rPr>
        <w:t xml:space="preserve"> group. </w:t>
      </w:r>
      <w:r w:rsidR="00272C4A" w:rsidRPr="00225BE4">
        <w:rPr>
          <w:rFonts w:ascii="Times New Roman" w:hAnsi="Times New Roman" w:cs="Times New Roman"/>
          <w:b/>
          <w:bCs/>
          <w:color w:val="auto"/>
          <w:sz w:val="20"/>
          <w:szCs w:val="20"/>
        </w:rPr>
        <w:t>c</w:t>
      </w:r>
      <w:r w:rsidR="00272C4A" w:rsidRPr="00225BE4">
        <w:rPr>
          <w:rFonts w:ascii="Times New Roman" w:hAnsi="Times New Roman" w:cs="Times New Roman"/>
          <w:color w:val="auto"/>
          <w:sz w:val="20"/>
          <w:szCs w:val="20"/>
        </w:rPr>
        <w:t>, Cladogram illustrating the phylogenetic relationships and hierarchical structure (from phylum to species) of the differentially abundant taxa identified in </w:t>
      </w:r>
      <w:r w:rsidR="00F522F8" w:rsidRPr="00225BE4">
        <w:rPr>
          <w:rFonts w:ascii="Times New Roman" w:hAnsi="Times New Roman" w:cs="Times New Roman"/>
          <w:color w:val="auto"/>
          <w:sz w:val="20"/>
          <w:szCs w:val="20"/>
        </w:rPr>
        <w:t>(</w:t>
      </w:r>
      <w:r w:rsidR="00272C4A" w:rsidRPr="00225BE4">
        <w:rPr>
          <w:rFonts w:ascii="Times New Roman" w:hAnsi="Times New Roman" w:cs="Times New Roman"/>
          <w:b/>
          <w:bCs/>
          <w:color w:val="auto"/>
          <w:sz w:val="20"/>
          <w:szCs w:val="20"/>
        </w:rPr>
        <w:t>b</w:t>
      </w:r>
      <w:r w:rsidR="00F522F8" w:rsidRPr="00225BE4">
        <w:rPr>
          <w:rFonts w:ascii="Times New Roman" w:hAnsi="Times New Roman" w:cs="Times New Roman"/>
          <w:color w:val="auto"/>
          <w:sz w:val="20"/>
          <w:szCs w:val="20"/>
        </w:rPr>
        <w:t>)</w:t>
      </w:r>
      <w:r w:rsidR="00272C4A" w:rsidRPr="00225BE4">
        <w:rPr>
          <w:rFonts w:ascii="Times New Roman" w:hAnsi="Times New Roman" w:cs="Times New Roman"/>
          <w:color w:val="auto"/>
          <w:sz w:val="20"/>
          <w:szCs w:val="20"/>
        </w:rPr>
        <w:t>.</w:t>
      </w:r>
      <w:r w:rsidR="00F522F8" w:rsidRPr="00225BE4">
        <w:rPr>
          <w:rFonts w:ascii="Times New Roman" w:hAnsi="Times New Roman" w:cs="Times New Roman"/>
          <w:color w:val="auto"/>
          <w:sz w:val="20"/>
          <w:szCs w:val="20"/>
        </w:rPr>
        <w:t xml:space="preserve"> </w:t>
      </w:r>
      <w:r w:rsidR="00272C4A" w:rsidRPr="00225BE4">
        <w:rPr>
          <w:rFonts w:ascii="Times New Roman" w:hAnsi="Times New Roman" w:cs="Times New Roman"/>
          <w:b/>
          <w:bCs/>
          <w:color w:val="auto"/>
          <w:sz w:val="20"/>
          <w:szCs w:val="20"/>
        </w:rPr>
        <w:t>d</w:t>
      </w:r>
      <w:r w:rsidR="00120D40" w:rsidRPr="00225BE4">
        <w:rPr>
          <w:rFonts w:ascii="Times New Roman" w:hAnsi="Times New Roman" w:cs="Times New Roman"/>
          <w:color w:val="auto"/>
          <w:sz w:val="20"/>
          <w:szCs w:val="20"/>
        </w:rPr>
        <w:t xml:space="preserve">, Scatterplot demonstrating an inverse correlation between baseline oral richness and patient age. </w:t>
      </w:r>
      <w:r w:rsidR="00127381" w:rsidRPr="00225BE4">
        <w:rPr>
          <w:rFonts w:ascii="Times New Roman" w:hAnsi="Times New Roman" w:cs="Times New Roman"/>
          <w:color w:val="auto"/>
          <w:sz w:val="20"/>
          <w:szCs w:val="20"/>
        </w:rPr>
        <w:t>Spearman’s ρ and P value were calculated by Spearman’s rank correlation. The blue line depicts a linear regression fit, and grey shaded area indicates 95% confidence interval.</w:t>
      </w:r>
      <w:r w:rsidR="00056972" w:rsidRPr="00225BE4">
        <w:rPr>
          <w:rFonts w:ascii="Times New Roman" w:hAnsi="Times New Roman" w:cs="Times New Roman"/>
          <w:color w:val="auto"/>
          <w:sz w:val="20"/>
          <w:szCs w:val="20"/>
        </w:rPr>
        <w:t xml:space="preserve"> </w:t>
      </w:r>
      <w:r w:rsidR="00F522F8" w:rsidRPr="00225BE4">
        <w:rPr>
          <w:rFonts w:ascii="Times New Roman" w:hAnsi="Times New Roman" w:cs="Times New Roman"/>
          <w:b/>
          <w:bCs/>
          <w:color w:val="auto"/>
          <w:sz w:val="20"/>
          <w:szCs w:val="20"/>
        </w:rPr>
        <w:t>e</w:t>
      </w:r>
      <w:r w:rsidR="00120D40" w:rsidRPr="00225BE4">
        <w:rPr>
          <w:rFonts w:ascii="Times New Roman" w:hAnsi="Times New Roman" w:cs="Times New Roman"/>
          <w:color w:val="auto"/>
          <w:sz w:val="20"/>
          <w:szCs w:val="20"/>
        </w:rPr>
        <w:t>, Principal coordinates analysis (</w:t>
      </w:r>
      <w:proofErr w:type="spellStart"/>
      <w:r w:rsidR="00120D40" w:rsidRPr="00225BE4">
        <w:rPr>
          <w:rFonts w:ascii="Times New Roman" w:hAnsi="Times New Roman" w:cs="Times New Roman"/>
          <w:color w:val="auto"/>
          <w:sz w:val="20"/>
          <w:szCs w:val="20"/>
        </w:rPr>
        <w:t>PCoA</w:t>
      </w:r>
      <w:proofErr w:type="spellEnd"/>
      <w:r w:rsidR="00120D40" w:rsidRPr="00225BE4">
        <w:rPr>
          <w:rFonts w:ascii="Times New Roman" w:hAnsi="Times New Roman" w:cs="Times New Roman"/>
          <w:color w:val="auto"/>
          <w:sz w:val="20"/>
          <w:szCs w:val="20"/>
        </w:rPr>
        <w:t>) based on Aitchison distance showing differences in baseline oral beta diversity between female</w:t>
      </w:r>
      <w:r w:rsidR="00B56670" w:rsidRPr="00225BE4">
        <w:rPr>
          <w:rFonts w:ascii="Times New Roman" w:hAnsi="Times New Roman" w:cs="Times New Roman"/>
          <w:color w:val="auto"/>
          <w:sz w:val="20"/>
          <w:szCs w:val="20"/>
        </w:rPr>
        <w:t xml:space="preserve"> (n = </w:t>
      </w:r>
      <w:r w:rsidR="00BC6B02" w:rsidRPr="00225BE4">
        <w:rPr>
          <w:rFonts w:ascii="Times New Roman" w:hAnsi="Times New Roman" w:cs="Times New Roman"/>
          <w:color w:val="auto"/>
          <w:sz w:val="20"/>
          <w:szCs w:val="20"/>
        </w:rPr>
        <w:t>25)</w:t>
      </w:r>
      <w:r w:rsidR="00120D40" w:rsidRPr="00225BE4">
        <w:rPr>
          <w:rFonts w:ascii="Times New Roman" w:hAnsi="Times New Roman" w:cs="Times New Roman"/>
          <w:color w:val="auto"/>
          <w:sz w:val="20"/>
          <w:szCs w:val="20"/>
        </w:rPr>
        <w:t xml:space="preserve"> and male</w:t>
      </w:r>
      <w:r w:rsidR="00BC6B02" w:rsidRPr="00225BE4">
        <w:rPr>
          <w:rFonts w:ascii="Times New Roman" w:hAnsi="Times New Roman" w:cs="Times New Roman"/>
          <w:color w:val="auto"/>
          <w:sz w:val="20"/>
          <w:szCs w:val="20"/>
        </w:rPr>
        <w:t xml:space="preserve"> (n = 48)</w:t>
      </w:r>
      <w:r w:rsidR="00120D40" w:rsidRPr="00225BE4">
        <w:rPr>
          <w:rFonts w:ascii="Times New Roman" w:hAnsi="Times New Roman" w:cs="Times New Roman"/>
          <w:color w:val="auto"/>
          <w:sz w:val="20"/>
          <w:szCs w:val="20"/>
        </w:rPr>
        <w:t xml:space="preserve"> patients</w:t>
      </w:r>
      <w:r w:rsidR="00F405B7" w:rsidRPr="00225BE4">
        <w:rPr>
          <w:rFonts w:ascii="Times New Roman" w:hAnsi="Times New Roman" w:cs="Times New Roman"/>
          <w:color w:val="auto"/>
          <w:sz w:val="20"/>
          <w:szCs w:val="20"/>
        </w:rPr>
        <w:t>.</w:t>
      </w:r>
      <w:r w:rsidR="00120D40" w:rsidRPr="00225BE4">
        <w:rPr>
          <w:rFonts w:ascii="Times New Roman" w:hAnsi="Times New Roman" w:cs="Times New Roman"/>
          <w:color w:val="auto"/>
          <w:sz w:val="20"/>
          <w:szCs w:val="20"/>
        </w:rPr>
        <w:t xml:space="preserve"> </w:t>
      </w:r>
      <w:r w:rsidR="00BC6B02" w:rsidRPr="00225BE4">
        <w:rPr>
          <w:rFonts w:ascii="Times New Roman" w:hAnsi="Times New Roman" w:cs="Times New Roman"/>
          <w:color w:val="auto"/>
          <w:sz w:val="20"/>
          <w:szCs w:val="20"/>
        </w:rPr>
        <w:t xml:space="preserve">P value was calculated using </w:t>
      </w:r>
      <w:proofErr w:type="spellStart"/>
      <w:r w:rsidR="00BC6B02" w:rsidRPr="00225BE4">
        <w:rPr>
          <w:rFonts w:ascii="Times New Roman" w:hAnsi="Times New Roman" w:cs="Times New Roman"/>
          <w:color w:val="auto"/>
          <w:sz w:val="20"/>
          <w:szCs w:val="20"/>
        </w:rPr>
        <w:t>P</w:t>
      </w:r>
      <w:r w:rsidR="002F7A70" w:rsidRPr="00225BE4">
        <w:rPr>
          <w:rFonts w:ascii="Times New Roman" w:hAnsi="Times New Roman" w:cs="Times New Roman"/>
          <w:color w:val="auto"/>
          <w:sz w:val="20"/>
          <w:szCs w:val="20"/>
        </w:rPr>
        <w:t>erm</w:t>
      </w:r>
      <w:r w:rsidR="00BC6B02" w:rsidRPr="00225BE4">
        <w:rPr>
          <w:rFonts w:ascii="Times New Roman" w:hAnsi="Times New Roman" w:cs="Times New Roman"/>
          <w:color w:val="auto"/>
          <w:sz w:val="20"/>
          <w:szCs w:val="20"/>
        </w:rPr>
        <w:t>ANOVA</w:t>
      </w:r>
      <w:proofErr w:type="spellEnd"/>
      <w:r w:rsidR="00BC6B02" w:rsidRPr="00225BE4">
        <w:rPr>
          <w:rFonts w:ascii="Times New Roman" w:hAnsi="Times New Roman" w:cs="Times New Roman"/>
          <w:color w:val="auto"/>
          <w:sz w:val="20"/>
          <w:szCs w:val="20"/>
        </w:rPr>
        <w:t xml:space="preserve"> (permutational multivariate analysis of variance).</w:t>
      </w:r>
      <w:r w:rsidR="00056972" w:rsidRPr="00225BE4">
        <w:rPr>
          <w:rFonts w:ascii="Times New Roman" w:hAnsi="Times New Roman" w:cs="Times New Roman"/>
          <w:color w:val="auto"/>
          <w:sz w:val="20"/>
          <w:szCs w:val="20"/>
        </w:rPr>
        <w:t xml:space="preserve"> </w:t>
      </w:r>
      <w:r w:rsidR="00F522F8" w:rsidRPr="00225BE4">
        <w:rPr>
          <w:rFonts w:ascii="Times New Roman" w:hAnsi="Times New Roman" w:cs="Times New Roman"/>
          <w:b/>
          <w:bCs/>
          <w:color w:val="auto"/>
          <w:sz w:val="20"/>
          <w:szCs w:val="20"/>
        </w:rPr>
        <w:t>f</w:t>
      </w:r>
      <w:r w:rsidR="00120D40" w:rsidRPr="00225BE4">
        <w:rPr>
          <w:rFonts w:ascii="Times New Roman" w:hAnsi="Times New Roman" w:cs="Times New Roman"/>
          <w:color w:val="auto"/>
          <w:sz w:val="20"/>
          <w:szCs w:val="20"/>
        </w:rPr>
        <w:t>, Baseline oral alpha diversity (Richness and Shannon indices) stratified by cancer type</w:t>
      </w:r>
      <w:r w:rsidR="00CD5091" w:rsidRPr="00225BE4">
        <w:rPr>
          <w:rFonts w:ascii="Times New Roman" w:hAnsi="Times New Roman" w:cs="Times New Roman"/>
          <w:color w:val="auto"/>
          <w:sz w:val="20"/>
          <w:szCs w:val="20"/>
        </w:rPr>
        <w:t xml:space="preserve"> (cSCC, n = 9; </w:t>
      </w:r>
      <w:r w:rsidR="00B80C21" w:rsidRPr="00225BE4">
        <w:rPr>
          <w:rFonts w:ascii="Times New Roman" w:hAnsi="Times New Roman" w:cs="Times New Roman"/>
          <w:color w:val="auto"/>
          <w:sz w:val="20"/>
          <w:szCs w:val="20"/>
        </w:rPr>
        <w:t xml:space="preserve">HNC, n = 2; </w:t>
      </w:r>
      <w:r w:rsidR="00CD5091" w:rsidRPr="00225BE4">
        <w:rPr>
          <w:rFonts w:ascii="Times New Roman" w:hAnsi="Times New Roman" w:cs="Times New Roman"/>
          <w:color w:val="auto"/>
          <w:sz w:val="20"/>
          <w:szCs w:val="20"/>
        </w:rPr>
        <w:t>Renal, n = 8;</w:t>
      </w:r>
      <w:r w:rsidR="00B80C21" w:rsidRPr="00225BE4">
        <w:rPr>
          <w:rFonts w:ascii="Times New Roman" w:hAnsi="Times New Roman" w:cs="Times New Roman"/>
          <w:color w:val="auto"/>
          <w:sz w:val="20"/>
          <w:szCs w:val="20"/>
        </w:rPr>
        <w:t xml:space="preserve"> NSCLC, n = 24; Melanoma, n = 30</w:t>
      </w:r>
      <w:r w:rsidR="00CD5091" w:rsidRPr="00225BE4">
        <w:rPr>
          <w:rFonts w:ascii="Times New Roman" w:hAnsi="Times New Roman" w:cs="Times New Roman"/>
          <w:color w:val="auto"/>
          <w:sz w:val="20"/>
          <w:szCs w:val="20"/>
        </w:rPr>
        <w:t>).</w:t>
      </w:r>
      <w:r w:rsidR="00483991" w:rsidRPr="00225BE4">
        <w:rPr>
          <w:rFonts w:ascii="Times New Roman" w:hAnsi="Times New Roman" w:cs="Times New Roman"/>
          <w:color w:val="auto"/>
          <w:sz w:val="20"/>
          <w:szCs w:val="20"/>
        </w:rPr>
        <w:t xml:space="preserve"> </w:t>
      </w:r>
      <w:r w:rsidR="00120D40" w:rsidRPr="00225BE4">
        <w:rPr>
          <w:rFonts w:ascii="Times New Roman" w:hAnsi="Times New Roman" w:cs="Times New Roman"/>
          <w:color w:val="auto"/>
          <w:sz w:val="20"/>
          <w:szCs w:val="20"/>
        </w:rPr>
        <w:t>Statistical significance was assessed using a Kruskal–</w:t>
      </w:r>
      <w:proofErr w:type="gramStart"/>
      <w:r w:rsidR="00120D40" w:rsidRPr="00225BE4">
        <w:rPr>
          <w:rFonts w:ascii="Times New Roman" w:hAnsi="Times New Roman" w:cs="Times New Roman"/>
          <w:color w:val="auto"/>
          <w:sz w:val="20"/>
          <w:szCs w:val="20"/>
        </w:rPr>
        <w:t>Wallis</w:t>
      </w:r>
      <w:proofErr w:type="gramEnd"/>
      <w:r w:rsidR="00120D40" w:rsidRPr="00225BE4">
        <w:rPr>
          <w:rFonts w:ascii="Times New Roman" w:hAnsi="Times New Roman" w:cs="Times New Roman"/>
          <w:color w:val="auto"/>
          <w:sz w:val="20"/>
          <w:szCs w:val="20"/>
        </w:rPr>
        <w:t xml:space="preserve"> test. </w:t>
      </w:r>
      <w:r w:rsidR="00F522F8" w:rsidRPr="00225BE4">
        <w:rPr>
          <w:rFonts w:ascii="Times New Roman" w:hAnsi="Times New Roman" w:cs="Times New Roman"/>
          <w:b/>
          <w:bCs/>
          <w:color w:val="auto"/>
          <w:sz w:val="20"/>
          <w:szCs w:val="20"/>
        </w:rPr>
        <w:t>g</w:t>
      </w:r>
      <w:r w:rsidR="00120D40" w:rsidRPr="00225BE4">
        <w:rPr>
          <w:rFonts w:ascii="Times New Roman" w:hAnsi="Times New Roman" w:cs="Times New Roman"/>
          <w:color w:val="auto"/>
          <w:sz w:val="20"/>
          <w:szCs w:val="20"/>
        </w:rPr>
        <w:t xml:space="preserve">, </w:t>
      </w:r>
      <w:proofErr w:type="spellStart"/>
      <w:r w:rsidR="00120D40" w:rsidRPr="00225BE4">
        <w:rPr>
          <w:rFonts w:ascii="Times New Roman" w:hAnsi="Times New Roman" w:cs="Times New Roman"/>
          <w:color w:val="auto"/>
          <w:sz w:val="20"/>
          <w:szCs w:val="20"/>
        </w:rPr>
        <w:t>PCoA</w:t>
      </w:r>
      <w:proofErr w:type="spellEnd"/>
      <w:r w:rsidR="00120D40" w:rsidRPr="00225BE4">
        <w:rPr>
          <w:rFonts w:ascii="Times New Roman" w:hAnsi="Times New Roman" w:cs="Times New Roman"/>
          <w:color w:val="auto"/>
          <w:sz w:val="20"/>
          <w:szCs w:val="20"/>
        </w:rPr>
        <w:t xml:space="preserve"> demonstrating variations in baseline oral beta diversity across cancer types</w:t>
      </w:r>
      <w:r w:rsidR="00FC6556" w:rsidRPr="00225BE4">
        <w:rPr>
          <w:rFonts w:ascii="Times New Roman" w:hAnsi="Times New Roman" w:cs="Times New Roman"/>
          <w:color w:val="auto"/>
          <w:sz w:val="20"/>
          <w:szCs w:val="20"/>
        </w:rPr>
        <w:t>.</w:t>
      </w:r>
      <w:r w:rsidR="00120D40" w:rsidRPr="00225BE4">
        <w:rPr>
          <w:rFonts w:ascii="Times New Roman" w:hAnsi="Times New Roman" w:cs="Times New Roman"/>
          <w:color w:val="auto"/>
          <w:sz w:val="20"/>
          <w:szCs w:val="20"/>
        </w:rPr>
        <w:t xml:space="preserve"> </w:t>
      </w:r>
      <w:r w:rsidR="00FC6556" w:rsidRPr="00225BE4">
        <w:rPr>
          <w:rFonts w:ascii="Times New Roman" w:hAnsi="Times New Roman" w:cs="Times New Roman"/>
          <w:color w:val="auto"/>
          <w:sz w:val="20"/>
          <w:szCs w:val="20"/>
        </w:rPr>
        <w:t xml:space="preserve">P value was calculated using </w:t>
      </w:r>
      <w:proofErr w:type="spellStart"/>
      <w:r w:rsidR="00FC6556" w:rsidRPr="00225BE4">
        <w:rPr>
          <w:rFonts w:ascii="Times New Roman" w:hAnsi="Times New Roman" w:cs="Times New Roman"/>
          <w:color w:val="auto"/>
          <w:sz w:val="20"/>
          <w:szCs w:val="20"/>
        </w:rPr>
        <w:t>P</w:t>
      </w:r>
      <w:r w:rsidR="00281F64" w:rsidRPr="00225BE4">
        <w:rPr>
          <w:rFonts w:ascii="Times New Roman" w:hAnsi="Times New Roman" w:cs="Times New Roman"/>
          <w:color w:val="auto"/>
          <w:sz w:val="20"/>
          <w:szCs w:val="20"/>
        </w:rPr>
        <w:t>erm</w:t>
      </w:r>
      <w:r w:rsidR="00FC6556" w:rsidRPr="00225BE4">
        <w:rPr>
          <w:rFonts w:ascii="Times New Roman" w:hAnsi="Times New Roman" w:cs="Times New Roman"/>
          <w:color w:val="auto"/>
          <w:sz w:val="20"/>
          <w:szCs w:val="20"/>
        </w:rPr>
        <w:t>ANOVA</w:t>
      </w:r>
      <w:proofErr w:type="spellEnd"/>
      <w:r w:rsidR="00AC4AF9" w:rsidRPr="00225BE4">
        <w:rPr>
          <w:rFonts w:ascii="Times New Roman" w:hAnsi="Times New Roman" w:cs="Times New Roman"/>
          <w:color w:val="auto"/>
          <w:sz w:val="20"/>
          <w:szCs w:val="20"/>
        </w:rPr>
        <w:t xml:space="preserve">. </w:t>
      </w:r>
      <w:r w:rsidR="00F522F8" w:rsidRPr="00225BE4">
        <w:rPr>
          <w:rFonts w:ascii="Times New Roman" w:hAnsi="Times New Roman" w:cs="Times New Roman"/>
          <w:b/>
          <w:bCs/>
          <w:color w:val="auto"/>
          <w:sz w:val="20"/>
          <w:szCs w:val="20"/>
        </w:rPr>
        <w:t>h</w:t>
      </w:r>
      <w:r w:rsidR="00120D40" w:rsidRPr="00225BE4">
        <w:rPr>
          <w:rFonts w:ascii="Times New Roman" w:hAnsi="Times New Roman" w:cs="Times New Roman"/>
          <w:color w:val="auto"/>
          <w:sz w:val="20"/>
          <w:szCs w:val="20"/>
        </w:rPr>
        <w:t>, Longitudinal comparison of oral microbial richness from baseline to 3 months specifically within the combination therapy subgroup (</w:t>
      </w:r>
      <w:r w:rsidR="00FE413B" w:rsidRPr="00225BE4">
        <w:rPr>
          <w:rFonts w:ascii="Times New Roman" w:hAnsi="Times New Roman" w:cs="Times New Roman"/>
          <w:color w:val="auto"/>
          <w:sz w:val="20"/>
          <w:szCs w:val="20"/>
        </w:rPr>
        <w:t xml:space="preserve">n = </w:t>
      </w:r>
      <w:r w:rsidR="00190185" w:rsidRPr="00225BE4">
        <w:rPr>
          <w:rFonts w:ascii="Times New Roman" w:hAnsi="Times New Roman" w:cs="Times New Roman"/>
          <w:color w:val="auto"/>
          <w:sz w:val="20"/>
          <w:szCs w:val="20"/>
        </w:rPr>
        <w:t>18 pairs</w:t>
      </w:r>
      <w:r w:rsidR="00120D40" w:rsidRPr="00225BE4">
        <w:rPr>
          <w:rFonts w:ascii="Times New Roman" w:hAnsi="Times New Roman" w:cs="Times New Roman"/>
          <w:color w:val="auto"/>
          <w:sz w:val="20"/>
          <w:szCs w:val="20"/>
        </w:rPr>
        <w:t>).</w:t>
      </w:r>
      <w:r w:rsidR="00AC4AF9" w:rsidRPr="00225BE4">
        <w:rPr>
          <w:rFonts w:ascii="Times New Roman" w:hAnsi="Times New Roman" w:cs="Times New Roman"/>
          <w:color w:val="auto"/>
          <w:sz w:val="20"/>
          <w:szCs w:val="20"/>
        </w:rPr>
        <w:t xml:space="preserve"> </w:t>
      </w:r>
      <w:proofErr w:type="spellStart"/>
      <w:r w:rsidR="00F522F8" w:rsidRPr="00225BE4">
        <w:rPr>
          <w:rFonts w:ascii="Times New Roman" w:hAnsi="Times New Roman" w:cs="Times New Roman"/>
          <w:b/>
          <w:bCs/>
          <w:color w:val="auto"/>
          <w:sz w:val="20"/>
          <w:szCs w:val="20"/>
        </w:rPr>
        <w:t>i</w:t>
      </w:r>
      <w:proofErr w:type="spellEnd"/>
      <w:r w:rsidR="00120D40" w:rsidRPr="00225BE4">
        <w:rPr>
          <w:rFonts w:ascii="Times New Roman" w:hAnsi="Times New Roman" w:cs="Times New Roman"/>
          <w:color w:val="auto"/>
          <w:sz w:val="20"/>
          <w:szCs w:val="20"/>
        </w:rPr>
        <w:t xml:space="preserve">, </w:t>
      </w:r>
      <w:r w:rsidR="00986672" w:rsidRPr="00225BE4">
        <w:rPr>
          <w:rFonts w:ascii="Times New Roman" w:hAnsi="Times New Roman" w:cs="Times New Roman"/>
          <w:color w:val="auto"/>
          <w:sz w:val="20"/>
          <w:szCs w:val="20"/>
        </w:rPr>
        <w:t xml:space="preserve">Longitudinal changes in oral microbial richness from baseline to 3 months for non-responders (NR, n = </w:t>
      </w:r>
      <w:r w:rsidR="001962D2" w:rsidRPr="00225BE4">
        <w:rPr>
          <w:rFonts w:ascii="Times New Roman" w:hAnsi="Times New Roman" w:cs="Times New Roman"/>
          <w:color w:val="auto"/>
          <w:sz w:val="20"/>
          <w:szCs w:val="20"/>
        </w:rPr>
        <w:t>7</w:t>
      </w:r>
      <w:r w:rsidR="00986672" w:rsidRPr="00225BE4">
        <w:rPr>
          <w:rFonts w:ascii="Times New Roman" w:hAnsi="Times New Roman" w:cs="Times New Roman"/>
          <w:color w:val="auto"/>
          <w:sz w:val="20"/>
          <w:szCs w:val="20"/>
        </w:rPr>
        <w:t xml:space="preserve"> pairs) and responders (R, n = </w:t>
      </w:r>
      <w:r w:rsidR="001962D2" w:rsidRPr="00225BE4">
        <w:rPr>
          <w:rFonts w:ascii="Times New Roman" w:hAnsi="Times New Roman" w:cs="Times New Roman"/>
          <w:color w:val="auto"/>
          <w:sz w:val="20"/>
          <w:szCs w:val="20"/>
        </w:rPr>
        <w:t>45</w:t>
      </w:r>
      <w:r w:rsidR="00986672" w:rsidRPr="00225BE4">
        <w:rPr>
          <w:rFonts w:ascii="Times New Roman" w:hAnsi="Times New Roman" w:cs="Times New Roman"/>
          <w:color w:val="auto"/>
          <w:sz w:val="20"/>
          <w:szCs w:val="20"/>
        </w:rPr>
        <w:t xml:space="preserve"> pairs).</w:t>
      </w:r>
      <w:r w:rsidR="00043A1C" w:rsidRPr="00225BE4">
        <w:rPr>
          <w:rFonts w:ascii="Times New Roman" w:hAnsi="Times New Roman" w:cs="Times New Roman"/>
          <w:color w:val="auto"/>
          <w:sz w:val="20"/>
          <w:szCs w:val="20"/>
        </w:rPr>
        <w:t xml:space="preserve"> </w:t>
      </w:r>
      <w:r w:rsidR="00120D40" w:rsidRPr="00225BE4">
        <w:rPr>
          <w:rFonts w:ascii="Times New Roman" w:hAnsi="Times New Roman" w:cs="Times New Roman"/>
          <w:color w:val="auto"/>
          <w:sz w:val="20"/>
          <w:szCs w:val="20"/>
        </w:rPr>
        <w:t xml:space="preserve">Two specific patients receiving dual-checkpoint blockade who exhibited severe richness reduction (&gt;50%) are highlighted with </w:t>
      </w:r>
      <w:r w:rsidR="00EA35D1" w:rsidRPr="00225BE4">
        <w:rPr>
          <w:rFonts w:ascii="Times New Roman" w:hAnsi="Times New Roman" w:cs="Times New Roman"/>
          <w:color w:val="auto"/>
          <w:sz w:val="20"/>
          <w:szCs w:val="20"/>
        </w:rPr>
        <w:t>coloured</w:t>
      </w:r>
      <w:r w:rsidR="00120D40" w:rsidRPr="00225BE4">
        <w:rPr>
          <w:rFonts w:ascii="Times New Roman" w:hAnsi="Times New Roman" w:cs="Times New Roman"/>
          <w:color w:val="auto"/>
          <w:sz w:val="20"/>
          <w:szCs w:val="20"/>
        </w:rPr>
        <w:t xml:space="preserve"> data points and annotated by their specific </w:t>
      </w:r>
      <w:proofErr w:type="spellStart"/>
      <w:r w:rsidR="00120D40" w:rsidRPr="00225BE4">
        <w:rPr>
          <w:rFonts w:ascii="Times New Roman" w:hAnsi="Times New Roman" w:cs="Times New Roman"/>
          <w:color w:val="auto"/>
          <w:sz w:val="20"/>
          <w:szCs w:val="20"/>
        </w:rPr>
        <w:t>irAEs</w:t>
      </w:r>
      <w:proofErr w:type="spellEnd"/>
      <w:r w:rsidR="00120D40" w:rsidRPr="00225BE4">
        <w:rPr>
          <w:rFonts w:ascii="Times New Roman" w:hAnsi="Times New Roman" w:cs="Times New Roman"/>
          <w:color w:val="auto"/>
          <w:sz w:val="20"/>
          <w:szCs w:val="20"/>
        </w:rPr>
        <w:t>. The patient highlighted in purple indicates the same individual who exhibited concurrent severe gut richness depletion (detailed in Extended Data Fig. 5b). In </w:t>
      </w:r>
      <w:r w:rsidR="00120D40" w:rsidRPr="00225BE4">
        <w:rPr>
          <w:rFonts w:ascii="Times New Roman" w:hAnsi="Times New Roman" w:cs="Times New Roman"/>
          <w:b/>
          <w:bCs/>
          <w:color w:val="auto"/>
          <w:sz w:val="20"/>
          <w:szCs w:val="20"/>
        </w:rPr>
        <w:t>f</w:t>
      </w:r>
      <w:r w:rsidR="00120D40" w:rsidRPr="00225BE4">
        <w:rPr>
          <w:rFonts w:ascii="Times New Roman" w:hAnsi="Times New Roman" w:cs="Times New Roman"/>
          <w:color w:val="auto"/>
          <w:sz w:val="20"/>
          <w:szCs w:val="20"/>
        </w:rPr>
        <w:t> and </w:t>
      </w:r>
      <w:r w:rsidR="00120D40" w:rsidRPr="00225BE4">
        <w:rPr>
          <w:rFonts w:ascii="Times New Roman" w:hAnsi="Times New Roman" w:cs="Times New Roman"/>
          <w:b/>
          <w:bCs/>
          <w:color w:val="auto"/>
          <w:sz w:val="20"/>
          <w:szCs w:val="20"/>
        </w:rPr>
        <w:t>g</w:t>
      </w:r>
      <w:r w:rsidR="00120D40" w:rsidRPr="00225BE4">
        <w:rPr>
          <w:rFonts w:ascii="Times New Roman" w:hAnsi="Times New Roman" w:cs="Times New Roman"/>
          <w:color w:val="auto"/>
          <w:sz w:val="20"/>
          <w:szCs w:val="20"/>
        </w:rPr>
        <w:t>, horizontal lines denote the median, and P values were calculated using Wilcoxon signed-rank test. For all boxplots (</w:t>
      </w:r>
      <w:r w:rsidR="00120D40" w:rsidRPr="00225BE4">
        <w:rPr>
          <w:rFonts w:ascii="Times New Roman" w:hAnsi="Times New Roman" w:cs="Times New Roman"/>
          <w:b/>
          <w:bCs/>
          <w:color w:val="auto"/>
          <w:sz w:val="20"/>
          <w:szCs w:val="20"/>
        </w:rPr>
        <w:t>a</w:t>
      </w:r>
      <w:r w:rsidR="00120D40" w:rsidRPr="00225BE4">
        <w:rPr>
          <w:rFonts w:ascii="Times New Roman" w:hAnsi="Times New Roman" w:cs="Times New Roman"/>
          <w:color w:val="auto"/>
          <w:sz w:val="20"/>
          <w:szCs w:val="20"/>
        </w:rPr>
        <w:t>, </w:t>
      </w:r>
      <w:r w:rsidR="00120D40" w:rsidRPr="00225BE4">
        <w:rPr>
          <w:rFonts w:ascii="Times New Roman" w:hAnsi="Times New Roman" w:cs="Times New Roman"/>
          <w:b/>
          <w:bCs/>
          <w:color w:val="auto"/>
          <w:sz w:val="20"/>
          <w:szCs w:val="20"/>
        </w:rPr>
        <w:t>d</w:t>
      </w:r>
      <w:r w:rsidR="00120D40" w:rsidRPr="00225BE4">
        <w:rPr>
          <w:rFonts w:ascii="Times New Roman" w:hAnsi="Times New Roman" w:cs="Times New Roman"/>
          <w:color w:val="auto"/>
          <w:sz w:val="20"/>
          <w:szCs w:val="20"/>
        </w:rPr>
        <w:t xml:space="preserve">), </w:t>
      </w:r>
      <w:r w:rsidR="00451128" w:rsidRPr="00225BE4">
        <w:rPr>
          <w:rFonts w:ascii="Times New Roman" w:hAnsi="Times New Roman" w:cs="Times New Roman"/>
          <w:color w:val="auto"/>
          <w:sz w:val="20"/>
          <w:szCs w:val="20"/>
        </w:rPr>
        <w:t xml:space="preserve">boxes show 25th, 50th and 75th centiles; whiskers indicate 1.5 × inter-quartile range; points represent individual samples. </w:t>
      </w:r>
      <w:r w:rsidR="00120D40" w:rsidRPr="00225BE4">
        <w:rPr>
          <w:rFonts w:ascii="Times New Roman" w:hAnsi="Times New Roman" w:cs="Times New Roman"/>
          <w:color w:val="auto"/>
          <w:sz w:val="20"/>
          <w:szCs w:val="20"/>
        </w:rPr>
        <w:t>cSCC, cutaneous squamous cell carcinoma; HNC, head and neck cancer; NSCLC, non-small cell lung cancer.</w:t>
      </w:r>
    </w:p>
    <w:p w14:paraId="5CD84B52" w14:textId="25163C63" w:rsidR="00233214" w:rsidRPr="000D14EA" w:rsidRDefault="00233214" w:rsidP="000D14EA">
      <w:pPr>
        <w:pStyle w:val="Heading2"/>
        <w:jc w:val="both"/>
        <w:rPr>
          <w:rFonts w:ascii="Times New Roman" w:hAnsi="Times New Roman" w:cs="Times New Roman"/>
          <w:sz w:val="24"/>
          <w:szCs w:val="24"/>
        </w:rPr>
      </w:pPr>
      <w:bookmarkStart w:id="8" w:name="_Ref231770316"/>
      <w:r w:rsidRPr="000D14EA">
        <w:rPr>
          <w:rFonts w:ascii="Times New Roman" w:hAnsi="Times New Roman" w:cs="Times New Roman"/>
          <w:sz w:val="24"/>
          <w:szCs w:val="24"/>
        </w:rPr>
        <w:lastRenderedPageBreak/>
        <w:t xml:space="preserve">Extended Data Table </w:t>
      </w:r>
      <w:r w:rsidRPr="000D14EA">
        <w:rPr>
          <w:rFonts w:ascii="Times New Roman" w:hAnsi="Times New Roman" w:cs="Times New Roman"/>
          <w:sz w:val="24"/>
          <w:szCs w:val="24"/>
        </w:rPr>
        <w:fldChar w:fldCharType="begin"/>
      </w:r>
      <w:r w:rsidRPr="000D14EA">
        <w:rPr>
          <w:rFonts w:ascii="Times New Roman" w:hAnsi="Times New Roman" w:cs="Times New Roman"/>
          <w:sz w:val="24"/>
          <w:szCs w:val="24"/>
        </w:rPr>
        <w:instrText xml:space="preserve"> SEQ Extended_Data_Table \* ARABIC </w:instrText>
      </w:r>
      <w:r w:rsidRPr="000D14EA">
        <w:rPr>
          <w:rFonts w:ascii="Times New Roman" w:hAnsi="Times New Roman" w:cs="Times New Roman"/>
          <w:sz w:val="24"/>
          <w:szCs w:val="24"/>
        </w:rPr>
        <w:fldChar w:fldCharType="separate"/>
      </w:r>
      <w:r w:rsidRPr="000D14EA">
        <w:rPr>
          <w:rFonts w:ascii="Times New Roman" w:hAnsi="Times New Roman" w:cs="Times New Roman"/>
          <w:noProof/>
          <w:sz w:val="24"/>
          <w:szCs w:val="24"/>
        </w:rPr>
        <w:t>1</w:t>
      </w:r>
      <w:r w:rsidRPr="000D14EA">
        <w:rPr>
          <w:rFonts w:ascii="Times New Roman" w:hAnsi="Times New Roman" w:cs="Times New Roman"/>
          <w:sz w:val="24"/>
          <w:szCs w:val="24"/>
        </w:rPr>
        <w:fldChar w:fldCharType="end"/>
      </w:r>
      <w:bookmarkEnd w:id="8"/>
      <w:r w:rsidR="00277437" w:rsidRPr="000D14EA">
        <w:rPr>
          <w:rFonts w:ascii="Times New Roman" w:hAnsi="Times New Roman" w:cs="Times New Roman"/>
          <w:sz w:val="24"/>
          <w:szCs w:val="24"/>
        </w:rPr>
        <w:t xml:space="preserve">. </w:t>
      </w:r>
      <w:r w:rsidR="009E5195" w:rsidRPr="000D14EA">
        <w:rPr>
          <w:rFonts w:ascii="Times New Roman" w:hAnsi="Times New Roman" w:cs="Times New Roman"/>
          <w:sz w:val="24"/>
          <w:szCs w:val="24"/>
        </w:rPr>
        <w:t>Presence and absence of eight key responder-enriched functional features across 11 signature species.</w:t>
      </w:r>
    </w:p>
    <w:tbl>
      <w:tblPr>
        <w:tblW w:w="9026" w:type="dxa"/>
        <w:tblLook w:val="04A0" w:firstRow="1" w:lastRow="0" w:firstColumn="1" w:lastColumn="0" w:noHBand="0" w:noVBand="1"/>
      </w:tblPr>
      <w:tblGrid>
        <w:gridCol w:w="1060"/>
        <w:gridCol w:w="1983"/>
        <w:gridCol w:w="645"/>
        <w:gridCol w:w="645"/>
        <w:gridCol w:w="846"/>
        <w:gridCol w:w="566"/>
        <w:gridCol w:w="582"/>
        <w:gridCol w:w="582"/>
        <w:gridCol w:w="1127"/>
        <w:gridCol w:w="1002"/>
      </w:tblGrid>
      <w:tr w:rsidR="004F7E77" w:rsidRPr="005A0005" w14:paraId="72FBEFBF" w14:textId="77777777" w:rsidTr="00F25715">
        <w:trPr>
          <w:trHeight w:val="660"/>
        </w:trPr>
        <w:tc>
          <w:tcPr>
            <w:tcW w:w="1060" w:type="dxa"/>
            <w:tcBorders>
              <w:top w:val="single" w:sz="4" w:space="0" w:color="auto"/>
              <w:left w:val="nil"/>
              <w:bottom w:val="nil"/>
              <w:right w:val="nil"/>
            </w:tcBorders>
            <w:noWrap/>
            <w:vAlign w:val="bottom"/>
            <w:hideMark/>
          </w:tcPr>
          <w:p w14:paraId="4CCFF614" w14:textId="77777777" w:rsidR="004F7E77" w:rsidRPr="005A0005" w:rsidRDefault="004F7E77" w:rsidP="000D14EA">
            <w:pPr>
              <w:spacing w:after="0" w:line="240" w:lineRule="auto"/>
              <w:jc w:val="both"/>
              <w:rPr>
                <w:rFonts w:ascii="Arial" w:eastAsia="Times New Roman" w:hAnsi="Arial" w:cs="Arial"/>
                <w:color w:val="000000"/>
                <w:kern w:val="0"/>
                <w:sz w:val="14"/>
                <w:szCs w:val="14"/>
                <w14:ligatures w14:val="none"/>
              </w:rPr>
            </w:pPr>
            <w:r w:rsidRPr="005A0005">
              <w:rPr>
                <w:rFonts w:ascii="Arial" w:eastAsia="Times New Roman" w:hAnsi="Arial" w:cs="Arial"/>
                <w:color w:val="000000"/>
                <w:kern w:val="0"/>
                <w:sz w:val="14"/>
                <w:szCs w:val="14"/>
                <w14:ligatures w14:val="none"/>
              </w:rPr>
              <w:t> </w:t>
            </w:r>
          </w:p>
        </w:tc>
        <w:tc>
          <w:tcPr>
            <w:tcW w:w="1980" w:type="dxa"/>
            <w:tcBorders>
              <w:top w:val="single" w:sz="4" w:space="0" w:color="auto"/>
              <w:left w:val="nil"/>
              <w:bottom w:val="nil"/>
              <w:right w:val="nil"/>
            </w:tcBorders>
            <w:noWrap/>
            <w:vAlign w:val="bottom"/>
            <w:hideMark/>
          </w:tcPr>
          <w:p w14:paraId="612040EB" w14:textId="77777777" w:rsidR="004F7E77" w:rsidRPr="005A0005" w:rsidRDefault="004F7E77" w:rsidP="000D14EA">
            <w:pPr>
              <w:spacing w:after="0" w:line="240" w:lineRule="auto"/>
              <w:jc w:val="both"/>
              <w:rPr>
                <w:rFonts w:ascii="Arial" w:eastAsia="Times New Roman" w:hAnsi="Arial" w:cs="Arial"/>
                <w:color w:val="000000"/>
                <w:kern w:val="0"/>
                <w:sz w:val="14"/>
                <w:szCs w:val="14"/>
                <w14:ligatures w14:val="none"/>
              </w:rPr>
            </w:pPr>
            <w:r w:rsidRPr="005A0005">
              <w:rPr>
                <w:rFonts w:ascii="Arial" w:eastAsia="Times New Roman" w:hAnsi="Arial" w:cs="Arial"/>
                <w:color w:val="000000"/>
                <w:kern w:val="0"/>
                <w:sz w:val="14"/>
                <w:szCs w:val="14"/>
                <w14:ligatures w14:val="none"/>
              </w:rPr>
              <w:t> </w:t>
            </w:r>
          </w:p>
        </w:tc>
        <w:tc>
          <w:tcPr>
            <w:tcW w:w="5986" w:type="dxa"/>
            <w:gridSpan w:val="8"/>
            <w:tcBorders>
              <w:top w:val="single" w:sz="4" w:space="0" w:color="auto"/>
              <w:left w:val="nil"/>
              <w:bottom w:val="nil"/>
              <w:right w:val="nil"/>
            </w:tcBorders>
            <w:vAlign w:val="center"/>
            <w:hideMark/>
          </w:tcPr>
          <w:p w14:paraId="2D67678A" w14:textId="77777777" w:rsidR="004F7E77" w:rsidRPr="005A0005" w:rsidRDefault="004F7E77" w:rsidP="000D14EA">
            <w:pPr>
              <w:spacing w:after="0" w:line="240" w:lineRule="auto"/>
              <w:jc w:val="both"/>
              <w:rPr>
                <w:rFonts w:ascii="Arial" w:eastAsia="Times New Roman" w:hAnsi="Arial" w:cs="Arial"/>
                <w:color w:val="000000"/>
                <w:kern w:val="0"/>
                <w:sz w:val="14"/>
                <w:szCs w:val="14"/>
                <w14:ligatures w14:val="none"/>
              </w:rPr>
            </w:pPr>
            <w:r w:rsidRPr="005A0005">
              <w:rPr>
                <w:rFonts w:ascii="Arial" w:eastAsia="Times New Roman" w:hAnsi="Arial" w:cs="Arial"/>
                <w:color w:val="000000"/>
                <w:kern w:val="0"/>
                <w:sz w:val="14"/>
                <w:szCs w:val="14"/>
                <w14:ligatures w14:val="none"/>
              </w:rPr>
              <w:t>Identified differentially abundant functional features</w:t>
            </w:r>
            <w:r w:rsidRPr="005A0005">
              <w:rPr>
                <w:rFonts w:ascii="Arial" w:eastAsia="Times New Roman" w:hAnsi="Arial" w:cs="Arial"/>
                <w:color w:val="000000"/>
                <w:kern w:val="0"/>
                <w:sz w:val="14"/>
                <w:szCs w:val="14"/>
                <w14:ligatures w14:val="none"/>
              </w:rPr>
              <w:br/>
              <w:t>(all enriched in R)</w:t>
            </w:r>
          </w:p>
        </w:tc>
      </w:tr>
      <w:tr w:rsidR="004F7E77" w:rsidRPr="005A0005" w14:paraId="4384402C" w14:textId="77777777" w:rsidTr="00F25715">
        <w:trPr>
          <w:trHeight w:val="804"/>
        </w:trPr>
        <w:tc>
          <w:tcPr>
            <w:tcW w:w="1060" w:type="dxa"/>
            <w:tcBorders>
              <w:top w:val="single" w:sz="4" w:space="0" w:color="auto"/>
              <w:left w:val="nil"/>
              <w:bottom w:val="single" w:sz="4" w:space="0" w:color="auto"/>
              <w:right w:val="nil"/>
            </w:tcBorders>
            <w:noWrap/>
            <w:vAlign w:val="bottom"/>
            <w:hideMark/>
          </w:tcPr>
          <w:p w14:paraId="462971B1" w14:textId="77777777" w:rsidR="004F7E77" w:rsidRPr="005A0005" w:rsidRDefault="004F7E77" w:rsidP="000D14EA">
            <w:pPr>
              <w:spacing w:after="0" w:line="240" w:lineRule="auto"/>
              <w:jc w:val="both"/>
              <w:rPr>
                <w:rFonts w:ascii="Arial" w:eastAsia="Times New Roman" w:hAnsi="Arial" w:cs="Arial"/>
                <w:color w:val="000000"/>
                <w:kern w:val="0"/>
                <w:sz w:val="14"/>
                <w:szCs w:val="14"/>
                <w14:ligatures w14:val="none"/>
              </w:rPr>
            </w:pPr>
            <w:r w:rsidRPr="005A0005">
              <w:rPr>
                <w:rFonts w:ascii="Arial" w:eastAsia="Times New Roman" w:hAnsi="Arial" w:cs="Arial"/>
                <w:color w:val="000000"/>
                <w:kern w:val="0"/>
                <w:sz w:val="14"/>
                <w:szCs w:val="14"/>
                <w14:ligatures w14:val="none"/>
              </w:rPr>
              <w:t> </w:t>
            </w:r>
          </w:p>
        </w:tc>
        <w:tc>
          <w:tcPr>
            <w:tcW w:w="1980" w:type="dxa"/>
            <w:tcBorders>
              <w:top w:val="single" w:sz="4" w:space="0" w:color="auto"/>
              <w:left w:val="nil"/>
              <w:bottom w:val="single" w:sz="4" w:space="0" w:color="auto"/>
              <w:right w:val="nil"/>
            </w:tcBorders>
            <w:noWrap/>
            <w:vAlign w:val="center"/>
            <w:hideMark/>
          </w:tcPr>
          <w:p w14:paraId="3EFB5E28" w14:textId="77777777" w:rsidR="004F7E77" w:rsidRPr="005A0005" w:rsidRDefault="004F7E77" w:rsidP="000D14EA">
            <w:pPr>
              <w:spacing w:after="0" w:line="240" w:lineRule="auto"/>
              <w:jc w:val="both"/>
              <w:rPr>
                <w:rFonts w:ascii="Arial" w:eastAsia="Times New Roman" w:hAnsi="Arial" w:cs="Arial"/>
                <w:color w:val="000000"/>
                <w:kern w:val="0"/>
                <w:sz w:val="14"/>
                <w:szCs w:val="14"/>
                <w14:ligatures w14:val="none"/>
              </w:rPr>
            </w:pPr>
            <w:r w:rsidRPr="005A0005">
              <w:rPr>
                <w:rFonts w:ascii="Arial" w:eastAsia="Times New Roman" w:hAnsi="Arial" w:cs="Arial"/>
                <w:color w:val="000000"/>
                <w:kern w:val="0"/>
                <w:sz w:val="14"/>
                <w:szCs w:val="14"/>
                <w14:ligatures w14:val="none"/>
              </w:rPr>
              <w:t>Identified significant species</w:t>
            </w:r>
          </w:p>
        </w:tc>
        <w:tc>
          <w:tcPr>
            <w:tcW w:w="644" w:type="dxa"/>
            <w:tcBorders>
              <w:top w:val="single" w:sz="4" w:space="0" w:color="auto"/>
              <w:left w:val="nil"/>
              <w:bottom w:val="single" w:sz="4" w:space="0" w:color="auto"/>
              <w:right w:val="nil"/>
            </w:tcBorders>
            <w:vAlign w:val="center"/>
            <w:hideMark/>
          </w:tcPr>
          <w:p w14:paraId="4C57E99D" w14:textId="77777777" w:rsidR="004F7E77" w:rsidRPr="005A0005" w:rsidRDefault="004F7E77" w:rsidP="000D14EA">
            <w:pPr>
              <w:spacing w:after="0" w:line="240" w:lineRule="auto"/>
              <w:jc w:val="both"/>
              <w:rPr>
                <w:rFonts w:ascii="Arial" w:eastAsia="Times New Roman" w:hAnsi="Arial" w:cs="Arial"/>
                <w:color w:val="000000"/>
                <w:kern w:val="0"/>
                <w:sz w:val="14"/>
                <w:szCs w:val="14"/>
                <w14:ligatures w14:val="none"/>
              </w:rPr>
            </w:pPr>
            <w:r w:rsidRPr="005A0005">
              <w:rPr>
                <w:rFonts w:ascii="Arial" w:eastAsia="Times New Roman" w:hAnsi="Arial" w:cs="Arial"/>
                <w:color w:val="000000"/>
                <w:kern w:val="0"/>
                <w:sz w:val="14"/>
                <w:szCs w:val="14"/>
                <w14:ligatures w14:val="none"/>
              </w:rPr>
              <w:t>EC 2.7.7.7</w:t>
            </w:r>
          </w:p>
        </w:tc>
        <w:tc>
          <w:tcPr>
            <w:tcW w:w="644" w:type="dxa"/>
            <w:tcBorders>
              <w:top w:val="single" w:sz="4" w:space="0" w:color="auto"/>
              <w:left w:val="nil"/>
              <w:bottom w:val="single" w:sz="4" w:space="0" w:color="auto"/>
              <w:right w:val="nil"/>
            </w:tcBorders>
            <w:vAlign w:val="center"/>
            <w:hideMark/>
          </w:tcPr>
          <w:p w14:paraId="63AA1801" w14:textId="77777777" w:rsidR="004F7E77" w:rsidRPr="005A0005" w:rsidRDefault="004F7E77" w:rsidP="000D14EA">
            <w:pPr>
              <w:spacing w:after="0" w:line="240" w:lineRule="auto"/>
              <w:jc w:val="both"/>
              <w:rPr>
                <w:rFonts w:ascii="Arial" w:eastAsia="Times New Roman" w:hAnsi="Arial" w:cs="Arial"/>
                <w:color w:val="000000"/>
                <w:kern w:val="0"/>
                <w:sz w:val="14"/>
                <w:szCs w:val="14"/>
                <w14:ligatures w14:val="none"/>
              </w:rPr>
            </w:pPr>
            <w:r w:rsidRPr="005A0005">
              <w:rPr>
                <w:rFonts w:ascii="Arial" w:eastAsia="Times New Roman" w:hAnsi="Arial" w:cs="Arial"/>
                <w:color w:val="000000"/>
                <w:kern w:val="0"/>
                <w:sz w:val="14"/>
                <w:szCs w:val="14"/>
                <w14:ligatures w14:val="none"/>
              </w:rPr>
              <w:t>EC 2.7.7.6</w:t>
            </w:r>
          </w:p>
        </w:tc>
        <w:tc>
          <w:tcPr>
            <w:tcW w:w="845" w:type="dxa"/>
            <w:tcBorders>
              <w:top w:val="single" w:sz="4" w:space="0" w:color="auto"/>
              <w:left w:val="nil"/>
              <w:bottom w:val="single" w:sz="4" w:space="0" w:color="auto"/>
              <w:right w:val="nil"/>
            </w:tcBorders>
            <w:vAlign w:val="center"/>
            <w:hideMark/>
          </w:tcPr>
          <w:p w14:paraId="0F67D4C1" w14:textId="77777777" w:rsidR="004F7E77" w:rsidRPr="005A0005" w:rsidRDefault="004F7E77" w:rsidP="000D14EA">
            <w:pPr>
              <w:spacing w:after="0" w:line="240" w:lineRule="auto"/>
              <w:jc w:val="both"/>
              <w:rPr>
                <w:rFonts w:ascii="Arial" w:eastAsia="Times New Roman" w:hAnsi="Arial" w:cs="Arial"/>
                <w:color w:val="000000"/>
                <w:kern w:val="0"/>
                <w:sz w:val="14"/>
                <w:szCs w:val="14"/>
                <w14:ligatures w14:val="none"/>
              </w:rPr>
            </w:pPr>
            <w:r w:rsidRPr="005A0005">
              <w:rPr>
                <w:rFonts w:ascii="Arial" w:eastAsia="Times New Roman" w:hAnsi="Arial" w:cs="Arial"/>
                <w:color w:val="000000"/>
                <w:kern w:val="0"/>
                <w:sz w:val="14"/>
                <w:szCs w:val="14"/>
                <w14:ligatures w14:val="none"/>
              </w:rPr>
              <w:t>THIORED</w:t>
            </w:r>
            <w:r w:rsidRPr="005A0005">
              <w:rPr>
                <w:rFonts w:ascii="Arial" w:eastAsia="Times New Roman" w:hAnsi="Arial" w:cs="Arial"/>
                <w:color w:val="000000"/>
                <w:kern w:val="0"/>
                <w:sz w:val="14"/>
                <w:szCs w:val="14"/>
                <w14:ligatures w14:val="none"/>
              </w:rPr>
              <w:br/>
              <w:t>OX -PWY</w:t>
            </w:r>
          </w:p>
        </w:tc>
        <w:tc>
          <w:tcPr>
            <w:tcW w:w="565" w:type="dxa"/>
            <w:tcBorders>
              <w:top w:val="single" w:sz="4" w:space="0" w:color="auto"/>
              <w:left w:val="nil"/>
              <w:bottom w:val="single" w:sz="4" w:space="0" w:color="auto"/>
              <w:right w:val="nil"/>
            </w:tcBorders>
            <w:vAlign w:val="center"/>
            <w:hideMark/>
          </w:tcPr>
          <w:p w14:paraId="1D59A34B" w14:textId="77777777" w:rsidR="004F7E77" w:rsidRPr="005A0005" w:rsidRDefault="004F7E77" w:rsidP="000D14EA">
            <w:pPr>
              <w:spacing w:after="0" w:line="240" w:lineRule="auto"/>
              <w:jc w:val="both"/>
              <w:rPr>
                <w:rFonts w:ascii="Arial" w:eastAsia="Times New Roman" w:hAnsi="Arial" w:cs="Arial"/>
                <w:color w:val="000000"/>
                <w:kern w:val="0"/>
                <w:sz w:val="14"/>
                <w:szCs w:val="14"/>
                <w14:ligatures w14:val="none"/>
              </w:rPr>
            </w:pPr>
            <w:r w:rsidRPr="005A0005">
              <w:rPr>
                <w:rFonts w:ascii="Arial" w:eastAsia="Times New Roman" w:hAnsi="Arial" w:cs="Arial"/>
                <w:color w:val="000000"/>
                <w:kern w:val="0"/>
                <w:sz w:val="14"/>
                <w:szCs w:val="14"/>
                <w14:ligatures w14:val="none"/>
              </w:rPr>
              <w:t>SAM-PWY</w:t>
            </w:r>
          </w:p>
        </w:tc>
        <w:tc>
          <w:tcPr>
            <w:tcW w:w="581" w:type="dxa"/>
            <w:tcBorders>
              <w:top w:val="single" w:sz="4" w:space="0" w:color="auto"/>
              <w:left w:val="nil"/>
              <w:bottom w:val="single" w:sz="4" w:space="0" w:color="auto"/>
              <w:right w:val="nil"/>
            </w:tcBorders>
            <w:vAlign w:val="center"/>
            <w:hideMark/>
          </w:tcPr>
          <w:p w14:paraId="12DA2A0C" w14:textId="77777777" w:rsidR="004F7E77" w:rsidRPr="005A0005" w:rsidRDefault="004F7E77" w:rsidP="000D14EA">
            <w:pPr>
              <w:spacing w:after="0" w:line="240" w:lineRule="auto"/>
              <w:jc w:val="both"/>
              <w:rPr>
                <w:rFonts w:ascii="Arial" w:eastAsia="Times New Roman" w:hAnsi="Arial" w:cs="Arial"/>
                <w:color w:val="000000"/>
                <w:kern w:val="0"/>
                <w:sz w:val="14"/>
                <w:szCs w:val="14"/>
                <w14:ligatures w14:val="none"/>
              </w:rPr>
            </w:pPr>
            <w:r w:rsidRPr="005A0005">
              <w:rPr>
                <w:rFonts w:ascii="Arial" w:eastAsia="Times New Roman" w:hAnsi="Arial" w:cs="Arial"/>
                <w:color w:val="000000"/>
                <w:kern w:val="0"/>
                <w:sz w:val="14"/>
                <w:szCs w:val="14"/>
                <w14:ligatures w14:val="none"/>
              </w:rPr>
              <w:t>PWY-5686</w:t>
            </w:r>
          </w:p>
        </w:tc>
        <w:tc>
          <w:tcPr>
            <w:tcW w:w="581" w:type="dxa"/>
            <w:tcBorders>
              <w:top w:val="single" w:sz="4" w:space="0" w:color="auto"/>
              <w:left w:val="nil"/>
              <w:bottom w:val="single" w:sz="4" w:space="0" w:color="auto"/>
              <w:right w:val="nil"/>
            </w:tcBorders>
            <w:vAlign w:val="center"/>
            <w:hideMark/>
          </w:tcPr>
          <w:p w14:paraId="568BD1DE" w14:textId="77777777" w:rsidR="004F7E77" w:rsidRPr="005A0005" w:rsidRDefault="004F7E77" w:rsidP="000D14EA">
            <w:pPr>
              <w:spacing w:after="0" w:line="240" w:lineRule="auto"/>
              <w:jc w:val="both"/>
              <w:rPr>
                <w:rFonts w:ascii="Arial" w:eastAsia="Times New Roman" w:hAnsi="Arial" w:cs="Arial"/>
                <w:color w:val="000000"/>
                <w:kern w:val="0"/>
                <w:sz w:val="14"/>
                <w:szCs w:val="14"/>
                <w14:ligatures w14:val="none"/>
              </w:rPr>
            </w:pPr>
            <w:r w:rsidRPr="005A0005">
              <w:rPr>
                <w:rFonts w:ascii="Arial" w:eastAsia="Times New Roman" w:hAnsi="Arial" w:cs="Arial"/>
                <w:color w:val="000000"/>
                <w:kern w:val="0"/>
                <w:sz w:val="14"/>
                <w:szCs w:val="14"/>
                <w14:ligatures w14:val="none"/>
              </w:rPr>
              <w:t>PWY-5344</w:t>
            </w:r>
          </w:p>
        </w:tc>
        <w:tc>
          <w:tcPr>
            <w:tcW w:w="1125" w:type="dxa"/>
            <w:tcBorders>
              <w:top w:val="single" w:sz="4" w:space="0" w:color="auto"/>
              <w:left w:val="nil"/>
              <w:bottom w:val="single" w:sz="4" w:space="0" w:color="auto"/>
              <w:right w:val="nil"/>
            </w:tcBorders>
            <w:vAlign w:val="center"/>
            <w:hideMark/>
          </w:tcPr>
          <w:p w14:paraId="4CFF24BD" w14:textId="77777777" w:rsidR="004F7E77" w:rsidRPr="005A0005" w:rsidRDefault="004F7E77" w:rsidP="000D14EA">
            <w:pPr>
              <w:spacing w:after="0" w:line="240" w:lineRule="auto"/>
              <w:jc w:val="both"/>
              <w:rPr>
                <w:rFonts w:ascii="Arial" w:eastAsia="Times New Roman" w:hAnsi="Arial" w:cs="Arial"/>
                <w:color w:val="000000"/>
                <w:kern w:val="0"/>
                <w:sz w:val="14"/>
                <w:szCs w:val="14"/>
                <w14:ligatures w14:val="none"/>
              </w:rPr>
            </w:pPr>
            <w:r w:rsidRPr="005A0005">
              <w:rPr>
                <w:rFonts w:ascii="Arial" w:eastAsia="Times New Roman" w:hAnsi="Arial" w:cs="Arial"/>
                <w:color w:val="000000"/>
                <w:kern w:val="0"/>
                <w:sz w:val="14"/>
                <w:szCs w:val="14"/>
                <w14:ligatures w14:val="none"/>
              </w:rPr>
              <w:t>PEPTIDO</w:t>
            </w:r>
            <w:r w:rsidRPr="005A0005">
              <w:rPr>
                <w:rFonts w:ascii="Arial" w:eastAsia="Times New Roman" w:hAnsi="Arial" w:cs="Arial"/>
                <w:color w:val="000000"/>
                <w:kern w:val="0"/>
                <w:sz w:val="14"/>
                <w:szCs w:val="14"/>
                <w14:ligatures w14:val="none"/>
              </w:rPr>
              <w:br/>
              <w:t>GLYCANSYN-PWY</w:t>
            </w:r>
          </w:p>
        </w:tc>
        <w:tc>
          <w:tcPr>
            <w:tcW w:w="1001" w:type="dxa"/>
            <w:tcBorders>
              <w:top w:val="single" w:sz="4" w:space="0" w:color="auto"/>
              <w:left w:val="nil"/>
              <w:bottom w:val="single" w:sz="4" w:space="0" w:color="auto"/>
              <w:right w:val="nil"/>
            </w:tcBorders>
            <w:vAlign w:val="center"/>
            <w:hideMark/>
          </w:tcPr>
          <w:p w14:paraId="7331407F" w14:textId="77777777" w:rsidR="004F7E77" w:rsidRPr="005A0005" w:rsidRDefault="004F7E77" w:rsidP="000D14EA">
            <w:pPr>
              <w:spacing w:after="0" w:line="240" w:lineRule="auto"/>
              <w:jc w:val="both"/>
              <w:rPr>
                <w:rFonts w:ascii="Arial" w:eastAsia="Times New Roman" w:hAnsi="Arial" w:cs="Arial"/>
                <w:color w:val="000000"/>
                <w:kern w:val="0"/>
                <w:sz w:val="14"/>
                <w:szCs w:val="14"/>
                <w14:ligatures w14:val="none"/>
              </w:rPr>
            </w:pPr>
            <w:r w:rsidRPr="005A0005">
              <w:rPr>
                <w:rFonts w:ascii="Arial" w:eastAsia="Times New Roman" w:hAnsi="Arial" w:cs="Arial"/>
                <w:color w:val="000000"/>
                <w:kern w:val="0"/>
                <w:sz w:val="14"/>
                <w:szCs w:val="14"/>
                <w14:ligatures w14:val="none"/>
              </w:rPr>
              <w:t>Aromatic Compound Biosynthesis</w:t>
            </w:r>
          </w:p>
        </w:tc>
      </w:tr>
      <w:tr w:rsidR="004F7E77" w:rsidRPr="005A0005" w14:paraId="1641CE19" w14:textId="77777777" w:rsidTr="00F25715">
        <w:trPr>
          <w:trHeight w:val="441"/>
        </w:trPr>
        <w:tc>
          <w:tcPr>
            <w:tcW w:w="1060" w:type="dxa"/>
            <w:vMerge w:val="restart"/>
            <w:tcBorders>
              <w:top w:val="nil"/>
              <w:left w:val="nil"/>
              <w:bottom w:val="nil"/>
              <w:right w:val="nil"/>
            </w:tcBorders>
            <w:vAlign w:val="center"/>
            <w:hideMark/>
          </w:tcPr>
          <w:p w14:paraId="439EB186" w14:textId="77777777" w:rsidR="004F7E77" w:rsidRPr="005A0005" w:rsidRDefault="004F7E77" w:rsidP="000D14EA">
            <w:pPr>
              <w:spacing w:after="0" w:line="240" w:lineRule="auto"/>
              <w:jc w:val="both"/>
              <w:rPr>
                <w:rFonts w:ascii="Arial" w:eastAsia="Times New Roman" w:hAnsi="Arial" w:cs="Arial"/>
                <w:color w:val="000000"/>
                <w:kern w:val="0"/>
                <w:sz w:val="14"/>
                <w:szCs w:val="14"/>
                <w14:ligatures w14:val="none"/>
              </w:rPr>
            </w:pPr>
            <w:r w:rsidRPr="005A0005">
              <w:rPr>
                <w:rFonts w:ascii="Arial" w:eastAsia="Times New Roman" w:hAnsi="Arial" w:cs="Arial"/>
                <w:color w:val="000000"/>
                <w:kern w:val="0"/>
                <w:sz w:val="14"/>
                <w:szCs w:val="14"/>
                <w14:ligatures w14:val="none"/>
              </w:rPr>
              <w:t>Enriched in</w:t>
            </w:r>
            <w:r w:rsidRPr="005A0005">
              <w:rPr>
                <w:rFonts w:ascii="Arial" w:eastAsia="Times New Roman" w:hAnsi="Arial" w:cs="Arial"/>
                <w:color w:val="000000"/>
                <w:kern w:val="0"/>
                <w:sz w:val="14"/>
                <w:szCs w:val="14"/>
                <w14:ligatures w14:val="none"/>
              </w:rPr>
              <w:br/>
              <w:t>NR</w:t>
            </w:r>
          </w:p>
        </w:tc>
        <w:tc>
          <w:tcPr>
            <w:tcW w:w="1980" w:type="dxa"/>
            <w:tcBorders>
              <w:top w:val="nil"/>
              <w:left w:val="nil"/>
              <w:bottom w:val="single" w:sz="4" w:space="0" w:color="auto"/>
              <w:right w:val="nil"/>
            </w:tcBorders>
            <w:noWrap/>
            <w:vAlign w:val="bottom"/>
            <w:hideMark/>
          </w:tcPr>
          <w:p w14:paraId="3A0D3DD8" w14:textId="77777777" w:rsidR="004F7E77" w:rsidRPr="005A0005" w:rsidRDefault="004F7E77" w:rsidP="000D14EA">
            <w:pPr>
              <w:spacing w:after="0" w:line="240" w:lineRule="auto"/>
              <w:jc w:val="both"/>
              <w:rPr>
                <w:rFonts w:ascii="Arial" w:eastAsia="Times New Roman" w:hAnsi="Arial" w:cs="Arial"/>
                <w:i/>
                <w:iCs/>
                <w:color w:val="000000"/>
                <w:kern w:val="0"/>
                <w:sz w:val="14"/>
                <w:szCs w:val="14"/>
                <w14:ligatures w14:val="none"/>
              </w:rPr>
            </w:pPr>
            <w:proofErr w:type="spellStart"/>
            <w:r w:rsidRPr="005A0005">
              <w:rPr>
                <w:rFonts w:ascii="Arial" w:eastAsia="Times New Roman" w:hAnsi="Arial" w:cs="Arial"/>
                <w:i/>
                <w:iCs/>
                <w:color w:val="000000"/>
                <w:kern w:val="0"/>
                <w:sz w:val="14"/>
                <w:szCs w:val="14"/>
                <w14:ligatures w14:val="none"/>
              </w:rPr>
              <w:t>Faecalicatena</w:t>
            </w:r>
            <w:proofErr w:type="spellEnd"/>
            <w:r w:rsidRPr="005A0005">
              <w:rPr>
                <w:rFonts w:ascii="Arial" w:eastAsia="Times New Roman" w:hAnsi="Arial" w:cs="Arial"/>
                <w:i/>
                <w:iCs/>
                <w:color w:val="000000"/>
                <w:kern w:val="0"/>
                <w:sz w:val="14"/>
                <w:szCs w:val="14"/>
                <w14:ligatures w14:val="none"/>
              </w:rPr>
              <w:t xml:space="preserve"> </w:t>
            </w:r>
            <w:proofErr w:type="spellStart"/>
            <w:r w:rsidRPr="005A0005">
              <w:rPr>
                <w:rFonts w:ascii="Arial" w:eastAsia="Times New Roman" w:hAnsi="Arial" w:cs="Arial"/>
                <w:i/>
                <w:iCs/>
                <w:color w:val="000000"/>
                <w:kern w:val="0"/>
                <w:sz w:val="14"/>
                <w:szCs w:val="14"/>
                <w14:ligatures w14:val="none"/>
              </w:rPr>
              <w:t>gnavus</w:t>
            </w:r>
            <w:proofErr w:type="spellEnd"/>
          </w:p>
        </w:tc>
        <w:tc>
          <w:tcPr>
            <w:tcW w:w="644" w:type="dxa"/>
            <w:tcBorders>
              <w:top w:val="nil"/>
              <w:left w:val="nil"/>
              <w:bottom w:val="single" w:sz="4" w:space="0" w:color="auto"/>
              <w:right w:val="nil"/>
            </w:tcBorders>
            <w:noWrap/>
            <w:vAlign w:val="center"/>
            <w:hideMark/>
          </w:tcPr>
          <w:p w14:paraId="290A4AFB"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644" w:type="dxa"/>
            <w:tcBorders>
              <w:top w:val="nil"/>
              <w:left w:val="nil"/>
              <w:bottom w:val="single" w:sz="4" w:space="0" w:color="auto"/>
              <w:right w:val="nil"/>
            </w:tcBorders>
            <w:noWrap/>
            <w:vAlign w:val="center"/>
            <w:hideMark/>
          </w:tcPr>
          <w:p w14:paraId="0AEB4BEA"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845" w:type="dxa"/>
            <w:tcBorders>
              <w:top w:val="nil"/>
              <w:left w:val="nil"/>
              <w:bottom w:val="single" w:sz="4" w:space="0" w:color="auto"/>
              <w:right w:val="nil"/>
            </w:tcBorders>
            <w:noWrap/>
            <w:vAlign w:val="center"/>
            <w:hideMark/>
          </w:tcPr>
          <w:p w14:paraId="7FCC037B"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565" w:type="dxa"/>
            <w:tcBorders>
              <w:top w:val="nil"/>
              <w:left w:val="nil"/>
              <w:bottom w:val="single" w:sz="4" w:space="0" w:color="auto"/>
              <w:right w:val="nil"/>
            </w:tcBorders>
            <w:noWrap/>
            <w:vAlign w:val="center"/>
            <w:hideMark/>
          </w:tcPr>
          <w:p w14:paraId="50AE7DB8"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581" w:type="dxa"/>
            <w:tcBorders>
              <w:top w:val="nil"/>
              <w:left w:val="nil"/>
              <w:bottom w:val="single" w:sz="4" w:space="0" w:color="auto"/>
              <w:right w:val="nil"/>
            </w:tcBorders>
            <w:noWrap/>
            <w:vAlign w:val="center"/>
            <w:hideMark/>
          </w:tcPr>
          <w:p w14:paraId="5119D562"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581" w:type="dxa"/>
            <w:tcBorders>
              <w:top w:val="nil"/>
              <w:left w:val="nil"/>
              <w:bottom w:val="single" w:sz="4" w:space="0" w:color="auto"/>
              <w:right w:val="nil"/>
            </w:tcBorders>
            <w:noWrap/>
            <w:vAlign w:val="center"/>
            <w:hideMark/>
          </w:tcPr>
          <w:p w14:paraId="671BECC3"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1125" w:type="dxa"/>
            <w:tcBorders>
              <w:top w:val="nil"/>
              <w:left w:val="nil"/>
              <w:bottom w:val="single" w:sz="4" w:space="0" w:color="auto"/>
              <w:right w:val="nil"/>
            </w:tcBorders>
            <w:noWrap/>
            <w:vAlign w:val="center"/>
            <w:hideMark/>
          </w:tcPr>
          <w:p w14:paraId="3556DEB7"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1001" w:type="dxa"/>
            <w:tcBorders>
              <w:top w:val="nil"/>
              <w:left w:val="nil"/>
              <w:bottom w:val="single" w:sz="4" w:space="0" w:color="auto"/>
              <w:right w:val="nil"/>
            </w:tcBorders>
            <w:noWrap/>
            <w:vAlign w:val="center"/>
            <w:hideMark/>
          </w:tcPr>
          <w:p w14:paraId="60AADF35"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r>
      <w:tr w:rsidR="004F7E77" w:rsidRPr="005A0005" w14:paraId="7174CA9D" w14:textId="77777777" w:rsidTr="00F25715">
        <w:trPr>
          <w:trHeight w:val="441"/>
        </w:trPr>
        <w:tc>
          <w:tcPr>
            <w:tcW w:w="1060" w:type="dxa"/>
            <w:vMerge/>
            <w:tcBorders>
              <w:top w:val="nil"/>
              <w:left w:val="nil"/>
              <w:bottom w:val="nil"/>
              <w:right w:val="nil"/>
            </w:tcBorders>
            <w:vAlign w:val="center"/>
            <w:hideMark/>
          </w:tcPr>
          <w:p w14:paraId="758C4063" w14:textId="77777777" w:rsidR="004F7E77" w:rsidRPr="005A0005" w:rsidRDefault="004F7E77" w:rsidP="000D14EA">
            <w:pPr>
              <w:spacing w:after="0" w:line="240" w:lineRule="auto"/>
              <w:jc w:val="both"/>
              <w:rPr>
                <w:rFonts w:ascii="Arial" w:eastAsia="Times New Roman" w:hAnsi="Arial" w:cs="Arial"/>
                <w:color w:val="000000"/>
                <w:kern w:val="0"/>
                <w:sz w:val="14"/>
                <w:szCs w:val="14"/>
                <w14:ligatures w14:val="none"/>
              </w:rPr>
            </w:pPr>
          </w:p>
        </w:tc>
        <w:tc>
          <w:tcPr>
            <w:tcW w:w="1980" w:type="dxa"/>
            <w:tcBorders>
              <w:top w:val="nil"/>
              <w:left w:val="nil"/>
              <w:bottom w:val="single" w:sz="4" w:space="0" w:color="auto"/>
              <w:right w:val="nil"/>
            </w:tcBorders>
            <w:noWrap/>
            <w:vAlign w:val="bottom"/>
            <w:hideMark/>
          </w:tcPr>
          <w:p w14:paraId="208F15B8" w14:textId="77777777" w:rsidR="004F7E77" w:rsidRPr="005A0005" w:rsidRDefault="004F7E77" w:rsidP="000D14EA">
            <w:pPr>
              <w:spacing w:after="0" w:line="240" w:lineRule="auto"/>
              <w:jc w:val="both"/>
              <w:rPr>
                <w:rFonts w:ascii="Arial" w:eastAsia="Times New Roman" w:hAnsi="Arial" w:cs="Arial"/>
                <w:i/>
                <w:iCs/>
                <w:color w:val="000000"/>
                <w:kern w:val="0"/>
                <w:sz w:val="14"/>
                <w:szCs w:val="14"/>
                <w14:ligatures w14:val="none"/>
              </w:rPr>
            </w:pPr>
            <w:proofErr w:type="spellStart"/>
            <w:r w:rsidRPr="005A0005">
              <w:rPr>
                <w:rFonts w:ascii="Arial" w:eastAsia="Times New Roman" w:hAnsi="Arial" w:cs="Arial"/>
                <w:i/>
                <w:iCs/>
                <w:color w:val="000000"/>
                <w:kern w:val="0"/>
                <w:sz w:val="14"/>
                <w:szCs w:val="14"/>
                <w14:ligatures w14:val="none"/>
              </w:rPr>
              <w:t>Enorma</w:t>
            </w:r>
            <w:proofErr w:type="spellEnd"/>
            <w:r w:rsidRPr="005A0005">
              <w:rPr>
                <w:rFonts w:ascii="Arial" w:eastAsia="Times New Roman" w:hAnsi="Arial" w:cs="Arial"/>
                <w:i/>
                <w:iCs/>
                <w:color w:val="000000"/>
                <w:kern w:val="0"/>
                <w:sz w:val="14"/>
                <w:szCs w:val="14"/>
                <w14:ligatures w14:val="none"/>
              </w:rPr>
              <w:t xml:space="preserve"> </w:t>
            </w:r>
            <w:proofErr w:type="spellStart"/>
            <w:r w:rsidRPr="005A0005">
              <w:rPr>
                <w:rFonts w:ascii="Arial" w:eastAsia="Times New Roman" w:hAnsi="Arial" w:cs="Arial"/>
                <w:i/>
                <w:iCs/>
                <w:color w:val="000000"/>
                <w:kern w:val="0"/>
                <w:sz w:val="14"/>
                <w:szCs w:val="14"/>
                <w14:ligatures w14:val="none"/>
              </w:rPr>
              <w:t>massiliensis</w:t>
            </w:r>
            <w:proofErr w:type="spellEnd"/>
          </w:p>
        </w:tc>
        <w:tc>
          <w:tcPr>
            <w:tcW w:w="644" w:type="dxa"/>
            <w:tcBorders>
              <w:top w:val="nil"/>
              <w:left w:val="nil"/>
              <w:bottom w:val="single" w:sz="4" w:space="0" w:color="auto"/>
              <w:right w:val="nil"/>
            </w:tcBorders>
            <w:noWrap/>
            <w:vAlign w:val="center"/>
            <w:hideMark/>
          </w:tcPr>
          <w:p w14:paraId="2C410225"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644" w:type="dxa"/>
            <w:tcBorders>
              <w:top w:val="nil"/>
              <w:left w:val="nil"/>
              <w:bottom w:val="single" w:sz="4" w:space="0" w:color="auto"/>
              <w:right w:val="nil"/>
            </w:tcBorders>
            <w:noWrap/>
            <w:vAlign w:val="center"/>
            <w:hideMark/>
          </w:tcPr>
          <w:p w14:paraId="54FC1829"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845" w:type="dxa"/>
            <w:tcBorders>
              <w:top w:val="nil"/>
              <w:left w:val="nil"/>
              <w:bottom w:val="single" w:sz="4" w:space="0" w:color="auto"/>
              <w:right w:val="nil"/>
            </w:tcBorders>
            <w:noWrap/>
            <w:vAlign w:val="center"/>
            <w:hideMark/>
          </w:tcPr>
          <w:p w14:paraId="6637CB1D"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565" w:type="dxa"/>
            <w:tcBorders>
              <w:top w:val="nil"/>
              <w:left w:val="nil"/>
              <w:bottom w:val="single" w:sz="4" w:space="0" w:color="auto"/>
              <w:right w:val="nil"/>
            </w:tcBorders>
            <w:noWrap/>
            <w:vAlign w:val="center"/>
            <w:hideMark/>
          </w:tcPr>
          <w:p w14:paraId="0577F8CC"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581" w:type="dxa"/>
            <w:tcBorders>
              <w:top w:val="nil"/>
              <w:left w:val="nil"/>
              <w:bottom w:val="single" w:sz="4" w:space="0" w:color="auto"/>
              <w:right w:val="nil"/>
            </w:tcBorders>
            <w:noWrap/>
            <w:vAlign w:val="center"/>
            <w:hideMark/>
          </w:tcPr>
          <w:p w14:paraId="669054BE"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581" w:type="dxa"/>
            <w:tcBorders>
              <w:top w:val="nil"/>
              <w:left w:val="nil"/>
              <w:bottom w:val="single" w:sz="4" w:space="0" w:color="auto"/>
              <w:right w:val="nil"/>
            </w:tcBorders>
            <w:noWrap/>
            <w:vAlign w:val="center"/>
            <w:hideMark/>
          </w:tcPr>
          <w:p w14:paraId="4A0FE46D"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Arial" w:eastAsia="Times New Roman" w:hAnsi="Arial" w:cs="Arial"/>
                <w:kern w:val="0"/>
                <w:sz w:val="14"/>
                <w:szCs w:val="14"/>
                <w14:ligatures w14:val="none"/>
              </w:rPr>
              <w:t>—</w:t>
            </w:r>
          </w:p>
        </w:tc>
        <w:tc>
          <w:tcPr>
            <w:tcW w:w="1125" w:type="dxa"/>
            <w:tcBorders>
              <w:top w:val="nil"/>
              <w:left w:val="nil"/>
              <w:bottom w:val="single" w:sz="4" w:space="0" w:color="auto"/>
              <w:right w:val="nil"/>
            </w:tcBorders>
            <w:noWrap/>
            <w:vAlign w:val="center"/>
            <w:hideMark/>
          </w:tcPr>
          <w:p w14:paraId="5EBAF68C"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1001" w:type="dxa"/>
            <w:tcBorders>
              <w:top w:val="nil"/>
              <w:left w:val="nil"/>
              <w:bottom w:val="single" w:sz="4" w:space="0" w:color="auto"/>
              <w:right w:val="nil"/>
            </w:tcBorders>
            <w:noWrap/>
            <w:vAlign w:val="center"/>
            <w:hideMark/>
          </w:tcPr>
          <w:p w14:paraId="4591479A"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r>
      <w:tr w:rsidR="004F7E77" w:rsidRPr="005A0005" w14:paraId="2B42FCEA" w14:textId="77777777" w:rsidTr="00F25715">
        <w:trPr>
          <w:trHeight w:val="441"/>
        </w:trPr>
        <w:tc>
          <w:tcPr>
            <w:tcW w:w="1060" w:type="dxa"/>
            <w:vMerge/>
            <w:tcBorders>
              <w:top w:val="nil"/>
              <w:left w:val="nil"/>
              <w:bottom w:val="nil"/>
              <w:right w:val="nil"/>
            </w:tcBorders>
            <w:vAlign w:val="center"/>
            <w:hideMark/>
          </w:tcPr>
          <w:p w14:paraId="288DE9EA" w14:textId="77777777" w:rsidR="004F7E77" w:rsidRPr="005A0005" w:rsidRDefault="004F7E77" w:rsidP="000D14EA">
            <w:pPr>
              <w:spacing w:after="0" w:line="240" w:lineRule="auto"/>
              <w:jc w:val="both"/>
              <w:rPr>
                <w:rFonts w:ascii="Arial" w:eastAsia="Times New Roman" w:hAnsi="Arial" w:cs="Arial"/>
                <w:color w:val="000000"/>
                <w:kern w:val="0"/>
                <w:sz w:val="14"/>
                <w:szCs w:val="14"/>
                <w14:ligatures w14:val="none"/>
              </w:rPr>
            </w:pPr>
          </w:p>
        </w:tc>
        <w:tc>
          <w:tcPr>
            <w:tcW w:w="1980" w:type="dxa"/>
            <w:tcBorders>
              <w:top w:val="nil"/>
              <w:left w:val="nil"/>
              <w:bottom w:val="single" w:sz="4" w:space="0" w:color="auto"/>
              <w:right w:val="nil"/>
            </w:tcBorders>
            <w:noWrap/>
            <w:vAlign w:val="bottom"/>
            <w:hideMark/>
          </w:tcPr>
          <w:p w14:paraId="675379AA" w14:textId="77777777" w:rsidR="004F7E77" w:rsidRPr="005A0005" w:rsidRDefault="004F7E77" w:rsidP="000D14EA">
            <w:pPr>
              <w:spacing w:after="0" w:line="240" w:lineRule="auto"/>
              <w:jc w:val="both"/>
              <w:rPr>
                <w:rFonts w:ascii="Arial" w:eastAsia="Times New Roman" w:hAnsi="Arial" w:cs="Arial"/>
                <w:i/>
                <w:iCs/>
                <w:color w:val="000000"/>
                <w:kern w:val="0"/>
                <w:sz w:val="14"/>
                <w:szCs w:val="14"/>
                <w14:ligatures w14:val="none"/>
              </w:rPr>
            </w:pPr>
            <w:proofErr w:type="spellStart"/>
            <w:r w:rsidRPr="005A0005">
              <w:rPr>
                <w:rFonts w:ascii="Arial" w:eastAsia="Times New Roman" w:hAnsi="Arial" w:cs="Arial"/>
                <w:i/>
                <w:iCs/>
                <w:color w:val="000000"/>
                <w:kern w:val="0"/>
                <w:sz w:val="14"/>
                <w:szCs w:val="14"/>
                <w14:ligatures w14:val="none"/>
              </w:rPr>
              <w:t>Blautia_A</w:t>
            </w:r>
            <w:proofErr w:type="spellEnd"/>
            <w:r w:rsidRPr="005A0005">
              <w:rPr>
                <w:rFonts w:ascii="Arial" w:eastAsia="Times New Roman" w:hAnsi="Arial" w:cs="Arial"/>
                <w:i/>
                <w:iCs/>
                <w:color w:val="000000"/>
                <w:kern w:val="0"/>
                <w:sz w:val="14"/>
                <w:szCs w:val="14"/>
                <w14:ligatures w14:val="none"/>
              </w:rPr>
              <w:t xml:space="preserve"> </w:t>
            </w:r>
            <w:r w:rsidRPr="005A0005">
              <w:rPr>
                <w:rFonts w:ascii="Arial" w:eastAsia="Times New Roman" w:hAnsi="Arial" w:cs="Arial"/>
                <w:color w:val="000000"/>
                <w:kern w:val="0"/>
                <w:sz w:val="14"/>
                <w:szCs w:val="14"/>
                <w14:ligatures w14:val="none"/>
              </w:rPr>
              <w:t>sp000433815</w:t>
            </w:r>
          </w:p>
        </w:tc>
        <w:tc>
          <w:tcPr>
            <w:tcW w:w="644" w:type="dxa"/>
            <w:tcBorders>
              <w:top w:val="nil"/>
              <w:left w:val="nil"/>
              <w:bottom w:val="single" w:sz="4" w:space="0" w:color="auto"/>
              <w:right w:val="nil"/>
            </w:tcBorders>
            <w:noWrap/>
            <w:vAlign w:val="center"/>
            <w:hideMark/>
          </w:tcPr>
          <w:p w14:paraId="086F6FCA"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644" w:type="dxa"/>
            <w:tcBorders>
              <w:top w:val="nil"/>
              <w:left w:val="nil"/>
              <w:bottom w:val="single" w:sz="4" w:space="0" w:color="auto"/>
              <w:right w:val="nil"/>
            </w:tcBorders>
            <w:noWrap/>
            <w:vAlign w:val="center"/>
            <w:hideMark/>
          </w:tcPr>
          <w:p w14:paraId="3620439E"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845" w:type="dxa"/>
            <w:tcBorders>
              <w:top w:val="nil"/>
              <w:left w:val="nil"/>
              <w:bottom w:val="single" w:sz="4" w:space="0" w:color="auto"/>
              <w:right w:val="nil"/>
            </w:tcBorders>
            <w:noWrap/>
            <w:vAlign w:val="center"/>
            <w:hideMark/>
          </w:tcPr>
          <w:p w14:paraId="0ECED6D3"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565" w:type="dxa"/>
            <w:tcBorders>
              <w:top w:val="nil"/>
              <w:left w:val="nil"/>
              <w:bottom w:val="single" w:sz="4" w:space="0" w:color="auto"/>
              <w:right w:val="nil"/>
            </w:tcBorders>
            <w:noWrap/>
            <w:vAlign w:val="center"/>
            <w:hideMark/>
          </w:tcPr>
          <w:p w14:paraId="301408A3"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581" w:type="dxa"/>
            <w:tcBorders>
              <w:top w:val="nil"/>
              <w:left w:val="nil"/>
              <w:bottom w:val="single" w:sz="4" w:space="0" w:color="auto"/>
              <w:right w:val="nil"/>
            </w:tcBorders>
            <w:noWrap/>
            <w:vAlign w:val="center"/>
            <w:hideMark/>
          </w:tcPr>
          <w:p w14:paraId="0B9C2099"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581" w:type="dxa"/>
            <w:tcBorders>
              <w:top w:val="nil"/>
              <w:left w:val="nil"/>
              <w:bottom w:val="single" w:sz="4" w:space="0" w:color="auto"/>
              <w:right w:val="nil"/>
            </w:tcBorders>
            <w:noWrap/>
            <w:vAlign w:val="center"/>
            <w:hideMark/>
          </w:tcPr>
          <w:p w14:paraId="7F9B36B7"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Arial" w:eastAsia="Times New Roman" w:hAnsi="Arial" w:cs="Arial"/>
                <w:kern w:val="0"/>
                <w:sz w:val="14"/>
                <w:szCs w:val="14"/>
                <w14:ligatures w14:val="none"/>
              </w:rPr>
              <w:t>—</w:t>
            </w:r>
          </w:p>
        </w:tc>
        <w:tc>
          <w:tcPr>
            <w:tcW w:w="1125" w:type="dxa"/>
            <w:tcBorders>
              <w:top w:val="nil"/>
              <w:left w:val="nil"/>
              <w:bottom w:val="single" w:sz="4" w:space="0" w:color="auto"/>
              <w:right w:val="nil"/>
            </w:tcBorders>
            <w:noWrap/>
            <w:vAlign w:val="center"/>
            <w:hideMark/>
          </w:tcPr>
          <w:p w14:paraId="008EFFF9"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1001" w:type="dxa"/>
            <w:tcBorders>
              <w:top w:val="nil"/>
              <w:left w:val="nil"/>
              <w:bottom w:val="single" w:sz="4" w:space="0" w:color="auto"/>
              <w:right w:val="nil"/>
            </w:tcBorders>
            <w:noWrap/>
            <w:vAlign w:val="center"/>
            <w:hideMark/>
          </w:tcPr>
          <w:p w14:paraId="08FE9FBE"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r>
      <w:tr w:rsidR="004F7E77" w:rsidRPr="005A0005" w14:paraId="0B631E7C" w14:textId="77777777" w:rsidTr="00F25715">
        <w:trPr>
          <w:trHeight w:val="441"/>
        </w:trPr>
        <w:tc>
          <w:tcPr>
            <w:tcW w:w="1060" w:type="dxa"/>
            <w:vMerge/>
            <w:tcBorders>
              <w:top w:val="nil"/>
              <w:left w:val="nil"/>
              <w:bottom w:val="nil"/>
              <w:right w:val="nil"/>
            </w:tcBorders>
            <w:vAlign w:val="center"/>
            <w:hideMark/>
          </w:tcPr>
          <w:p w14:paraId="43ED6786" w14:textId="77777777" w:rsidR="004F7E77" w:rsidRPr="005A0005" w:rsidRDefault="004F7E77" w:rsidP="000D14EA">
            <w:pPr>
              <w:spacing w:after="0" w:line="240" w:lineRule="auto"/>
              <w:jc w:val="both"/>
              <w:rPr>
                <w:rFonts w:ascii="Arial" w:eastAsia="Times New Roman" w:hAnsi="Arial" w:cs="Arial"/>
                <w:color w:val="000000"/>
                <w:kern w:val="0"/>
                <w:sz w:val="14"/>
                <w:szCs w:val="14"/>
                <w14:ligatures w14:val="none"/>
              </w:rPr>
            </w:pPr>
          </w:p>
        </w:tc>
        <w:tc>
          <w:tcPr>
            <w:tcW w:w="1980" w:type="dxa"/>
            <w:tcBorders>
              <w:top w:val="nil"/>
              <w:left w:val="nil"/>
              <w:bottom w:val="single" w:sz="4" w:space="0" w:color="auto"/>
              <w:right w:val="nil"/>
            </w:tcBorders>
            <w:noWrap/>
            <w:vAlign w:val="bottom"/>
            <w:hideMark/>
          </w:tcPr>
          <w:p w14:paraId="05A95EF4" w14:textId="77777777" w:rsidR="004F7E77" w:rsidRPr="005A0005" w:rsidRDefault="004F7E77" w:rsidP="000D14EA">
            <w:pPr>
              <w:spacing w:after="0" w:line="240" w:lineRule="auto"/>
              <w:jc w:val="both"/>
              <w:rPr>
                <w:rFonts w:ascii="Arial" w:eastAsia="Times New Roman" w:hAnsi="Arial" w:cs="Arial"/>
                <w:i/>
                <w:iCs/>
                <w:color w:val="000000"/>
                <w:kern w:val="0"/>
                <w:sz w:val="14"/>
                <w:szCs w:val="14"/>
                <w14:ligatures w14:val="none"/>
              </w:rPr>
            </w:pPr>
            <w:proofErr w:type="spellStart"/>
            <w:r w:rsidRPr="005A0005">
              <w:rPr>
                <w:rFonts w:ascii="Arial" w:eastAsia="Times New Roman" w:hAnsi="Arial" w:cs="Arial"/>
                <w:i/>
                <w:iCs/>
                <w:color w:val="000000"/>
                <w:kern w:val="0"/>
                <w:sz w:val="14"/>
                <w:szCs w:val="14"/>
                <w14:ligatures w14:val="none"/>
              </w:rPr>
              <w:t>Megasphaera</w:t>
            </w:r>
            <w:proofErr w:type="spellEnd"/>
            <w:r w:rsidRPr="005A0005">
              <w:rPr>
                <w:rFonts w:ascii="Arial" w:eastAsia="Times New Roman" w:hAnsi="Arial" w:cs="Arial"/>
                <w:i/>
                <w:iCs/>
                <w:color w:val="000000"/>
                <w:kern w:val="0"/>
                <w:sz w:val="14"/>
                <w:szCs w:val="14"/>
                <w14:ligatures w14:val="none"/>
              </w:rPr>
              <w:t xml:space="preserve"> </w:t>
            </w:r>
            <w:r w:rsidRPr="005A0005">
              <w:rPr>
                <w:rFonts w:ascii="Arial" w:eastAsia="Times New Roman" w:hAnsi="Arial" w:cs="Arial"/>
                <w:color w:val="000000"/>
                <w:kern w:val="0"/>
                <w:sz w:val="14"/>
                <w:szCs w:val="14"/>
                <w14:ligatures w14:val="none"/>
              </w:rPr>
              <w:t>sp900066485</w:t>
            </w:r>
          </w:p>
        </w:tc>
        <w:tc>
          <w:tcPr>
            <w:tcW w:w="644" w:type="dxa"/>
            <w:tcBorders>
              <w:top w:val="nil"/>
              <w:left w:val="nil"/>
              <w:bottom w:val="single" w:sz="4" w:space="0" w:color="auto"/>
              <w:right w:val="nil"/>
            </w:tcBorders>
            <w:noWrap/>
            <w:vAlign w:val="center"/>
            <w:hideMark/>
          </w:tcPr>
          <w:p w14:paraId="4DAC7B93"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644" w:type="dxa"/>
            <w:tcBorders>
              <w:top w:val="nil"/>
              <w:left w:val="nil"/>
              <w:bottom w:val="single" w:sz="4" w:space="0" w:color="auto"/>
              <w:right w:val="nil"/>
            </w:tcBorders>
            <w:noWrap/>
            <w:vAlign w:val="center"/>
            <w:hideMark/>
          </w:tcPr>
          <w:p w14:paraId="6D0D946F"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845" w:type="dxa"/>
            <w:tcBorders>
              <w:top w:val="nil"/>
              <w:left w:val="nil"/>
              <w:bottom w:val="single" w:sz="4" w:space="0" w:color="auto"/>
              <w:right w:val="nil"/>
            </w:tcBorders>
            <w:noWrap/>
            <w:vAlign w:val="center"/>
            <w:hideMark/>
          </w:tcPr>
          <w:p w14:paraId="3D0464F4"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565" w:type="dxa"/>
            <w:tcBorders>
              <w:top w:val="nil"/>
              <w:left w:val="nil"/>
              <w:bottom w:val="single" w:sz="4" w:space="0" w:color="auto"/>
              <w:right w:val="nil"/>
            </w:tcBorders>
            <w:noWrap/>
            <w:vAlign w:val="center"/>
            <w:hideMark/>
          </w:tcPr>
          <w:p w14:paraId="6CA1BD94"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581" w:type="dxa"/>
            <w:tcBorders>
              <w:top w:val="nil"/>
              <w:left w:val="nil"/>
              <w:bottom w:val="single" w:sz="4" w:space="0" w:color="auto"/>
              <w:right w:val="nil"/>
            </w:tcBorders>
            <w:noWrap/>
            <w:vAlign w:val="center"/>
            <w:hideMark/>
          </w:tcPr>
          <w:p w14:paraId="13F2C7E9"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581" w:type="dxa"/>
            <w:tcBorders>
              <w:top w:val="nil"/>
              <w:left w:val="nil"/>
              <w:bottom w:val="single" w:sz="4" w:space="0" w:color="auto"/>
              <w:right w:val="nil"/>
            </w:tcBorders>
            <w:noWrap/>
            <w:vAlign w:val="center"/>
            <w:hideMark/>
          </w:tcPr>
          <w:p w14:paraId="63EBF3E8"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1125" w:type="dxa"/>
            <w:tcBorders>
              <w:top w:val="nil"/>
              <w:left w:val="nil"/>
              <w:bottom w:val="single" w:sz="4" w:space="0" w:color="auto"/>
              <w:right w:val="nil"/>
            </w:tcBorders>
            <w:noWrap/>
            <w:vAlign w:val="center"/>
            <w:hideMark/>
          </w:tcPr>
          <w:p w14:paraId="6DF9094F"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1001" w:type="dxa"/>
            <w:tcBorders>
              <w:top w:val="nil"/>
              <w:left w:val="nil"/>
              <w:bottom w:val="single" w:sz="4" w:space="0" w:color="auto"/>
              <w:right w:val="nil"/>
            </w:tcBorders>
            <w:noWrap/>
            <w:vAlign w:val="center"/>
            <w:hideMark/>
          </w:tcPr>
          <w:p w14:paraId="05E70979"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r>
      <w:tr w:rsidR="004F7E77" w:rsidRPr="005A0005" w14:paraId="1BB0CF87" w14:textId="77777777" w:rsidTr="00F25715">
        <w:trPr>
          <w:trHeight w:val="441"/>
        </w:trPr>
        <w:tc>
          <w:tcPr>
            <w:tcW w:w="1060" w:type="dxa"/>
            <w:vMerge/>
            <w:tcBorders>
              <w:top w:val="nil"/>
              <w:left w:val="nil"/>
              <w:bottom w:val="nil"/>
              <w:right w:val="nil"/>
            </w:tcBorders>
            <w:vAlign w:val="center"/>
            <w:hideMark/>
          </w:tcPr>
          <w:p w14:paraId="74951F02" w14:textId="77777777" w:rsidR="004F7E77" w:rsidRPr="005A0005" w:rsidRDefault="004F7E77" w:rsidP="000D14EA">
            <w:pPr>
              <w:spacing w:after="0" w:line="240" w:lineRule="auto"/>
              <w:jc w:val="both"/>
              <w:rPr>
                <w:rFonts w:ascii="Arial" w:eastAsia="Times New Roman" w:hAnsi="Arial" w:cs="Arial"/>
                <w:color w:val="000000"/>
                <w:kern w:val="0"/>
                <w:sz w:val="14"/>
                <w:szCs w:val="14"/>
                <w14:ligatures w14:val="none"/>
              </w:rPr>
            </w:pPr>
          </w:p>
        </w:tc>
        <w:tc>
          <w:tcPr>
            <w:tcW w:w="1980" w:type="dxa"/>
            <w:tcBorders>
              <w:top w:val="nil"/>
              <w:left w:val="nil"/>
              <w:bottom w:val="single" w:sz="4" w:space="0" w:color="auto"/>
              <w:right w:val="nil"/>
            </w:tcBorders>
            <w:noWrap/>
            <w:vAlign w:val="bottom"/>
            <w:hideMark/>
          </w:tcPr>
          <w:p w14:paraId="17D39720" w14:textId="77777777" w:rsidR="004F7E77" w:rsidRPr="005A0005" w:rsidRDefault="004F7E77" w:rsidP="000D14EA">
            <w:pPr>
              <w:spacing w:after="0" w:line="240" w:lineRule="auto"/>
              <w:jc w:val="both"/>
              <w:rPr>
                <w:rFonts w:ascii="Arial" w:eastAsia="Times New Roman" w:hAnsi="Arial" w:cs="Arial"/>
                <w:i/>
                <w:iCs/>
                <w:color w:val="000000"/>
                <w:kern w:val="0"/>
                <w:sz w:val="14"/>
                <w:szCs w:val="14"/>
                <w14:ligatures w14:val="none"/>
              </w:rPr>
            </w:pPr>
            <w:r w:rsidRPr="005A0005">
              <w:rPr>
                <w:rFonts w:ascii="Arial" w:eastAsia="Times New Roman" w:hAnsi="Arial" w:cs="Arial"/>
                <w:i/>
                <w:iCs/>
                <w:color w:val="000000"/>
                <w:kern w:val="0"/>
                <w:sz w:val="14"/>
                <w:szCs w:val="14"/>
                <w14:ligatures w14:val="none"/>
              </w:rPr>
              <w:t>Enterococcus faecalis</w:t>
            </w:r>
          </w:p>
        </w:tc>
        <w:tc>
          <w:tcPr>
            <w:tcW w:w="644" w:type="dxa"/>
            <w:tcBorders>
              <w:top w:val="nil"/>
              <w:left w:val="nil"/>
              <w:bottom w:val="single" w:sz="4" w:space="0" w:color="auto"/>
              <w:right w:val="nil"/>
            </w:tcBorders>
            <w:noWrap/>
            <w:vAlign w:val="center"/>
            <w:hideMark/>
          </w:tcPr>
          <w:p w14:paraId="2B5962CB"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644" w:type="dxa"/>
            <w:tcBorders>
              <w:top w:val="nil"/>
              <w:left w:val="nil"/>
              <w:bottom w:val="single" w:sz="4" w:space="0" w:color="auto"/>
              <w:right w:val="nil"/>
            </w:tcBorders>
            <w:noWrap/>
            <w:vAlign w:val="center"/>
            <w:hideMark/>
          </w:tcPr>
          <w:p w14:paraId="1F2FDA1E"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845" w:type="dxa"/>
            <w:tcBorders>
              <w:top w:val="nil"/>
              <w:left w:val="nil"/>
              <w:bottom w:val="single" w:sz="4" w:space="0" w:color="auto"/>
              <w:right w:val="nil"/>
            </w:tcBorders>
            <w:noWrap/>
            <w:vAlign w:val="center"/>
            <w:hideMark/>
          </w:tcPr>
          <w:p w14:paraId="09CF789C"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565" w:type="dxa"/>
            <w:tcBorders>
              <w:top w:val="nil"/>
              <w:left w:val="nil"/>
              <w:bottom w:val="single" w:sz="4" w:space="0" w:color="auto"/>
              <w:right w:val="nil"/>
            </w:tcBorders>
            <w:noWrap/>
            <w:vAlign w:val="center"/>
            <w:hideMark/>
          </w:tcPr>
          <w:p w14:paraId="7752A5A0"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581" w:type="dxa"/>
            <w:tcBorders>
              <w:top w:val="nil"/>
              <w:left w:val="nil"/>
              <w:bottom w:val="single" w:sz="4" w:space="0" w:color="auto"/>
              <w:right w:val="nil"/>
            </w:tcBorders>
            <w:noWrap/>
            <w:vAlign w:val="center"/>
            <w:hideMark/>
          </w:tcPr>
          <w:p w14:paraId="38A8EABB"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581" w:type="dxa"/>
            <w:tcBorders>
              <w:top w:val="nil"/>
              <w:left w:val="nil"/>
              <w:bottom w:val="single" w:sz="4" w:space="0" w:color="auto"/>
              <w:right w:val="nil"/>
            </w:tcBorders>
            <w:noWrap/>
            <w:vAlign w:val="center"/>
            <w:hideMark/>
          </w:tcPr>
          <w:p w14:paraId="4341C84C"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Arial" w:eastAsia="Times New Roman" w:hAnsi="Arial" w:cs="Arial"/>
                <w:kern w:val="0"/>
                <w:sz w:val="14"/>
                <w:szCs w:val="14"/>
                <w14:ligatures w14:val="none"/>
              </w:rPr>
              <w:t>—</w:t>
            </w:r>
          </w:p>
        </w:tc>
        <w:tc>
          <w:tcPr>
            <w:tcW w:w="1125" w:type="dxa"/>
            <w:tcBorders>
              <w:top w:val="nil"/>
              <w:left w:val="nil"/>
              <w:bottom w:val="single" w:sz="4" w:space="0" w:color="auto"/>
              <w:right w:val="nil"/>
            </w:tcBorders>
            <w:noWrap/>
            <w:vAlign w:val="center"/>
            <w:hideMark/>
          </w:tcPr>
          <w:p w14:paraId="4DADE692"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1001" w:type="dxa"/>
            <w:tcBorders>
              <w:top w:val="nil"/>
              <w:left w:val="nil"/>
              <w:bottom w:val="single" w:sz="4" w:space="0" w:color="auto"/>
              <w:right w:val="nil"/>
            </w:tcBorders>
            <w:noWrap/>
            <w:vAlign w:val="center"/>
            <w:hideMark/>
          </w:tcPr>
          <w:p w14:paraId="23735C83"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r>
      <w:tr w:rsidR="004F7E77" w:rsidRPr="005A0005" w14:paraId="26682AC8" w14:textId="77777777" w:rsidTr="00F25715">
        <w:trPr>
          <w:trHeight w:val="441"/>
        </w:trPr>
        <w:tc>
          <w:tcPr>
            <w:tcW w:w="1060" w:type="dxa"/>
            <w:vMerge/>
            <w:tcBorders>
              <w:top w:val="nil"/>
              <w:left w:val="nil"/>
              <w:bottom w:val="nil"/>
              <w:right w:val="nil"/>
            </w:tcBorders>
            <w:vAlign w:val="center"/>
            <w:hideMark/>
          </w:tcPr>
          <w:p w14:paraId="691641E3" w14:textId="77777777" w:rsidR="004F7E77" w:rsidRPr="005A0005" w:rsidRDefault="004F7E77" w:rsidP="000D14EA">
            <w:pPr>
              <w:spacing w:after="0" w:line="240" w:lineRule="auto"/>
              <w:jc w:val="both"/>
              <w:rPr>
                <w:rFonts w:ascii="Arial" w:eastAsia="Times New Roman" w:hAnsi="Arial" w:cs="Arial"/>
                <w:color w:val="000000"/>
                <w:kern w:val="0"/>
                <w:sz w:val="14"/>
                <w:szCs w:val="14"/>
                <w14:ligatures w14:val="none"/>
              </w:rPr>
            </w:pPr>
          </w:p>
        </w:tc>
        <w:tc>
          <w:tcPr>
            <w:tcW w:w="1980" w:type="dxa"/>
            <w:tcBorders>
              <w:top w:val="nil"/>
              <w:left w:val="nil"/>
              <w:bottom w:val="single" w:sz="4" w:space="0" w:color="auto"/>
              <w:right w:val="nil"/>
            </w:tcBorders>
            <w:noWrap/>
            <w:vAlign w:val="bottom"/>
            <w:hideMark/>
          </w:tcPr>
          <w:p w14:paraId="15EA851F" w14:textId="77777777" w:rsidR="004F7E77" w:rsidRPr="005A0005" w:rsidRDefault="004F7E77" w:rsidP="000D14EA">
            <w:pPr>
              <w:spacing w:after="0" w:line="240" w:lineRule="auto"/>
              <w:jc w:val="both"/>
              <w:rPr>
                <w:rFonts w:ascii="Arial" w:eastAsia="Times New Roman" w:hAnsi="Arial" w:cs="Arial"/>
                <w:i/>
                <w:iCs/>
                <w:color w:val="000000"/>
                <w:kern w:val="0"/>
                <w:sz w:val="14"/>
                <w:szCs w:val="14"/>
                <w14:ligatures w14:val="none"/>
              </w:rPr>
            </w:pPr>
            <w:r w:rsidRPr="005A0005">
              <w:rPr>
                <w:rFonts w:ascii="Arial" w:eastAsia="Times New Roman" w:hAnsi="Arial" w:cs="Arial"/>
                <w:i/>
                <w:iCs/>
                <w:color w:val="000000"/>
                <w:kern w:val="0"/>
                <w:sz w:val="14"/>
                <w:szCs w:val="14"/>
                <w14:ligatures w14:val="none"/>
              </w:rPr>
              <w:t xml:space="preserve">Dorea </w:t>
            </w:r>
            <w:r w:rsidRPr="005A0005">
              <w:rPr>
                <w:rFonts w:ascii="Arial" w:eastAsia="Times New Roman" w:hAnsi="Arial" w:cs="Arial"/>
                <w:color w:val="000000"/>
                <w:kern w:val="0"/>
                <w:sz w:val="14"/>
                <w:szCs w:val="14"/>
                <w14:ligatures w14:val="none"/>
              </w:rPr>
              <w:t>sp000509125</w:t>
            </w:r>
          </w:p>
        </w:tc>
        <w:tc>
          <w:tcPr>
            <w:tcW w:w="644" w:type="dxa"/>
            <w:tcBorders>
              <w:top w:val="nil"/>
              <w:left w:val="nil"/>
              <w:bottom w:val="single" w:sz="4" w:space="0" w:color="auto"/>
              <w:right w:val="nil"/>
            </w:tcBorders>
            <w:noWrap/>
            <w:vAlign w:val="center"/>
            <w:hideMark/>
          </w:tcPr>
          <w:p w14:paraId="6101C010"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Arial" w:eastAsia="Times New Roman" w:hAnsi="Arial" w:cs="Arial"/>
                <w:kern w:val="0"/>
                <w:sz w:val="14"/>
                <w:szCs w:val="14"/>
                <w14:ligatures w14:val="none"/>
              </w:rPr>
              <w:t>—</w:t>
            </w:r>
          </w:p>
        </w:tc>
        <w:tc>
          <w:tcPr>
            <w:tcW w:w="644" w:type="dxa"/>
            <w:tcBorders>
              <w:top w:val="nil"/>
              <w:left w:val="nil"/>
              <w:bottom w:val="single" w:sz="4" w:space="0" w:color="auto"/>
              <w:right w:val="nil"/>
            </w:tcBorders>
            <w:noWrap/>
            <w:vAlign w:val="center"/>
            <w:hideMark/>
          </w:tcPr>
          <w:p w14:paraId="1B3222CC"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Arial" w:eastAsia="Times New Roman" w:hAnsi="Arial" w:cs="Arial"/>
                <w:kern w:val="0"/>
                <w:sz w:val="14"/>
                <w:szCs w:val="14"/>
                <w14:ligatures w14:val="none"/>
              </w:rPr>
              <w:t>—</w:t>
            </w:r>
          </w:p>
        </w:tc>
        <w:tc>
          <w:tcPr>
            <w:tcW w:w="845" w:type="dxa"/>
            <w:tcBorders>
              <w:top w:val="nil"/>
              <w:left w:val="nil"/>
              <w:bottom w:val="single" w:sz="4" w:space="0" w:color="auto"/>
              <w:right w:val="nil"/>
            </w:tcBorders>
            <w:noWrap/>
            <w:vAlign w:val="center"/>
            <w:hideMark/>
          </w:tcPr>
          <w:p w14:paraId="6D6D9EAF"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Arial" w:eastAsia="Times New Roman" w:hAnsi="Arial" w:cs="Arial"/>
                <w:kern w:val="0"/>
                <w:sz w:val="14"/>
                <w:szCs w:val="14"/>
                <w14:ligatures w14:val="none"/>
              </w:rPr>
              <w:t>—</w:t>
            </w:r>
          </w:p>
        </w:tc>
        <w:tc>
          <w:tcPr>
            <w:tcW w:w="565" w:type="dxa"/>
            <w:tcBorders>
              <w:top w:val="nil"/>
              <w:left w:val="nil"/>
              <w:bottom w:val="single" w:sz="4" w:space="0" w:color="auto"/>
              <w:right w:val="nil"/>
            </w:tcBorders>
            <w:noWrap/>
            <w:vAlign w:val="center"/>
            <w:hideMark/>
          </w:tcPr>
          <w:p w14:paraId="216D90B8"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Arial" w:eastAsia="Times New Roman" w:hAnsi="Arial" w:cs="Arial"/>
                <w:kern w:val="0"/>
                <w:sz w:val="14"/>
                <w:szCs w:val="14"/>
                <w14:ligatures w14:val="none"/>
              </w:rPr>
              <w:t>—</w:t>
            </w:r>
          </w:p>
        </w:tc>
        <w:tc>
          <w:tcPr>
            <w:tcW w:w="581" w:type="dxa"/>
            <w:tcBorders>
              <w:top w:val="nil"/>
              <w:left w:val="nil"/>
              <w:bottom w:val="single" w:sz="4" w:space="0" w:color="auto"/>
              <w:right w:val="nil"/>
            </w:tcBorders>
            <w:noWrap/>
            <w:vAlign w:val="center"/>
            <w:hideMark/>
          </w:tcPr>
          <w:p w14:paraId="0355A11D"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Arial" w:eastAsia="Times New Roman" w:hAnsi="Arial" w:cs="Arial"/>
                <w:kern w:val="0"/>
                <w:sz w:val="14"/>
                <w:szCs w:val="14"/>
                <w14:ligatures w14:val="none"/>
              </w:rPr>
              <w:t>—</w:t>
            </w:r>
          </w:p>
        </w:tc>
        <w:tc>
          <w:tcPr>
            <w:tcW w:w="581" w:type="dxa"/>
            <w:tcBorders>
              <w:top w:val="nil"/>
              <w:left w:val="nil"/>
              <w:bottom w:val="single" w:sz="4" w:space="0" w:color="auto"/>
              <w:right w:val="nil"/>
            </w:tcBorders>
            <w:noWrap/>
            <w:vAlign w:val="center"/>
            <w:hideMark/>
          </w:tcPr>
          <w:p w14:paraId="071286D7"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Arial" w:eastAsia="Times New Roman" w:hAnsi="Arial" w:cs="Arial"/>
                <w:kern w:val="0"/>
                <w:sz w:val="14"/>
                <w:szCs w:val="14"/>
                <w14:ligatures w14:val="none"/>
              </w:rPr>
              <w:t>—</w:t>
            </w:r>
          </w:p>
        </w:tc>
        <w:tc>
          <w:tcPr>
            <w:tcW w:w="1125" w:type="dxa"/>
            <w:tcBorders>
              <w:top w:val="nil"/>
              <w:left w:val="nil"/>
              <w:bottom w:val="single" w:sz="4" w:space="0" w:color="auto"/>
              <w:right w:val="nil"/>
            </w:tcBorders>
            <w:noWrap/>
            <w:vAlign w:val="center"/>
            <w:hideMark/>
          </w:tcPr>
          <w:p w14:paraId="6CCBAD82"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Arial" w:eastAsia="Times New Roman" w:hAnsi="Arial" w:cs="Arial"/>
                <w:kern w:val="0"/>
                <w:sz w:val="14"/>
                <w:szCs w:val="14"/>
                <w14:ligatures w14:val="none"/>
              </w:rPr>
              <w:t>—</w:t>
            </w:r>
          </w:p>
        </w:tc>
        <w:tc>
          <w:tcPr>
            <w:tcW w:w="1001" w:type="dxa"/>
            <w:tcBorders>
              <w:top w:val="nil"/>
              <w:left w:val="nil"/>
              <w:bottom w:val="single" w:sz="4" w:space="0" w:color="auto"/>
              <w:right w:val="nil"/>
            </w:tcBorders>
            <w:noWrap/>
            <w:vAlign w:val="center"/>
            <w:hideMark/>
          </w:tcPr>
          <w:p w14:paraId="5CCC5866"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Arial" w:eastAsia="Times New Roman" w:hAnsi="Arial" w:cs="Arial"/>
                <w:kern w:val="0"/>
                <w:sz w:val="14"/>
                <w:szCs w:val="14"/>
                <w14:ligatures w14:val="none"/>
              </w:rPr>
              <w:t>—</w:t>
            </w:r>
          </w:p>
        </w:tc>
      </w:tr>
      <w:tr w:rsidR="004F7E77" w:rsidRPr="005A0005" w14:paraId="1D8DBCB6" w14:textId="77777777" w:rsidTr="00F25715">
        <w:trPr>
          <w:trHeight w:val="441"/>
        </w:trPr>
        <w:tc>
          <w:tcPr>
            <w:tcW w:w="1060" w:type="dxa"/>
            <w:vMerge w:val="restart"/>
            <w:tcBorders>
              <w:top w:val="single" w:sz="4" w:space="0" w:color="auto"/>
              <w:left w:val="nil"/>
              <w:bottom w:val="single" w:sz="4" w:space="0" w:color="000000"/>
              <w:right w:val="nil"/>
            </w:tcBorders>
            <w:vAlign w:val="center"/>
            <w:hideMark/>
          </w:tcPr>
          <w:p w14:paraId="053DF973" w14:textId="77777777" w:rsidR="004F7E77" w:rsidRPr="005A0005" w:rsidRDefault="004F7E77" w:rsidP="000D14EA">
            <w:pPr>
              <w:spacing w:after="0" w:line="240" w:lineRule="auto"/>
              <w:jc w:val="both"/>
              <w:rPr>
                <w:rFonts w:ascii="Arial" w:eastAsia="Times New Roman" w:hAnsi="Arial" w:cs="Arial"/>
                <w:color w:val="000000"/>
                <w:kern w:val="0"/>
                <w:sz w:val="14"/>
                <w:szCs w:val="14"/>
                <w14:ligatures w14:val="none"/>
              </w:rPr>
            </w:pPr>
            <w:r w:rsidRPr="005A0005">
              <w:rPr>
                <w:rFonts w:ascii="Arial" w:eastAsia="Times New Roman" w:hAnsi="Arial" w:cs="Arial"/>
                <w:color w:val="000000"/>
                <w:kern w:val="0"/>
                <w:sz w:val="14"/>
                <w:szCs w:val="14"/>
                <w14:ligatures w14:val="none"/>
              </w:rPr>
              <w:t>Enriched in</w:t>
            </w:r>
            <w:r w:rsidRPr="005A0005">
              <w:rPr>
                <w:rFonts w:ascii="Arial" w:eastAsia="Times New Roman" w:hAnsi="Arial" w:cs="Arial"/>
                <w:color w:val="000000"/>
                <w:kern w:val="0"/>
                <w:sz w:val="14"/>
                <w:szCs w:val="14"/>
                <w14:ligatures w14:val="none"/>
              </w:rPr>
              <w:br/>
              <w:t>R</w:t>
            </w:r>
          </w:p>
        </w:tc>
        <w:tc>
          <w:tcPr>
            <w:tcW w:w="1980" w:type="dxa"/>
            <w:tcBorders>
              <w:top w:val="nil"/>
              <w:left w:val="nil"/>
              <w:bottom w:val="single" w:sz="4" w:space="0" w:color="auto"/>
              <w:right w:val="nil"/>
            </w:tcBorders>
            <w:noWrap/>
            <w:vAlign w:val="bottom"/>
            <w:hideMark/>
          </w:tcPr>
          <w:p w14:paraId="35976C7F" w14:textId="77777777" w:rsidR="004F7E77" w:rsidRPr="005A0005" w:rsidRDefault="004F7E77" w:rsidP="000D14EA">
            <w:pPr>
              <w:spacing w:after="0" w:line="240" w:lineRule="auto"/>
              <w:jc w:val="both"/>
              <w:rPr>
                <w:rFonts w:ascii="Arial" w:eastAsia="Times New Roman" w:hAnsi="Arial" w:cs="Arial"/>
                <w:i/>
                <w:iCs/>
                <w:color w:val="000000"/>
                <w:kern w:val="0"/>
                <w:sz w:val="14"/>
                <w:szCs w:val="14"/>
                <w14:ligatures w14:val="none"/>
              </w:rPr>
            </w:pPr>
            <w:r w:rsidRPr="005A0005">
              <w:rPr>
                <w:rFonts w:ascii="Arial" w:eastAsia="Times New Roman" w:hAnsi="Arial" w:cs="Arial"/>
                <w:i/>
                <w:iCs/>
                <w:color w:val="000000"/>
                <w:kern w:val="0"/>
                <w:sz w:val="14"/>
                <w:szCs w:val="14"/>
                <w14:ligatures w14:val="none"/>
              </w:rPr>
              <w:t xml:space="preserve">Dorea </w:t>
            </w:r>
            <w:proofErr w:type="spellStart"/>
            <w:r w:rsidRPr="005A0005">
              <w:rPr>
                <w:rFonts w:ascii="Arial" w:eastAsia="Times New Roman" w:hAnsi="Arial" w:cs="Arial"/>
                <w:i/>
                <w:iCs/>
                <w:color w:val="000000"/>
                <w:kern w:val="0"/>
                <w:sz w:val="14"/>
                <w:szCs w:val="14"/>
                <w14:ligatures w14:val="none"/>
              </w:rPr>
              <w:t>formicigenerans</w:t>
            </w:r>
            <w:proofErr w:type="spellEnd"/>
          </w:p>
        </w:tc>
        <w:tc>
          <w:tcPr>
            <w:tcW w:w="644" w:type="dxa"/>
            <w:tcBorders>
              <w:top w:val="nil"/>
              <w:left w:val="nil"/>
              <w:bottom w:val="single" w:sz="4" w:space="0" w:color="auto"/>
              <w:right w:val="nil"/>
            </w:tcBorders>
            <w:noWrap/>
            <w:vAlign w:val="center"/>
            <w:hideMark/>
          </w:tcPr>
          <w:p w14:paraId="0D2A1510"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644" w:type="dxa"/>
            <w:tcBorders>
              <w:top w:val="nil"/>
              <w:left w:val="nil"/>
              <w:bottom w:val="single" w:sz="4" w:space="0" w:color="auto"/>
              <w:right w:val="nil"/>
            </w:tcBorders>
            <w:noWrap/>
            <w:vAlign w:val="center"/>
            <w:hideMark/>
          </w:tcPr>
          <w:p w14:paraId="2276C0E2"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845" w:type="dxa"/>
            <w:tcBorders>
              <w:top w:val="nil"/>
              <w:left w:val="nil"/>
              <w:bottom w:val="single" w:sz="4" w:space="0" w:color="auto"/>
              <w:right w:val="nil"/>
            </w:tcBorders>
            <w:noWrap/>
            <w:vAlign w:val="center"/>
            <w:hideMark/>
          </w:tcPr>
          <w:p w14:paraId="40D26F2D"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565" w:type="dxa"/>
            <w:tcBorders>
              <w:top w:val="nil"/>
              <w:left w:val="nil"/>
              <w:bottom w:val="single" w:sz="4" w:space="0" w:color="auto"/>
              <w:right w:val="nil"/>
            </w:tcBorders>
            <w:noWrap/>
            <w:vAlign w:val="center"/>
            <w:hideMark/>
          </w:tcPr>
          <w:p w14:paraId="63FFD95A"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581" w:type="dxa"/>
            <w:tcBorders>
              <w:top w:val="nil"/>
              <w:left w:val="nil"/>
              <w:bottom w:val="single" w:sz="4" w:space="0" w:color="auto"/>
              <w:right w:val="nil"/>
            </w:tcBorders>
            <w:noWrap/>
            <w:vAlign w:val="center"/>
            <w:hideMark/>
          </w:tcPr>
          <w:p w14:paraId="694240E3"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581" w:type="dxa"/>
            <w:tcBorders>
              <w:top w:val="nil"/>
              <w:left w:val="nil"/>
              <w:bottom w:val="single" w:sz="4" w:space="0" w:color="auto"/>
              <w:right w:val="nil"/>
            </w:tcBorders>
            <w:noWrap/>
            <w:vAlign w:val="center"/>
            <w:hideMark/>
          </w:tcPr>
          <w:p w14:paraId="2DC03396"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1125" w:type="dxa"/>
            <w:tcBorders>
              <w:top w:val="nil"/>
              <w:left w:val="nil"/>
              <w:bottom w:val="single" w:sz="4" w:space="0" w:color="auto"/>
              <w:right w:val="nil"/>
            </w:tcBorders>
            <w:noWrap/>
            <w:vAlign w:val="center"/>
            <w:hideMark/>
          </w:tcPr>
          <w:p w14:paraId="4187C348"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1001" w:type="dxa"/>
            <w:tcBorders>
              <w:top w:val="nil"/>
              <w:left w:val="nil"/>
              <w:bottom w:val="single" w:sz="4" w:space="0" w:color="auto"/>
              <w:right w:val="nil"/>
            </w:tcBorders>
            <w:noWrap/>
            <w:vAlign w:val="center"/>
            <w:hideMark/>
          </w:tcPr>
          <w:p w14:paraId="105B6711"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r>
      <w:tr w:rsidR="004F7E77" w:rsidRPr="005A0005" w14:paraId="0CA8401A" w14:textId="77777777" w:rsidTr="00F25715">
        <w:trPr>
          <w:trHeight w:val="441"/>
        </w:trPr>
        <w:tc>
          <w:tcPr>
            <w:tcW w:w="1060" w:type="dxa"/>
            <w:vMerge/>
            <w:tcBorders>
              <w:top w:val="single" w:sz="4" w:space="0" w:color="auto"/>
              <w:left w:val="nil"/>
              <w:bottom w:val="single" w:sz="4" w:space="0" w:color="000000"/>
              <w:right w:val="nil"/>
            </w:tcBorders>
            <w:vAlign w:val="center"/>
            <w:hideMark/>
          </w:tcPr>
          <w:p w14:paraId="618D5B2C" w14:textId="77777777" w:rsidR="004F7E77" w:rsidRPr="005A0005" w:rsidRDefault="004F7E77" w:rsidP="000D14EA">
            <w:pPr>
              <w:spacing w:after="0" w:line="240" w:lineRule="auto"/>
              <w:jc w:val="both"/>
              <w:rPr>
                <w:rFonts w:ascii="Arial" w:eastAsia="Times New Roman" w:hAnsi="Arial" w:cs="Arial"/>
                <w:color w:val="000000"/>
                <w:kern w:val="0"/>
                <w:sz w:val="14"/>
                <w:szCs w:val="14"/>
                <w14:ligatures w14:val="none"/>
              </w:rPr>
            </w:pPr>
          </w:p>
        </w:tc>
        <w:tc>
          <w:tcPr>
            <w:tcW w:w="1980" w:type="dxa"/>
            <w:tcBorders>
              <w:top w:val="nil"/>
              <w:left w:val="nil"/>
              <w:bottom w:val="single" w:sz="4" w:space="0" w:color="auto"/>
              <w:right w:val="nil"/>
            </w:tcBorders>
            <w:noWrap/>
            <w:vAlign w:val="bottom"/>
            <w:hideMark/>
          </w:tcPr>
          <w:p w14:paraId="06EF84A6" w14:textId="77777777" w:rsidR="004F7E77" w:rsidRPr="005A0005" w:rsidRDefault="004F7E77" w:rsidP="000D14EA">
            <w:pPr>
              <w:spacing w:after="0" w:line="240" w:lineRule="auto"/>
              <w:jc w:val="both"/>
              <w:rPr>
                <w:rFonts w:ascii="Arial" w:eastAsia="Times New Roman" w:hAnsi="Arial" w:cs="Arial"/>
                <w:i/>
                <w:iCs/>
                <w:color w:val="000000"/>
                <w:kern w:val="0"/>
                <w:sz w:val="14"/>
                <w:szCs w:val="14"/>
                <w14:ligatures w14:val="none"/>
              </w:rPr>
            </w:pPr>
            <w:proofErr w:type="spellStart"/>
            <w:r w:rsidRPr="005A0005">
              <w:rPr>
                <w:rFonts w:ascii="Arial" w:eastAsia="Times New Roman" w:hAnsi="Arial" w:cs="Arial"/>
                <w:i/>
                <w:iCs/>
                <w:color w:val="000000"/>
                <w:kern w:val="0"/>
                <w:sz w:val="14"/>
                <w:szCs w:val="14"/>
                <w14:ligatures w14:val="none"/>
              </w:rPr>
              <w:t>Eubacterium_I</w:t>
            </w:r>
            <w:proofErr w:type="spellEnd"/>
            <w:r w:rsidRPr="005A0005">
              <w:rPr>
                <w:rFonts w:ascii="Arial" w:eastAsia="Times New Roman" w:hAnsi="Arial" w:cs="Arial"/>
                <w:i/>
                <w:iCs/>
                <w:color w:val="000000"/>
                <w:kern w:val="0"/>
                <w:sz w:val="14"/>
                <w:szCs w:val="14"/>
                <w14:ligatures w14:val="none"/>
              </w:rPr>
              <w:t xml:space="preserve"> </w:t>
            </w:r>
            <w:proofErr w:type="spellStart"/>
            <w:r w:rsidRPr="005A0005">
              <w:rPr>
                <w:rFonts w:ascii="Arial" w:eastAsia="Times New Roman" w:hAnsi="Arial" w:cs="Arial"/>
                <w:i/>
                <w:iCs/>
                <w:color w:val="000000"/>
                <w:kern w:val="0"/>
                <w:sz w:val="14"/>
                <w:szCs w:val="14"/>
                <w14:ligatures w14:val="none"/>
              </w:rPr>
              <w:t>ramulus</w:t>
            </w:r>
            <w:proofErr w:type="spellEnd"/>
          </w:p>
        </w:tc>
        <w:tc>
          <w:tcPr>
            <w:tcW w:w="644" w:type="dxa"/>
            <w:tcBorders>
              <w:top w:val="nil"/>
              <w:left w:val="nil"/>
              <w:bottom w:val="single" w:sz="4" w:space="0" w:color="auto"/>
              <w:right w:val="nil"/>
            </w:tcBorders>
            <w:noWrap/>
            <w:vAlign w:val="center"/>
            <w:hideMark/>
          </w:tcPr>
          <w:p w14:paraId="2DC089BB"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644" w:type="dxa"/>
            <w:tcBorders>
              <w:top w:val="nil"/>
              <w:left w:val="nil"/>
              <w:bottom w:val="single" w:sz="4" w:space="0" w:color="auto"/>
              <w:right w:val="nil"/>
            </w:tcBorders>
            <w:noWrap/>
            <w:vAlign w:val="center"/>
            <w:hideMark/>
          </w:tcPr>
          <w:p w14:paraId="4E7091F7"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845" w:type="dxa"/>
            <w:tcBorders>
              <w:top w:val="nil"/>
              <w:left w:val="nil"/>
              <w:bottom w:val="single" w:sz="4" w:space="0" w:color="auto"/>
              <w:right w:val="nil"/>
            </w:tcBorders>
            <w:noWrap/>
            <w:vAlign w:val="center"/>
            <w:hideMark/>
          </w:tcPr>
          <w:p w14:paraId="4F9C9210"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565" w:type="dxa"/>
            <w:tcBorders>
              <w:top w:val="nil"/>
              <w:left w:val="nil"/>
              <w:bottom w:val="single" w:sz="4" w:space="0" w:color="auto"/>
              <w:right w:val="nil"/>
            </w:tcBorders>
            <w:noWrap/>
            <w:vAlign w:val="center"/>
            <w:hideMark/>
          </w:tcPr>
          <w:p w14:paraId="449C47C7"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581" w:type="dxa"/>
            <w:tcBorders>
              <w:top w:val="nil"/>
              <w:left w:val="nil"/>
              <w:bottom w:val="single" w:sz="4" w:space="0" w:color="auto"/>
              <w:right w:val="nil"/>
            </w:tcBorders>
            <w:noWrap/>
            <w:vAlign w:val="center"/>
            <w:hideMark/>
          </w:tcPr>
          <w:p w14:paraId="3A7A8093"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581" w:type="dxa"/>
            <w:tcBorders>
              <w:top w:val="nil"/>
              <w:left w:val="nil"/>
              <w:bottom w:val="single" w:sz="4" w:space="0" w:color="auto"/>
              <w:right w:val="nil"/>
            </w:tcBorders>
            <w:noWrap/>
            <w:vAlign w:val="center"/>
            <w:hideMark/>
          </w:tcPr>
          <w:p w14:paraId="08A354BB"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Arial" w:eastAsia="Times New Roman" w:hAnsi="Arial" w:cs="Arial"/>
                <w:kern w:val="0"/>
                <w:sz w:val="14"/>
                <w:szCs w:val="14"/>
                <w14:ligatures w14:val="none"/>
              </w:rPr>
              <w:t>—</w:t>
            </w:r>
          </w:p>
        </w:tc>
        <w:tc>
          <w:tcPr>
            <w:tcW w:w="1125" w:type="dxa"/>
            <w:tcBorders>
              <w:top w:val="nil"/>
              <w:left w:val="nil"/>
              <w:bottom w:val="single" w:sz="4" w:space="0" w:color="auto"/>
              <w:right w:val="nil"/>
            </w:tcBorders>
            <w:noWrap/>
            <w:vAlign w:val="center"/>
            <w:hideMark/>
          </w:tcPr>
          <w:p w14:paraId="7CF64ECA"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1001" w:type="dxa"/>
            <w:tcBorders>
              <w:top w:val="nil"/>
              <w:left w:val="nil"/>
              <w:bottom w:val="single" w:sz="4" w:space="0" w:color="auto"/>
              <w:right w:val="nil"/>
            </w:tcBorders>
            <w:noWrap/>
            <w:vAlign w:val="center"/>
            <w:hideMark/>
          </w:tcPr>
          <w:p w14:paraId="103998D1"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r>
      <w:tr w:rsidR="004F7E77" w:rsidRPr="005A0005" w14:paraId="125F17F7" w14:textId="77777777" w:rsidTr="00F25715">
        <w:trPr>
          <w:trHeight w:val="441"/>
        </w:trPr>
        <w:tc>
          <w:tcPr>
            <w:tcW w:w="1060" w:type="dxa"/>
            <w:vMerge/>
            <w:tcBorders>
              <w:top w:val="single" w:sz="4" w:space="0" w:color="auto"/>
              <w:left w:val="nil"/>
              <w:bottom w:val="single" w:sz="4" w:space="0" w:color="000000"/>
              <w:right w:val="nil"/>
            </w:tcBorders>
            <w:vAlign w:val="center"/>
            <w:hideMark/>
          </w:tcPr>
          <w:p w14:paraId="2DAFE56F" w14:textId="77777777" w:rsidR="004F7E77" w:rsidRPr="005A0005" w:rsidRDefault="004F7E77" w:rsidP="000D14EA">
            <w:pPr>
              <w:spacing w:after="0" w:line="240" w:lineRule="auto"/>
              <w:jc w:val="both"/>
              <w:rPr>
                <w:rFonts w:ascii="Arial" w:eastAsia="Times New Roman" w:hAnsi="Arial" w:cs="Arial"/>
                <w:color w:val="000000"/>
                <w:kern w:val="0"/>
                <w:sz w:val="14"/>
                <w:szCs w:val="14"/>
                <w14:ligatures w14:val="none"/>
              </w:rPr>
            </w:pPr>
          </w:p>
        </w:tc>
        <w:tc>
          <w:tcPr>
            <w:tcW w:w="1980" w:type="dxa"/>
            <w:tcBorders>
              <w:top w:val="nil"/>
              <w:left w:val="nil"/>
              <w:bottom w:val="single" w:sz="4" w:space="0" w:color="auto"/>
              <w:right w:val="nil"/>
            </w:tcBorders>
            <w:noWrap/>
            <w:vAlign w:val="bottom"/>
            <w:hideMark/>
          </w:tcPr>
          <w:p w14:paraId="5001B1CF" w14:textId="77777777" w:rsidR="004F7E77" w:rsidRPr="005A0005" w:rsidRDefault="004F7E77" w:rsidP="000D14EA">
            <w:pPr>
              <w:spacing w:after="0" w:line="240" w:lineRule="auto"/>
              <w:jc w:val="both"/>
              <w:rPr>
                <w:rFonts w:ascii="Arial" w:eastAsia="Times New Roman" w:hAnsi="Arial" w:cs="Arial"/>
                <w:i/>
                <w:iCs/>
                <w:color w:val="000000"/>
                <w:kern w:val="0"/>
                <w:sz w:val="14"/>
                <w:szCs w:val="14"/>
                <w14:ligatures w14:val="none"/>
              </w:rPr>
            </w:pPr>
            <w:proofErr w:type="spellStart"/>
            <w:r w:rsidRPr="005A0005">
              <w:rPr>
                <w:rFonts w:ascii="Arial" w:eastAsia="Times New Roman" w:hAnsi="Arial" w:cs="Arial"/>
                <w:i/>
                <w:iCs/>
                <w:color w:val="000000"/>
                <w:kern w:val="0"/>
                <w:sz w:val="14"/>
                <w:szCs w:val="14"/>
                <w14:ligatures w14:val="none"/>
              </w:rPr>
              <w:t>Eisenbergiella</w:t>
            </w:r>
            <w:proofErr w:type="spellEnd"/>
            <w:r w:rsidRPr="005A0005">
              <w:rPr>
                <w:rFonts w:ascii="Arial" w:eastAsia="Times New Roman" w:hAnsi="Arial" w:cs="Arial"/>
                <w:i/>
                <w:iCs/>
                <w:color w:val="000000"/>
                <w:kern w:val="0"/>
                <w:sz w:val="14"/>
                <w:szCs w:val="14"/>
                <w14:ligatures w14:val="none"/>
              </w:rPr>
              <w:t> </w:t>
            </w:r>
            <w:r w:rsidRPr="005A0005">
              <w:rPr>
                <w:rFonts w:ascii="Arial" w:eastAsia="Times New Roman" w:hAnsi="Arial" w:cs="Arial"/>
                <w:color w:val="000000"/>
                <w:kern w:val="0"/>
                <w:sz w:val="14"/>
                <w:szCs w:val="14"/>
                <w14:ligatures w14:val="none"/>
              </w:rPr>
              <w:t>sp900066775</w:t>
            </w:r>
          </w:p>
        </w:tc>
        <w:tc>
          <w:tcPr>
            <w:tcW w:w="644" w:type="dxa"/>
            <w:tcBorders>
              <w:top w:val="nil"/>
              <w:left w:val="nil"/>
              <w:bottom w:val="single" w:sz="4" w:space="0" w:color="auto"/>
              <w:right w:val="nil"/>
            </w:tcBorders>
            <w:noWrap/>
            <w:vAlign w:val="center"/>
            <w:hideMark/>
          </w:tcPr>
          <w:p w14:paraId="6C0F2DE9"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644" w:type="dxa"/>
            <w:tcBorders>
              <w:top w:val="nil"/>
              <w:left w:val="nil"/>
              <w:bottom w:val="single" w:sz="4" w:space="0" w:color="auto"/>
              <w:right w:val="nil"/>
            </w:tcBorders>
            <w:noWrap/>
            <w:vAlign w:val="center"/>
            <w:hideMark/>
          </w:tcPr>
          <w:p w14:paraId="1D612A13"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845" w:type="dxa"/>
            <w:tcBorders>
              <w:top w:val="nil"/>
              <w:left w:val="nil"/>
              <w:bottom w:val="single" w:sz="4" w:space="0" w:color="auto"/>
              <w:right w:val="nil"/>
            </w:tcBorders>
            <w:noWrap/>
            <w:vAlign w:val="center"/>
            <w:hideMark/>
          </w:tcPr>
          <w:p w14:paraId="3397DA11"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565" w:type="dxa"/>
            <w:tcBorders>
              <w:top w:val="nil"/>
              <w:left w:val="nil"/>
              <w:bottom w:val="single" w:sz="4" w:space="0" w:color="auto"/>
              <w:right w:val="nil"/>
            </w:tcBorders>
            <w:noWrap/>
            <w:vAlign w:val="center"/>
            <w:hideMark/>
          </w:tcPr>
          <w:p w14:paraId="63959CBC"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581" w:type="dxa"/>
            <w:tcBorders>
              <w:top w:val="nil"/>
              <w:left w:val="nil"/>
              <w:bottom w:val="single" w:sz="4" w:space="0" w:color="auto"/>
              <w:right w:val="nil"/>
            </w:tcBorders>
            <w:noWrap/>
            <w:vAlign w:val="center"/>
            <w:hideMark/>
          </w:tcPr>
          <w:p w14:paraId="7DAABAF9"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581" w:type="dxa"/>
            <w:tcBorders>
              <w:top w:val="nil"/>
              <w:left w:val="nil"/>
              <w:bottom w:val="single" w:sz="4" w:space="0" w:color="auto"/>
              <w:right w:val="nil"/>
            </w:tcBorders>
            <w:noWrap/>
            <w:vAlign w:val="center"/>
            <w:hideMark/>
          </w:tcPr>
          <w:p w14:paraId="19D3EB21"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1125" w:type="dxa"/>
            <w:tcBorders>
              <w:top w:val="nil"/>
              <w:left w:val="nil"/>
              <w:bottom w:val="single" w:sz="4" w:space="0" w:color="auto"/>
              <w:right w:val="nil"/>
            </w:tcBorders>
            <w:noWrap/>
            <w:vAlign w:val="center"/>
            <w:hideMark/>
          </w:tcPr>
          <w:p w14:paraId="71F01073"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1001" w:type="dxa"/>
            <w:tcBorders>
              <w:top w:val="nil"/>
              <w:left w:val="nil"/>
              <w:bottom w:val="single" w:sz="4" w:space="0" w:color="auto"/>
              <w:right w:val="nil"/>
            </w:tcBorders>
            <w:noWrap/>
            <w:vAlign w:val="center"/>
            <w:hideMark/>
          </w:tcPr>
          <w:p w14:paraId="21B40636"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r>
      <w:tr w:rsidR="004F7E77" w:rsidRPr="005A0005" w14:paraId="0C32805A" w14:textId="77777777" w:rsidTr="00F25715">
        <w:trPr>
          <w:trHeight w:val="441"/>
        </w:trPr>
        <w:tc>
          <w:tcPr>
            <w:tcW w:w="1060" w:type="dxa"/>
            <w:vMerge/>
            <w:tcBorders>
              <w:top w:val="single" w:sz="4" w:space="0" w:color="auto"/>
              <w:left w:val="nil"/>
              <w:bottom w:val="single" w:sz="4" w:space="0" w:color="000000"/>
              <w:right w:val="nil"/>
            </w:tcBorders>
            <w:vAlign w:val="center"/>
            <w:hideMark/>
          </w:tcPr>
          <w:p w14:paraId="65272A1B" w14:textId="77777777" w:rsidR="004F7E77" w:rsidRPr="005A0005" w:rsidRDefault="004F7E77" w:rsidP="000D14EA">
            <w:pPr>
              <w:spacing w:after="0" w:line="240" w:lineRule="auto"/>
              <w:jc w:val="both"/>
              <w:rPr>
                <w:rFonts w:ascii="Arial" w:eastAsia="Times New Roman" w:hAnsi="Arial" w:cs="Arial"/>
                <w:color w:val="000000"/>
                <w:kern w:val="0"/>
                <w:sz w:val="14"/>
                <w:szCs w:val="14"/>
                <w14:ligatures w14:val="none"/>
              </w:rPr>
            </w:pPr>
          </w:p>
        </w:tc>
        <w:tc>
          <w:tcPr>
            <w:tcW w:w="1980" w:type="dxa"/>
            <w:tcBorders>
              <w:top w:val="nil"/>
              <w:left w:val="nil"/>
              <w:bottom w:val="single" w:sz="4" w:space="0" w:color="auto"/>
              <w:right w:val="nil"/>
            </w:tcBorders>
            <w:noWrap/>
            <w:vAlign w:val="bottom"/>
            <w:hideMark/>
          </w:tcPr>
          <w:p w14:paraId="2A8743AC" w14:textId="77777777" w:rsidR="004F7E77" w:rsidRPr="005A0005" w:rsidRDefault="004F7E77" w:rsidP="000D14EA">
            <w:pPr>
              <w:spacing w:after="0" w:line="240" w:lineRule="auto"/>
              <w:jc w:val="both"/>
              <w:rPr>
                <w:rFonts w:ascii="Arial" w:eastAsia="Times New Roman" w:hAnsi="Arial" w:cs="Arial"/>
                <w:i/>
                <w:iCs/>
                <w:color w:val="000000"/>
                <w:kern w:val="0"/>
                <w:sz w:val="14"/>
                <w:szCs w:val="14"/>
                <w14:ligatures w14:val="none"/>
              </w:rPr>
            </w:pPr>
            <w:proofErr w:type="spellStart"/>
            <w:r w:rsidRPr="005A0005">
              <w:rPr>
                <w:rFonts w:ascii="Arial" w:eastAsia="Times New Roman" w:hAnsi="Arial" w:cs="Arial"/>
                <w:i/>
                <w:iCs/>
                <w:color w:val="000000"/>
                <w:kern w:val="0"/>
                <w:sz w:val="14"/>
                <w:szCs w:val="14"/>
                <w14:ligatures w14:val="none"/>
              </w:rPr>
              <w:t>Faecalibacterium</w:t>
            </w:r>
            <w:proofErr w:type="spellEnd"/>
            <w:r w:rsidRPr="005A0005">
              <w:rPr>
                <w:rFonts w:ascii="Arial" w:eastAsia="Times New Roman" w:hAnsi="Arial" w:cs="Arial"/>
                <w:i/>
                <w:iCs/>
                <w:color w:val="000000"/>
                <w:kern w:val="0"/>
                <w:sz w:val="14"/>
                <w:szCs w:val="14"/>
                <w14:ligatures w14:val="none"/>
              </w:rPr>
              <w:t> </w:t>
            </w:r>
            <w:r w:rsidRPr="005A0005">
              <w:rPr>
                <w:rFonts w:ascii="Arial" w:eastAsia="Times New Roman" w:hAnsi="Arial" w:cs="Arial"/>
                <w:color w:val="000000"/>
                <w:kern w:val="0"/>
                <w:sz w:val="14"/>
                <w:szCs w:val="14"/>
                <w14:ligatures w14:val="none"/>
              </w:rPr>
              <w:t>MIC7145</w:t>
            </w:r>
          </w:p>
        </w:tc>
        <w:tc>
          <w:tcPr>
            <w:tcW w:w="644" w:type="dxa"/>
            <w:tcBorders>
              <w:top w:val="nil"/>
              <w:left w:val="nil"/>
              <w:bottom w:val="single" w:sz="4" w:space="0" w:color="auto"/>
              <w:right w:val="nil"/>
            </w:tcBorders>
            <w:noWrap/>
            <w:vAlign w:val="center"/>
            <w:hideMark/>
          </w:tcPr>
          <w:p w14:paraId="223BEC9C"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644" w:type="dxa"/>
            <w:tcBorders>
              <w:top w:val="nil"/>
              <w:left w:val="nil"/>
              <w:bottom w:val="single" w:sz="4" w:space="0" w:color="auto"/>
              <w:right w:val="nil"/>
            </w:tcBorders>
            <w:noWrap/>
            <w:vAlign w:val="center"/>
            <w:hideMark/>
          </w:tcPr>
          <w:p w14:paraId="6FF0EF51"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845" w:type="dxa"/>
            <w:tcBorders>
              <w:top w:val="nil"/>
              <w:left w:val="nil"/>
              <w:bottom w:val="single" w:sz="4" w:space="0" w:color="auto"/>
              <w:right w:val="nil"/>
            </w:tcBorders>
            <w:noWrap/>
            <w:vAlign w:val="center"/>
            <w:hideMark/>
          </w:tcPr>
          <w:p w14:paraId="0919DDAE"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565" w:type="dxa"/>
            <w:tcBorders>
              <w:top w:val="nil"/>
              <w:left w:val="nil"/>
              <w:bottom w:val="single" w:sz="4" w:space="0" w:color="auto"/>
              <w:right w:val="nil"/>
            </w:tcBorders>
            <w:noWrap/>
            <w:vAlign w:val="center"/>
            <w:hideMark/>
          </w:tcPr>
          <w:p w14:paraId="405A1B60"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581" w:type="dxa"/>
            <w:tcBorders>
              <w:top w:val="nil"/>
              <w:left w:val="nil"/>
              <w:bottom w:val="single" w:sz="4" w:space="0" w:color="auto"/>
              <w:right w:val="nil"/>
            </w:tcBorders>
            <w:noWrap/>
            <w:vAlign w:val="center"/>
            <w:hideMark/>
          </w:tcPr>
          <w:p w14:paraId="5BD9106F"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581" w:type="dxa"/>
            <w:tcBorders>
              <w:top w:val="nil"/>
              <w:left w:val="nil"/>
              <w:bottom w:val="single" w:sz="4" w:space="0" w:color="auto"/>
              <w:right w:val="nil"/>
            </w:tcBorders>
            <w:noWrap/>
            <w:vAlign w:val="center"/>
            <w:hideMark/>
          </w:tcPr>
          <w:p w14:paraId="31585502"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1125" w:type="dxa"/>
            <w:tcBorders>
              <w:top w:val="nil"/>
              <w:left w:val="nil"/>
              <w:bottom w:val="single" w:sz="4" w:space="0" w:color="auto"/>
              <w:right w:val="nil"/>
            </w:tcBorders>
            <w:noWrap/>
            <w:vAlign w:val="center"/>
            <w:hideMark/>
          </w:tcPr>
          <w:p w14:paraId="24C1E9AC"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1001" w:type="dxa"/>
            <w:tcBorders>
              <w:top w:val="nil"/>
              <w:left w:val="nil"/>
              <w:bottom w:val="single" w:sz="4" w:space="0" w:color="auto"/>
              <w:right w:val="nil"/>
            </w:tcBorders>
            <w:noWrap/>
            <w:vAlign w:val="center"/>
            <w:hideMark/>
          </w:tcPr>
          <w:p w14:paraId="3E2E2AF3"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r>
      <w:tr w:rsidR="004F7E77" w:rsidRPr="005A0005" w14:paraId="0D2B2D1F" w14:textId="77777777" w:rsidTr="00F25715">
        <w:trPr>
          <w:trHeight w:val="441"/>
        </w:trPr>
        <w:tc>
          <w:tcPr>
            <w:tcW w:w="1060" w:type="dxa"/>
            <w:vMerge/>
            <w:tcBorders>
              <w:top w:val="single" w:sz="4" w:space="0" w:color="auto"/>
              <w:left w:val="nil"/>
              <w:bottom w:val="single" w:sz="4" w:space="0" w:color="000000"/>
              <w:right w:val="nil"/>
            </w:tcBorders>
            <w:vAlign w:val="center"/>
            <w:hideMark/>
          </w:tcPr>
          <w:p w14:paraId="0872A888" w14:textId="77777777" w:rsidR="004F7E77" w:rsidRPr="005A0005" w:rsidRDefault="004F7E77" w:rsidP="000D14EA">
            <w:pPr>
              <w:spacing w:after="0" w:line="240" w:lineRule="auto"/>
              <w:jc w:val="both"/>
              <w:rPr>
                <w:rFonts w:ascii="Arial" w:eastAsia="Times New Roman" w:hAnsi="Arial" w:cs="Arial"/>
                <w:color w:val="000000"/>
                <w:kern w:val="0"/>
                <w:sz w:val="14"/>
                <w:szCs w:val="14"/>
                <w14:ligatures w14:val="none"/>
              </w:rPr>
            </w:pPr>
          </w:p>
        </w:tc>
        <w:tc>
          <w:tcPr>
            <w:tcW w:w="1980" w:type="dxa"/>
            <w:tcBorders>
              <w:top w:val="nil"/>
              <w:left w:val="nil"/>
              <w:bottom w:val="single" w:sz="4" w:space="0" w:color="auto"/>
              <w:right w:val="nil"/>
            </w:tcBorders>
            <w:noWrap/>
            <w:vAlign w:val="bottom"/>
            <w:hideMark/>
          </w:tcPr>
          <w:p w14:paraId="31B826D9" w14:textId="77777777" w:rsidR="004F7E77" w:rsidRPr="005A0005" w:rsidRDefault="004F7E77" w:rsidP="000D14EA">
            <w:pPr>
              <w:spacing w:after="0" w:line="240" w:lineRule="auto"/>
              <w:jc w:val="both"/>
              <w:rPr>
                <w:rFonts w:ascii="Arial" w:eastAsia="Times New Roman" w:hAnsi="Arial" w:cs="Arial"/>
                <w:i/>
                <w:iCs/>
                <w:color w:val="000000"/>
                <w:kern w:val="0"/>
                <w:sz w:val="14"/>
                <w:szCs w:val="14"/>
                <w14:ligatures w14:val="none"/>
              </w:rPr>
            </w:pPr>
            <w:proofErr w:type="spellStart"/>
            <w:r w:rsidRPr="005A0005">
              <w:rPr>
                <w:rFonts w:ascii="Arial" w:eastAsia="Times New Roman" w:hAnsi="Arial" w:cs="Arial"/>
                <w:i/>
                <w:iCs/>
                <w:color w:val="000000"/>
                <w:kern w:val="0"/>
                <w:sz w:val="14"/>
                <w:szCs w:val="14"/>
                <w14:ligatures w14:val="none"/>
              </w:rPr>
              <w:t>Coprococcus_A</w:t>
            </w:r>
            <w:proofErr w:type="spellEnd"/>
            <w:r w:rsidRPr="005A0005">
              <w:rPr>
                <w:rFonts w:ascii="Arial" w:eastAsia="Times New Roman" w:hAnsi="Arial" w:cs="Arial"/>
                <w:i/>
                <w:iCs/>
                <w:color w:val="000000"/>
                <w:kern w:val="0"/>
                <w:sz w:val="14"/>
                <w:szCs w:val="14"/>
                <w14:ligatures w14:val="none"/>
              </w:rPr>
              <w:t> catus</w:t>
            </w:r>
          </w:p>
        </w:tc>
        <w:tc>
          <w:tcPr>
            <w:tcW w:w="644" w:type="dxa"/>
            <w:tcBorders>
              <w:top w:val="nil"/>
              <w:left w:val="nil"/>
              <w:bottom w:val="single" w:sz="4" w:space="0" w:color="auto"/>
              <w:right w:val="nil"/>
            </w:tcBorders>
            <w:noWrap/>
            <w:vAlign w:val="center"/>
            <w:hideMark/>
          </w:tcPr>
          <w:p w14:paraId="00B72A94"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644" w:type="dxa"/>
            <w:tcBorders>
              <w:top w:val="nil"/>
              <w:left w:val="nil"/>
              <w:bottom w:val="single" w:sz="4" w:space="0" w:color="auto"/>
              <w:right w:val="nil"/>
            </w:tcBorders>
            <w:noWrap/>
            <w:vAlign w:val="center"/>
            <w:hideMark/>
          </w:tcPr>
          <w:p w14:paraId="0DE917C8"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845" w:type="dxa"/>
            <w:tcBorders>
              <w:top w:val="nil"/>
              <w:left w:val="nil"/>
              <w:bottom w:val="single" w:sz="4" w:space="0" w:color="auto"/>
              <w:right w:val="nil"/>
            </w:tcBorders>
            <w:noWrap/>
            <w:vAlign w:val="center"/>
            <w:hideMark/>
          </w:tcPr>
          <w:p w14:paraId="424206FC"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565" w:type="dxa"/>
            <w:tcBorders>
              <w:top w:val="nil"/>
              <w:left w:val="nil"/>
              <w:bottom w:val="single" w:sz="4" w:space="0" w:color="auto"/>
              <w:right w:val="nil"/>
            </w:tcBorders>
            <w:noWrap/>
            <w:vAlign w:val="center"/>
            <w:hideMark/>
          </w:tcPr>
          <w:p w14:paraId="7A12C0C8"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581" w:type="dxa"/>
            <w:tcBorders>
              <w:top w:val="nil"/>
              <w:left w:val="nil"/>
              <w:bottom w:val="single" w:sz="4" w:space="0" w:color="auto"/>
              <w:right w:val="nil"/>
            </w:tcBorders>
            <w:noWrap/>
            <w:vAlign w:val="center"/>
            <w:hideMark/>
          </w:tcPr>
          <w:p w14:paraId="3C7AA8E6"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581" w:type="dxa"/>
            <w:tcBorders>
              <w:top w:val="nil"/>
              <w:left w:val="nil"/>
              <w:bottom w:val="single" w:sz="4" w:space="0" w:color="auto"/>
              <w:right w:val="nil"/>
            </w:tcBorders>
            <w:noWrap/>
            <w:vAlign w:val="center"/>
            <w:hideMark/>
          </w:tcPr>
          <w:p w14:paraId="48AE5D4A"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1125" w:type="dxa"/>
            <w:tcBorders>
              <w:top w:val="nil"/>
              <w:left w:val="nil"/>
              <w:bottom w:val="single" w:sz="4" w:space="0" w:color="auto"/>
              <w:right w:val="nil"/>
            </w:tcBorders>
            <w:noWrap/>
            <w:vAlign w:val="center"/>
            <w:hideMark/>
          </w:tcPr>
          <w:p w14:paraId="643DC2A3"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c>
          <w:tcPr>
            <w:tcW w:w="1001" w:type="dxa"/>
            <w:tcBorders>
              <w:top w:val="nil"/>
              <w:left w:val="nil"/>
              <w:bottom w:val="single" w:sz="4" w:space="0" w:color="auto"/>
              <w:right w:val="nil"/>
            </w:tcBorders>
            <w:noWrap/>
            <w:vAlign w:val="center"/>
            <w:hideMark/>
          </w:tcPr>
          <w:p w14:paraId="3060D07E" w14:textId="77777777" w:rsidR="004F7E77" w:rsidRPr="005A0005" w:rsidRDefault="004F7E77" w:rsidP="000D14EA">
            <w:pPr>
              <w:spacing w:after="0" w:line="240" w:lineRule="auto"/>
              <w:jc w:val="both"/>
              <w:rPr>
                <w:rFonts w:ascii="Arial" w:eastAsia="Times New Roman" w:hAnsi="Arial" w:cs="Arial"/>
                <w:kern w:val="0"/>
                <w:sz w:val="14"/>
                <w:szCs w:val="14"/>
                <w14:ligatures w14:val="none"/>
              </w:rPr>
            </w:pPr>
            <w:r w:rsidRPr="005A0005">
              <w:rPr>
                <w:rFonts w:ascii="Segoe UI Symbol" w:eastAsia="Times New Roman" w:hAnsi="Segoe UI Symbol" w:cs="Segoe UI Symbol"/>
                <w:kern w:val="0"/>
                <w:sz w:val="14"/>
                <w:szCs w:val="14"/>
                <w14:ligatures w14:val="none"/>
              </w:rPr>
              <w:t>✓</w:t>
            </w:r>
          </w:p>
        </w:tc>
      </w:tr>
    </w:tbl>
    <w:p w14:paraId="1F8529C7" w14:textId="77777777" w:rsidR="00260A2C" w:rsidRDefault="00F25715" w:rsidP="000D14EA">
      <w:pPr>
        <w:jc w:val="both"/>
        <w:rPr>
          <w:rFonts w:ascii="Times New Roman" w:hAnsi="Times New Roman" w:cs="Times New Roman"/>
          <w:sz w:val="20"/>
          <w:szCs w:val="20"/>
        </w:rPr>
      </w:pPr>
      <w:r w:rsidRPr="000D14EA">
        <w:rPr>
          <w:rFonts w:ascii="Times New Roman" w:hAnsi="Times New Roman" w:cs="Times New Roman"/>
          <w:b/>
          <w:bCs/>
          <w:sz w:val="20"/>
          <w:szCs w:val="20"/>
        </w:rPr>
        <w:t>Note:</w:t>
      </w:r>
      <w:r w:rsidRPr="000D14EA">
        <w:rPr>
          <w:rFonts w:ascii="Times New Roman" w:hAnsi="Times New Roman" w:cs="Times New Roman"/>
          <w:sz w:val="20"/>
          <w:szCs w:val="20"/>
        </w:rPr>
        <w:t> Check marks (</w:t>
      </w:r>
      <w:r w:rsidRPr="000D14EA">
        <w:rPr>
          <w:rFonts w:ascii="Segoe UI Symbol" w:hAnsi="Segoe UI Symbol" w:cs="Segoe UI Symbol"/>
          <w:sz w:val="20"/>
          <w:szCs w:val="20"/>
        </w:rPr>
        <w:t>✓</w:t>
      </w:r>
      <w:r w:rsidRPr="000D14EA">
        <w:rPr>
          <w:rFonts w:ascii="Times New Roman" w:hAnsi="Times New Roman" w:cs="Times New Roman"/>
          <w:sz w:val="20"/>
          <w:szCs w:val="20"/>
        </w:rPr>
        <w:t>) indicate the presence of a functional feature within the species' genomic profile, and dashes (—) indicate its absence. All eight functional features were identified as significantly enriched in responders at the community level. EC 2.7.7.7, DNA-directed DNA polymerase; EC 2.7.7.6, DNA-directed RNA polymerase; THIOREDOX-PWY, thioredoxin pathway; SAM-PWY, S-adenosyl-L-methionine biosynthesis; PWY-5686, UMP (uridine monophosphate) biosynthesis I; PWY-5344, L-homocysteine biosynthesis; PEPTIDOGLYCANSYN-PWY, peptidoglycan biosynthesis I (meso-diaminopimelate containing); R, responders; NR, non-responders.</w:t>
      </w:r>
    </w:p>
    <w:p w14:paraId="6F2159C1" w14:textId="77777777" w:rsidR="00260A2C" w:rsidRDefault="00260A2C" w:rsidP="000D14EA">
      <w:pPr>
        <w:jc w:val="both"/>
        <w:rPr>
          <w:rFonts w:ascii="Times New Roman" w:hAnsi="Times New Roman" w:cs="Times New Roman"/>
          <w:sz w:val="20"/>
          <w:szCs w:val="20"/>
        </w:rPr>
      </w:pPr>
    </w:p>
    <w:p w14:paraId="6A012A6C" w14:textId="32B24C6E" w:rsidR="003C30CD" w:rsidRPr="000D14EA" w:rsidRDefault="00260A2C" w:rsidP="00260A2C">
      <w:pP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EN.REFLIST </w:instrText>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p>
    <w:sectPr w:rsidR="003C30CD" w:rsidRPr="000D14EA" w:rsidSect="00260A2C">
      <w:pgSz w:w="11906" w:h="16838"/>
      <w:pgMar w:top="567" w:right="567" w:bottom="567"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3F7F7E" w14:textId="77777777" w:rsidR="00F90EC0" w:rsidRDefault="00F90EC0" w:rsidP="007769F9">
      <w:pPr>
        <w:spacing w:after="0" w:line="240" w:lineRule="auto"/>
      </w:pPr>
      <w:r>
        <w:separator/>
      </w:r>
    </w:p>
  </w:endnote>
  <w:endnote w:type="continuationSeparator" w:id="0">
    <w:p w14:paraId="31228034" w14:textId="77777777" w:rsidR="00F90EC0" w:rsidRDefault="00F90EC0" w:rsidP="00776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C3540" w14:textId="77777777" w:rsidR="00F90EC0" w:rsidRDefault="00F90EC0" w:rsidP="007769F9">
      <w:pPr>
        <w:spacing w:after="0" w:line="240" w:lineRule="auto"/>
      </w:pPr>
      <w:r>
        <w:separator/>
      </w:r>
    </w:p>
  </w:footnote>
  <w:footnote w:type="continuationSeparator" w:id="0">
    <w:p w14:paraId="56D0DCA5" w14:textId="77777777" w:rsidR="00F90EC0" w:rsidRDefault="00F90EC0" w:rsidP="007769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494A54"/>
    <w:multiLevelType w:val="hybridMultilevel"/>
    <w:tmpl w:val="8110E7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09095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Medicine&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BE2EDC"/>
    <w:rsid w:val="00000779"/>
    <w:rsid w:val="00000BFB"/>
    <w:rsid w:val="00003A01"/>
    <w:rsid w:val="000042CE"/>
    <w:rsid w:val="000042FF"/>
    <w:rsid w:val="00004F19"/>
    <w:rsid w:val="000053C7"/>
    <w:rsid w:val="00005C6E"/>
    <w:rsid w:val="00005ECB"/>
    <w:rsid w:val="000100BF"/>
    <w:rsid w:val="00010AFB"/>
    <w:rsid w:val="00010FEF"/>
    <w:rsid w:val="00011AF4"/>
    <w:rsid w:val="000120D3"/>
    <w:rsid w:val="00012596"/>
    <w:rsid w:val="000127DC"/>
    <w:rsid w:val="00013571"/>
    <w:rsid w:val="000141F8"/>
    <w:rsid w:val="0001541B"/>
    <w:rsid w:val="00015B4C"/>
    <w:rsid w:val="000162AD"/>
    <w:rsid w:val="00020E95"/>
    <w:rsid w:val="00022682"/>
    <w:rsid w:val="00023410"/>
    <w:rsid w:val="000252DC"/>
    <w:rsid w:val="00027905"/>
    <w:rsid w:val="00030429"/>
    <w:rsid w:val="0003044D"/>
    <w:rsid w:val="0003172D"/>
    <w:rsid w:val="00032B23"/>
    <w:rsid w:val="00032EF1"/>
    <w:rsid w:val="0003304D"/>
    <w:rsid w:val="000343A1"/>
    <w:rsid w:val="00034674"/>
    <w:rsid w:val="00034734"/>
    <w:rsid w:val="00034817"/>
    <w:rsid w:val="0003481D"/>
    <w:rsid w:val="00034BF0"/>
    <w:rsid w:val="00034C11"/>
    <w:rsid w:val="0003544F"/>
    <w:rsid w:val="000361B2"/>
    <w:rsid w:val="00036F45"/>
    <w:rsid w:val="00037123"/>
    <w:rsid w:val="00037220"/>
    <w:rsid w:val="000401A3"/>
    <w:rsid w:val="000408CF"/>
    <w:rsid w:val="00041207"/>
    <w:rsid w:val="00041BED"/>
    <w:rsid w:val="000424E0"/>
    <w:rsid w:val="000439B7"/>
    <w:rsid w:val="00043A1C"/>
    <w:rsid w:val="0004449B"/>
    <w:rsid w:val="00044508"/>
    <w:rsid w:val="000464F8"/>
    <w:rsid w:val="000466A3"/>
    <w:rsid w:val="00047A9D"/>
    <w:rsid w:val="0005047C"/>
    <w:rsid w:val="00050B0E"/>
    <w:rsid w:val="00052706"/>
    <w:rsid w:val="00052C1D"/>
    <w:rsid w:val="000543AB"/>
    <w:rsid w:val="00054957"/>
    <w:rsid w:val="000558C0"/>
    <w:rsid w:val="00056972"/>
    <w:rsid w:val="00056A9F"/>
    <w:rsid w:val="000573E5"/>
    <w:rsid w:val="000576BB"/>
    <w:rsid w:val="00057906"/>
    <w:rsid w:val="00057C92"/>
    <w:rsid w:val="00060F1F"/>
    <w:rsid w:val="00062F93"/>
    <w:rsid w:val="00062FB1"/>
    <w:rsid w:val="00063941"/>
    <w:rsid w:val="000648B9"/>
    <w:rsid w:val="00064AAE"/>
    <w:rsid w:val="00064DDD"/>
    <w:rsid w:val="00065B44"/>
    <w:rsid w:val="00066241"/>
    <w:rsid w:val="00066763"/>
    <w:rsid w:val="00066BDE"/>
    <w:rsid w:val="00067516"/>
    <w:rsid w:val="00070607"/>
    <w:rsid w:val="00072119"/>
    <w:rsid w:val="000740C8"/>
    <w:rsid w:val="00075155"/>
    <w:rsid w:val="000763A1"/>
    <w:rsid w:val="00076942"/>
    <w:rsid w:val="00076C21"/>
    <w:rsid w:val="00076F17"/>
    <w:rsid w:val="00077DC4"/>
    <w:rsid w:val="00077F9A"/>
    <w:rsid w:val="000807C8"/>
    <w:rsid w:val="0008087F"/>
    <w:rsid w:val="00081D10"/>
    <w:rsid w:val="00081E0E"/>
    <w:rsid w:val="00082313"/>
    <w:rsid w:val="00082AD5"/>
    <w:rsid w:val="000830E1"/>
    <w:rsid w:val="00083E75"/>
    <w:rsid w:val="00084BE7"/>
    <w:rsid w:val="00084DE8"/>
    <w:rsid w:val="0008516E"/>
    <w:rsid w:val="000856AA"/>
    <w:rsid w:val="000877F9"/>
    <w:rsid w:val="00087A58"/>
    <w:rsid w:val="0009028F"/>
    <w:rsid w:val="00090B5A"/>
    <w:rsid w:val="00090C9C"/>
    <w:rsid w:val="00091685"/>
    <w:rsid w:val="00091C7F"/>
    <w:rsid w:val="000925F0"/>
    <w:rsid w:val="0009260C"/>
    <w:rsid w:val="00092615"/>
    <w:rsid w:val="00092A83"/>
    <w:rsid w:val="00092F73"/>
    <w:rsid w:val="00093202"/>
    <w:rsid w:val="00093927"/>
    <w:rsid w:val="00093EDF"/>
    <w:rsid w:val="00094087"/>
    <w:rsid w:val="00096D74"/>
    <w:rsid w:val="00096FBC"/>
    <w:rsid w:val="000A1035"/>
    <w:rsid w:val="000A125B"/>
    <w:rsid w:val="000A13FF"/>
    <w:rsid w:val="000A1B19"/>
    <w:rsid w:val="000A3E70"/>
    <w:rsid w:val="000A5A55"/>
    <w:rsid w:val="000A621E"/>
    <w:rsid w:val="000A6779"/>
    <w:rsid w:val="000A70D7"/>
    <w:rsid w:val="000A797F"/>
    <w:rsid w:val="000B1446"/>
    <w:rsid w:val="000B28AA"/>
    <w:rsid w:val="000B2EB4"/>
    <w:rsid w:val="000B37E5"/>
    <w:rsid w:val="000B4094"/>
    <w:rsid w:val="000B40BE"/>
    <w:rsid w:val="000B4289"/>
    <w:rsid w:val="000B5950"/>
    <w:rsid w:val="000B59A7"/>
    <w:rsid w:val="000B65AD"/>
    <w:rsid w:val="000B68F5"/>
    <w:rsid w:val="000B6C16"/>
    <w:rsid w:val="000B7541"/>
    <w:rsid w:val="000C00AD"/>
    <w:rsid w:val="000C0925"/>
    <w:rsid w:val="000C0A05"/>
    <w:rsid w:val="000C1F74"/>
    <w:rsid w:val="000C231A"/>
    <w:rsid w:val="000C36BC"/>
    <w:rsid w:val="000C3A4F"/>
    <w:rsid w:val="000C3F20"/>
    <w:rsid w:val="000C42A8"/>
    <w:rsid w:val="000C48E0"/>
    <w:rsid w:val="000C5A1A"/>
    <w:rsid w:val="000C6AFD"/>
    <w:rsid w:val="000C7FB2"/>
    <w:rsid w:val="000D094D"/>
    <w:rsid w:val="000D0C94"/>
    <w:rsid w:val="000D14EA"/>
    <w:rsid w:val="000D164F"/>
    <w:rsid w:val="000D1A26"/>
    <w:rsid w:val="000D21C5"/>
    <w:rsid w:val="000D2FB9"/>
    <w:rsid w:val="000D2FCE"/>
    <w:rsid w:val="000D3CAF"/>
    <w:rsid w:val="000D3D76"/>
    <w:rsid w:val="000D4672"/>
    <w:rsid w:val="000D4DFC"/>
    <w:rsid w:val="000D57F7"/>
    <w:rsid w:val="000D616C"/>
    <w:rsid w:val="000D6632"/>
    <w:rsid w:val="000D6BAC"/>
    <w:rsid w:val="000D7A9F"/>
    <w:rsid w:val="000D7D62"/>
    <w:rsid w:val="000E03C0"/>
    <w:rsid w:val="000E076B"/>
    <w:rsid w:val="000E07C7"/>
    <w:rsid w:val="000E2C7C"/>
    <w:rsid w:val="000E2E41"/>
    <w:rsid w:val="000E32D5"/>
    <w:rsid w:val="000E3A4F"/>
    <w:rsid w:val="000E42FD"/>
    <w:rsid w:val="000E46BB"/>
    <w:rsid w:val="000E52E8"/>
    <w:rsid w:val="000E5842"/>
    <w:rsid w:val="000E6671"/>
    <w:rsid w:val="000E6D4A"/>
    <w:rsid w:val="000E720F"/>
    <w:rsid w:val="000E7426"/>
    <w:rsid w:val="000F0CE3"/>
    <w:rsid w:val="000F1D78"/>
    <w:rsid w:val="000F2964"/>
    <w:rsid w:val="000F3E6A"/>
    <w:rsid w:val="000F47CC"/>
    <w:rsid w:val="000F5533"/>
    <w:rsid w:val="000F6A50"/>
    <w:rsid w:val="0010036C"/>
    <w:rsid w:val="00100BBC"/>
    <w:rsid w:val="00100C25"/>
    <w:rsid w:val="00101F4A"/>
    <w:rsid w:val="001020E8"/>
    <w:rsid w:val="00102986"/>
    <w:rsid w:val="00104081"/>
    <w:rsid w:val="001063E3"/>
    <w:rsid w:val="00106C08"/>
    <w:rsid w:val="001100B0"/>
    <w:rsid w:val="00110329"/>
    <w:rsid w:val="001106E9"/>
    <w:rsid w:val="00110AC2"/>
    <w:rsid w:val="00111B35"/>
    <w:rsid w:val="00112443"/>
    <w:rsid w:val="00112653"/>
    <w:rsid w:val="00112FD3"/>
    <w:rsid w:val="001133E7"/>
    <w:rsid w:val="00114802"/>
    <w:rsid w:val="001149BA"/>
    <w:rsid w:val="00114C4D"/>
    <w:rsid w:val="00115798"/>
    <w:rsid w:val="00117473"/>
    <w:rsid w:val="00117687"/>
    <w:rsid w:val="0012025F"/>
    <w:rsid w:val="00120D40"/>
    <w:rsid w:val="00123D6D"/>
    <w:rsid w:val="00123EF1"/>
    <w:rsid w:val="00125325"/>
    <w:rsid w:val="001257F9"/>
    <w:rsid w:val="001263D2"/>
    <w:rsid w:val="00126BA8"/>
    <w:rsid w:val="0012713D"/>
    <w:rsid w:val="00127381"/>
    <w:rsid w:val="001276D7"/>
    <w:rsid w:val="00127829"/>
    <w:rsid w:val="001278C9"/>
    <w:rsid w:val="001303D4"/>
    <w:rsid w:val="00130828"/>
    <w:rsid w:val="00130B39"/>
    <w:rsid w:val="00130C0F"/>
    <w:rsid w:val="0013134F"/>
    <w:rsid w:val="00131CCE"/>
    <w:rsid w:val="00132858"/>
    <w:rsid w:val="00132C7A"/>
    <w:rsid w:val="00132DC5"/>
    <w:rsid w:val="00132ED5"/>
    <w:rsid w:val="00132FF1"/>
    <w:rsid w:val="00133913"/>
    <w:rsid w:val="001345FF"/>
    <w:rsid w:val="001347B3"/>
    <w:rsid w:val="001371D8"/>
    <w:rsid w:val="00140E4D"/>
    <w:rsid w:val="00141FEE"/>
    <w:rsid w:val="00144131"/>
    <w:rsid w:val="001442F8"/>
    <w:rsid w:val="001443B2"/>
    <w:rsid w:val="00145849"/>
    <w:rsid w:val="00145A02"/>
    <w:rsid w:val="0014603F"/>
    <w:rsid w:val="00147FD7"/>
    <w:rsid w:val="00150082"/>
    <w:rsid w:val="0015072C"/>
    <w:rsid w:val="001508F3"/>
    <w:rsid w:val="0015251F"/>
    <w:rsid w:val="001525AC"/>
    <w:rsid w:val="00152C14"/>
    <w:rsid w:val="00152EBC"/>
    <w:rsid w:val="00153863"/>
    <w:rsid w:val="00153B12"/>
    <w:rsid w:val="00153F42"/>
    <w:rsid w:val="00155352"/>
    <w:rsid w:val="00155690"/>
    <w:rsid w:val="001606A0"/>
    <w:rsid w:val="00160770"/>
    <w:rsid w:val="001611B8"/>
    <w:rsid w:val="001613D2"/>
    <w:rsid w:val="0016275A"/>
    <w:rsid w:val="00163185"/>
    <w:rsid w:val="0016342B"/>
    <w:rsid w:val="0016497A"/>
    <w:rsid w:val="00164AFE"/>
    <w:rsid w:val="00164BE0"/>
    <w:rsid w:val="00165701"/>
    <w:rsid w:val="0016589F"/>
    <w:rsid w:val="00165DC8"/>
    <w:rsid w:val="001669E1"/>
    <w:rsid w:val="0017026D"/>
    <w:rsid w:val="001704B7"/>
    <w:rsid w:val="00170890"/>
    <w:rsid w:val="00170AD7"/>
    <w:rsid w:val="00170DB2"/>
    <w:rsid w:val="00170F84"/>
    <w:rsid w:val="00171486"/>
    <w:rsid w:val="001714A5"/>
    <w:rsid w:val="00171800"/>
    <w:rsid w:val="00171E8E"/>
    <w:rsid w:val="0017310E"/>
    <w:rsid w:val="00175F16"/>
    <w:rsid w:val="00176153"/>
    <w:rsid w:val="001765D3"/>
    <w:rsid w:val="00177223"/>
    <w:rsid w:val="00180305"/>
    <w:rsid w:val="001806EE"/>
    <w:rsid w:val="00181007"/>
    <w:rsid w:val="00181CDE"/>
    <w:rsid w:val="001837C0"/>
    <w:rsid w:val="00184726"/>
    <w:rsid w:val="00184F15"/>
    <w:rsid w:val="00185262"/>
    <w:rsid w:val="0018667C"/>
    <w:rsid w:val="0019013B"/>
    <w:rsid w:val="00190185"/>
    <w:rsid w:val="0019063F"/>
    <w:rsid w:val="00190789"/>
    <w:rsid w:val="00191403"/>
    <w:rsid w:val="00192209"/>
    <w:rsid w:val="00192237"/>
    <w:rsid w:val="001923DE"/>
    <w:rsid w:val="00193012"/>
    <w:rsid w:val="00195360"/>
    <w:rsid w:val="00195612"/>
    <w:rsid w:val="0019590D"/>
    <w:rsid w:val="001962D2"/>
    <w:rsid w:val="001963F6"/>
    <w:rsid w:val="00196BE1"/>
    <w:rsid w:val="001977A3"/>
    <w:rsid w:val="00197954"/>
    <w:rsid w:val="001A0434"/>
    <w:rsid w:val="001A0915"/>
    <w:rsid w:val="001A0C12"/>
    <w:rsid w:val="001A2C51"/>
    <w:rsid w:val="001A3AFB"/>
    <w:rsid w:val="001A492B"/>
    <w:rsid w:val="001A5E03"/>
    <w:rsid w:val="001A6042"/>
    <w:rsid w:val="001A62A9"/>
    <w:rsid w:val="001A65AE"/>
    <w:rsid w:val="001A6AB0"/>
    <w:rsid w:val="001A6F38"/>
    <w:rsid w:val="001B01D3"/>
    <w:rsid w:val="001B08D7"/>
    <w:rsid w:val="001B15E0"/>
    <w:rsid w:val="001B21D7"/>
    <w:rsid w:val="001B2EC9"/>
    <w:rsid w:val="001B36D0"/>
    <w:rsid w:val="001B4F94"/>
    <w:rsid w:val="001B5E67"/>
    <w:rsid w:val="001B726F"/>
    <w:rsid w:val="001B7960"/>
    <w:rsid w:val="001C03AB"/>
    <w:rsid w:val="001C0F0C"/>
    <w:rsid w:val="001C15C1"/>
    <w:rsid w:val="001C1F39"/>
    <w:rsid w:val="001C2182"/>
    <w:rsid w:val="001C2D1B"/>
    <w:rsid w:val="001C3CBB"/>
    <w:rsid w:val="001C3FF3"/>
    <w:rsid w:val="001C4941"/>
    <w:rsid w:val="001C5992"/>
    <w:rsid w:val="001C7DA0"/>
    <w:rsid w:val="001D0C0E"/>
    <w:rsid w:val="001D0CA2"/>
    <w:rsid w:val="001D0D06"/>
    <w:rsid w:val="001D0E8A"/>
    <w:rsid w:val="001D14B5"/>
    <w:rsid w:val="001D1E57"/>
    <w:rsid w:val="001D2307"/>
    <w:rsid w:val="001D2354"/>
    <w:rsid w:val="001D2800"/>
    <w:rsid w:val="001D2825"/>
    <w:rsid w:val="001D3291"/>
    <w:rsid w:val="001D33A1"/>
    <w:rsid w:val="001D51B9"/>
    <w:rsid w:val="001D623A"/>
    <w:rsid w:val="001D6C21"/>
    <w:rsid w:val="001D7FDA"/>
    <w:rsid w:val="001E0290"/>
    <w:rsid w:val="001E0EDB"/>
    <w:rsid w:val="001E1927"/>
    <w:rsid w:val="001E1CE1"/>
    <w:rsid w:val="001E1EBA"/>
    <w:rsid w:val="001E2C50"/>
    <w:rsid w:val="001E33DB"/>
    <w:rsid w:val="001E408D"/>
    <w:rsid w:val="001E53D9"/>
    <w:rsid w:val="001E58B3"/>
    <w:rsid w:val="001E5F4C"/>
    <w:rsid w:val="001E6A66"/>
    <w:rsid w:val="001E7D62"/>
    <w:rsid w:val="001F0CEB"/>
    <w:rsid w:val="001F1390"/>
    <w:rsid w:val="001F2B87"/>
    <w:rsid w:val="001F3D8F"/>
    <w:rsid w:val="001F43D9"/>
    <w:rsid w:val="001F4983"/>
    <w:rsid w:val="001F4B43"/>
    <w:rsid w:val="001F63B0"/>
    <w:rsid w:val="001F6D1F"/>
    <w:rsid w:val="001F7CDB"/>
    <w:rsid w:val="00200989"/>
    <w:rsid w:val="002030CA"/>
    <w:rsid w:val="00203D9A"/>
    <w:rsid w:val="00204412"/>
    <w:rsid w:val="00205785"/>
    <w:rsid w:val="00205B3E"/>
    <w:rsid w:val="002065C8"/>
    <w:rsid w:val="0020668E"/>
    <w:rsid w:val="002074E3"/>
    <w:rsid w:val="002106AB"/>
    <w:rsid w:val="00212A38"/>
    <w:rsid w:val="00213D0E"/>
    <w:rsid w:val="00214475"/>
    <w:rsid w:val="0021484E"/>
    <w:rsid w:val="00214BF4"/>
    <w:rsid w:val="00215CE9"/>
    <w:rsid w:val="00216DBD"/>
    <w:rsid w:val="00216FB4"/>
    <w:rsid w:val="002174BB"/>
    <w:rsid w:val="00222B62"/>
    <w:rsid w:val="00223C5A"/>
    <w:rsid w:val="00224298"/>
    <w:rsid w:val="00224687"/>
    <w:rsid w:val="002249FB"/>
    <w:rsid w:val="00225047"/>
    <w:rsid w:val="0022524E"/>
    <w:rsid w:val="002255F4"/>
    <w:rsid w:val="0022585C"/>
    <w:rsid w:val="00225887"/>
    <w:rsid w:val="00225BE4"/>
    <w:rsid w:val="00226B1F"/>
    <w:rsid w:val="00230822"/>
    <w:rsid w:val="0023097F"/>
    <w:rsid w:val="002314CA"/>
    <w:rsid w:val="0023153E"/>
    <w:rsid w:val="00233214"/>
    <w:rsid w:val="00233F5D"/>
    <w:rsid w:val="00234A66"/>
    <w:rsid w:val="00235A78"/>
    <w:rsid w:val="0023661D"/>
    <w:rsid w:val="00236906"/>
    <w:rsid w:val="00237217"/>
    <w:rsid w:val="00240AB0"/>
    <w:rsid w:val="00241ABA"/>
    <w:rsid w:val="00242B25"/>
    <w:rsid w:val="00245720"/>
    <w:rsid w:val="00245A7B"/>
    <w:rsid w:val="00245FB3"/>
    <w:rsid w:val="00246A6B"/>
    <w:rsid w:val="00246D40"/>
    <w:rsid w:val="00247A0A"/>
    <w:rsid w:val="00247DDE"/>
    <w:rsid w:val="0025108D"/>
    <w:rsid w:val="00252B43"/>
    <w:rsid w:val="00252F4F"/>
    <w:rsid w:val="0025337C"/>
    <w:rsid w:val="002536A2"/>
    <w:rsid w:val="00253A2D"/>
    <w:rsid w:val="00254E88"/>
    <w:rsid w:val="00256827"/>
    <w:rsid w:val="00257175"/>
    <w:rsid w:val="00260465"/>
    <w:rsid w:val="002607D7"/>
    <w:rsid w:val="00260A2C"/>
    <w:rsid w:val="00261891"/>
    <w:rsid w:val="00262057"/>
    <w:rsid w:val="00266732"/>
    <w:rsid w:val="00267257"/>
    <w:rsid w:val="00271B5C"/>
    <w:rsid w:val="00272B1D"/>
    <w:rsid w:val="00272C4A"/>
    <w:rsid w:val="00273123"/>
    <w:rsid w:val="00275424"/>
    <w:rsid w:val="00277437"/>
    <w:rsid w:val="00280413"/>
    <w:rsid w:val="00280D47"/>
    <w:rsid w:val="00280E6F"/>
    <w:rsid w:val="00281786"/>
    <w:rsid w:val="00281D44"/>
    <w:rsid w:val="00281F64"/>
    <w:rsid w:val="00281FFC"/>
    <w:rsid w:val="00282C87"/>
    <w:rsid w:val="002841FA"/>
    <w:rsid w:val="00284FB5"/>
    <w:rsid w:val="00285DBE"/>
    <w:rsid w:val="002866AE"/>
    <w:rsid w:val="002877F5"/>
    <w:rsid w:val="00290C1F"/>
    <w:rsid w:val="00291B2D"/>
    <w:rsid w:val="00292473"/>
    <w:rsid w:val="002928B3"/>
    <w:rsid w:val="002942B5"/>
    <w:rsid w:val="00294F07"/>
    <w:rsid w:val="00295F83"/>
    <w:rsid w:val="00296F9A"/>
    <w:rsid w:val="002979B7"/>
    <w:rsid w:val="002A05E2"/>
    <w:rsid w:val="002A159A"/>
    <w:rsid w:val="002A21C4"/>
    <w:rsid w:val="002A27CB"/>
    <w:rsid w:val="002A2825"/>
    <w:rsid w:val="002A2D53"/>
    <w:rsid w:val="002A4016"/>
    <w:rsid w:val="002A4436"/>
    <w:rsid w:val="002A4E57"/>
    <w:rsid w:val="002A4F81"/>
    <w:rsid w:val="002A6A83"/>
    <w:rsid w:val="002A73D2"/>
    <w:rsid w:val="002A7EF0"/>
    <w:rsid w:val="002B02B3"/>
    <w:rsid w:val="002B2067"/>
    <w:rsid w:val="002B2621"/>
    <w:rsid w:val="002B28C1"/>
    <w:rsid w:val="002B2CCA"/>
    <w:rsid w:val="002B3A00"/>
    <w:rsid w:val="002B4EAD"/>
    <w:rsid w:val="002B58E8"/>
    <w:rsid w:val="002B63A5"/>
    <w:rsid w:val="002C12C7"/>
    <w:rsid w:val="002C17F9"/>
    <w:rsid w:val="002C22BE"/>
    <w:rsid w:val="002C273F"/>
    <w:rsid w:val="002C29CC"/>
    <w:rsid w:val="002C2C54"/>
    <w:rsid w:val="002C3217"/>
    <w:rsid w:val="002C3E96"/>
    <w:rsid w:val="002C5D18"/>
    <w:rsid w:val="002C65CC"/>
    <w:rsid w:val="002C77E9"/>
    <w:rsid w:val="002C7937"/>
    <w:rsid w:val="002C7C72"/>
    <w:rsid w:val="002C7E09"/>
    <w:rsid w:val="002D0CFC"/>
    <w:rsid w:val="002D1667"/>
    <w:rsid w:val="002D17C9"/>
    <w:rsid w:val="002D2C11"/>
    <w:rsid w:val="002D3A67"/>
    <w:rsid w:val="002D3E30"/>
    <w:rsid w:val="002D4D0E"/>
    <w:rsid w:val="002D5172"/>
    <w:rsid w:val="002D5712"/>
    <w:rsid w:val="002D6ABE"/>
    <w:rsid w:val="002D6AFE"/>
    <w:rsid w:val="002D6B47"/>
    <w:rsid w:val="002D7175"/>
    <w:rsid w:val="002D740F"/>
    <w:rsid w:val="002E0B49"/>
    <w:rsid w:val="002E0BCE"/>
    <w:rsid w:val="002E1350"/>
    <w:rsid w:val="002E1FED"/>
    <w:rsid w:val="002E21A5"/>
    <w:rsid w:val="002E5286"/>
    <w:rsid w:val="002E564E"/>
    <w:rsid w:val="002E58BF"/>
    <w:rsid w:val="002E770A"/>
    <w:rsid w:val="002F000F"/>
    <w:rsid w:val="002F1C00"/>
    <w:rsid w:val="002F31C1"/>
    <w:rsid w:val="002F332A"/>
    <w:rsid w:val="002F4AF8"/>
    <w:rsid w:val="002F69D6"/>
    <w:rsid w:val="002F6D2A"/>
    <w:rsid w:val="002F7976"/>
    <w:rsid w:val="002F7A70"/>
    <w:rsid w:val="00300A41"/>
    <w:rsid w:val="00300D30"/>
    <w:rsid w:val="003014DD"/>
    <w:rsid w:val="0030166F"/>
    <w:rsid w:val="00302592"/>
    <w:rsid w:val="003039D4"/>
    <w:rsid w:val="003041AE"/>
    <w:rsid w:val="00304C19"/>
    <w:rsid w:val="0030514F"/>
    <w:rsid w:val="00305C4A"/>
    <w:rsid w:val="00305CCB"/>
    <w:rsid w:val="00305D7A"/>
    <w:rsid w:val="00305E2C"/>
    <w:rsid w:val="003061B6"/>
    <w:rsid w:val="0030676D"/>
    <w:rsid w:val="00307305"/>
    <w:rsid w:val="003076C5"/>
    <w:rsid w:val="00307A87"/>
    <w:rsid w:val="00307F1E"/>
    <w:rsid w:val="003101E7"/>
    <w:rsid w:val="00310C76"/>
    <w:rsid w:val="003112D3"/>
    <w:rsid w:val="003114C8"/>
    <w:rsid w:val="003131BB"/>
    <w:rsid w:val="00313819"/>
    <w:rsid w:val="00313DE3"/>
    <w:rsid w:val="0031488F"/>
    <w:rsid w:val="00314E3F"/>
    <w:rsid w:val="00315EDB"/>
    <w:rsid w:val="00316281"/>
    <w:rsid w:val="0031651D"/>
    <w:rsid w:val="00320499"/>
    <w:rsid w:val="0032087E"/>
    <w:rsid w:val="00321855"/>
    <w:rsid w:val="003236B7"/>
    <w:rsid w:val="00323E48"/>
    <w:rsid w:val="003240BC"/>
    <w:rsid w:val="00324882"/>
    <w:rsid w:val="00324F38"/>
    <w:rsid w:val="00325167"/>
    <w:rsid w:val="00326441"/>
    <w:rsid w:val="00327181"/>
    <w:rsid w:val="003277B4"/>
    <w:rsid w:val="00327E78"/>
    <w:rsid w:val="00330ADA"/>
    <w:rsid w:val="00330BA7"/>
    <w:rsid w:val="00331140"/>
    <w:rsid w:val="003317F7"/>
    <w:rsid w:val="00332BA3"/>
    <w:rsid w:val="00332C07"/>
    <w:rsid w:val="00332CFF"/>
    <w:rsid w:val="00333789"/>
    <w:rsid w:val="00335C21"/>
    <w:rsid w:val="00336229"/>
    <w:rsid w:val="0033702A"/>
    <w:rsid w:val="003407D7"/>
    <w:rsid w:val="00340EB8"/>
    <w:rsid w:val="00342AF2"/>
    <w:rsid w:val="0034369C"/>
    <w:rsid w:val="00343863"/>
    <w:rsid w:val="003439CC"/>
    <w:rsid w:val="00343AD0"/>
    <w:rsid w:val="00343FEC"/>
    <w:rsid w:val="00344A5F"/>
    <w:rsid w:val="0034544B"/>
    <w:rsid w:val="00345B94"/>
    <w:rsid w:val="00345D32"/>
    <w:rsid w:val="003460D0"/>
    <w:rsid w:val="00346CA1"/>
    <w:rsid w:val="00347FD9"/>
    <w:rsid w:val="0035147C"/>
    <w:rsid w:val="00352877"/>
    <w:rsid w:val="003529A6"/>
    <w:rsid w:val="00353CF0"/>
    <w:rsid w:val="0035415B"/>
    <w:rsid w:val="00355033"/>
    <w:rsid w:val="0035626F"/>
    <w:rsid w:val="00356706"/>
    <w:rsid w:val="00356CB9"/>
    <w:rsid w:val="00357A41"/>
    <w:rsid w:val="00357B9C"/>
    <w:rsid w:val="003607B6"/>
    <w:rsid w:val="003609BD"/>
    <w:rsid w:val="00362462"/>
    <w:rsid w:val="00362E43"/>
    <w:rsid w:val="00363BBF"/>
    <w:rsid w:val="00364B0B"/>
    <w:rsid w:val="003658CE"/>
    <w:rsid w:val="00365B77"/>
    <w:rsid w:val="00365B96"/>
    <w:rsid w:val="003664C9"/>
    <w:rsid w:val="00366B33"/>
    <w:rsid w:val="00366E65"/>
    <w:rsid w:val="00367A51"/>
    <w:rsid w:val="00367AFC"/>
    <w:rsid w:val="003713C6"/>
    <w:rsid w:val="003713CC"/>
    <w:rsid w:val="00372AD9"/>
    <w:rsid w:val="00374069"/>
    <w:rsid w:val="0037412A"/>
    <w:rsid w:val="003749D0"/>
    <w:rsid w:val="00376F53"/>
    <w:rsid w:val="0037754A"/>
    <w:rsid w:val="00377954"/>
    <w:rsid w:val="00380396"/>
    <w:rsid w:val="0038259C"/>
    <w:rsid w:val="003835C5"/>
    <w:rsid w:val="00387837"/>
    <w:rsid w:val="00387EFD"/>
    <w:rsid w:val="003909FE"/>
    <w:rsid w:val="003910A0"/>
    <w:rsid w:val="003914CE"/>
    <w:rsid w:val="003917B8"/>
    <w:rsid w:val="00391CC3"/>
    <w:rsid w:val="00391F58"/>
    <w:rsid w:val="00392820"/>
    <w:rsid w:val="00393020"/>
    <w:rsid w:val="00393A9B"/>
    <w:rsid w:val="00393E5D"/>
    <w:rsid w:val="003952DB"/>
    <w:rsid w:val="003963DA"/>
    <w:rsid w:val="00396D1E"/>
    <w:rsid w:val="00396E28"/>
    <w:rsid w:val="003A1155"/>
    <w:rsid w:val="003A1337"/>
    <w:rsid w:val="003A1BF9"/>
    <w:rsid w:val="003A3B28"/>
    <w:rsid w:val="003A4530"/>
    <w:rsid w:val="003A4571"/>
    <w:rsid w:val="003A612C"/>
    <w:rsid w:val="003A660E"/>
    <w:rsid w:val="003A6BF1"/>
    <w:rsid w:val="003A7219"/>
    <w:rsid w:val="003A79EF"/>
    <w:rsid w:val="003A7DD9"/>
    <w:rsid w:val="003B0782"/>
    <w:rsid w:val="003B26E5"/>
    <w:rsid w:val="003B27EA"/>
    <w:rsid w:val="003B2A6B"/>
    <w:rsid w:val="003B3551"/>
    <w:rsid w:val="003B4D79"/>
    <w:rsid w:val="003B58FD"/>
    <w:rsid w:val="003B5EC2"/>
    <w:rsid w:val="003B6C40"/>
    <w:rsid w:val="003B6E2D"/>
    <w:rsid w:val="003B7586"/>
    <w:rsid w:val="003C049B"/>
    <w:rsid w:val="003C1296"/>
    <w:rsid w:val="003C13CD"/>
    <w:rsid w:val="003C27FA"/>
    <w:rsid w:val="003C2D39"/>
    <w:rsid w:val="003C30CD"/>
    <w:rsid w:val="003C339B"/>
    <w:rsid w:val="003C369A"/>
    <w:rsid w:val="003C4524"/>
    <w:rsid w:val="003C5BF2"/>
    <w:rsid w:val="003C7FDE"/>
    <w:rsid w:val="003D002D"/>
    <w:rsid w:val="003D0828"/>
    <w:rsid w:val="003D0B5B"/>
    <w:rsid w:val="003D0EED"/>
    <w:rsid w:val="003D172A"/>
    <w:rsid w:val="003D195C"/>
    <w:rsid w:val="003D24CE"/>
    <w:rsid w:val="003D2E4E"/>
    <w:rsid w:val="003D3F08"/>
    <w:rsid w:val="003D3F8B"/>
    <w:rsid w:val="003D4AD0"/>
    <w:rsid w:val="003D5647"/>
    <w:rsid w:val="003D5C62"/>
    <w:rsid w:val="003D6518"/>
    <w:rsid w:val="003E0605"/>
    <w:rsid w:val="003E0676"/>
    <w:rsid w:val="003E1AE9"/>
    <w:rsid w:val="003E1C95"/>
    <w:rsid w:val="003E285D"/>
    <w:rsid w:val="003E3BDD"/>
    <w:rsid w:val="003E3EEF"/>
    <w:rsid w:val="003E4179"/>
    <w:rsid w:val="003E58E9"/>
    <w:rsid w:val="003E6EE4"/>
    <w:rsid w:val="003F100B"/>
    <w:rsid w:val="003F10B7"/>
    <w:rsid w:val="003F151F"/>
    <w:rsid w:val="003F27BC"/>
    <w:rsid w:val="003F3D40"/>
    <w:rsid w:val="003F427B"/>
    <w:rsid w:val="003F45A3"/>
    <w:rsid w:val="003F51ED"/>
    <w:rsid w:val="003F51FB"/>
    <w:rsid w:val="003F55EE"/>
    <w:rsid w:val="003F5637"/>
    <w:rsid w:val="003F6006"/>
    <w:rsid w:val="003F699D"/>
    <w:rsid w:val="003F74ED"/>
    <w:rsid w:val="003F7728"/>
    <w:rsid w:val="003F7B47"/>
    <w:rsid w:val="003F7BF0"/>
    <w:rsid w:val="003F7C09"/>
    <w:rsid w:val="00400074"/>
    <w:rsid w:val="00402CEA"/>
    <w:rsid w:val="004030A1"/>
    <w:rsid w:val="00403F39"/>
    <w:rsid w:val="004040A8"/>
    <w:rsid w:val="00404612"/>
    <w:rsid w:val="00404D58"/>
    <w:rsid w:val="00405BBA"/>
    <w:rsid w:val="00405EA7"/>
    <w:rsid w:val="00406C43"/>
    <w:rsid w:val="00406E3C"/>
    <w:rsid w:val="00410244"/>
    <w:rsid w:val="004114AC"/>
    <w:rsid w:val="0041221C"/>
    <w:rsid w:val="004128F3"/>
    <w:rsid w:val="00412B62"/>
    <w:rsid w:val="004134CD"/>
    <w:rsid w:val="004149EC"/>
    <w:rsid w:val="00414DEA"/>
    <w:rsid w:val="00415175"/>
    <w:rsid w:val="00416862"/>
    <w:rsid w:val="00416C9B"/>
    <w:rsid w:val="00420A7D"/>
    <w:rsid w:val="004212B6"/>
    <w:rsid w:val="00422017"/>
    <w:rsid w:val="0042253B"/>
    <w:rsid w:val="00422560"/>
    <w:rsid w:val="00422C7B"/>
    <w:rsid w:val="00422FC1"/>
    <w:rsid w:val="00423E4E"/>
    <w:rsid w:val="00424199"/>
    <w:rsid w:val="004255B1"/>
    <w:rsid w:val="004256A6"/>
    <w:rsid w:val="00425BB8"/>
    <w:rsid w:val="004266A8"/>
    <w:rsid w:val="00427056"/>
    <w:rsid w:val="00430B8E"/>
    <w:rsid w:val="00433833"/>
    <w:rsid w:val="00433A87"/>
    <w:rsid w:val="00434339"/>
    <w:rsid w:val="00434AF8"/>
    <w:rsid w:val="00435250"/>
    <w:rsid w:val="00435EC1"/>
    <w:rsid w:val="00436751"/>
    <w:rsid w:val="0043683D"/>
    <w:rsid w:val="00437A4E"/>
    <w:rsid w:val="0044028B"/>
    <w:rsid w:val="00440F41"/>
    <w:rsid w:val="00442318"/>
    <w:rsid w:val="004427AD"/>
    <w:rsid w:val="004449A7"/>
    <w:rsid w:val="00445103"/>
    <w:rsid w:val="004455AE"/>
    <w:rsid w:val="0044690B"/>
    <w:rsid w:val="004476BF"/>
    <w:rsid w:val="00447914"/>
    <w:rsid w:val="00447AB8"/>
    <w:rsid w:val="00451128"/>
    <w:rsid w:val="00451857"/>
    <w:rsid w:val="00452220"/>
    <w:rsid w:val="00452399"/>
    <w:rsid w:val="004540D8"/>
    <w:rsid w:val="0045410F"/>
    <w:rsid w:val="00454132"/>
    <w:rsid w:val="0045478D"/>
    <w:rsid w:val="00454D6B"/>
    <w:rsid w:val="00454FB1"/>
    <w:rsid w:val="00456263"/>
    <w:rsid w:val="004572DD"/>
    <w:rsid w:val="004576E9"/>
    <w:rsid w:val="004579B8"/>
    <w:rsid w:val="00457B9B"/>
    <w:rsid w:val="00457DB7"/>
    <w:rsid w:val="00457E78"/>
    <w:rsid w:val="00460323"/>
    <w:rsid w:val="00461915"/>
    <w:rsid w:val="00461BA2"/>
    <w:rsid w:val="00461BAE"/>
    <w:rsid w:val="004621B8"/>
    <w:rsid w:val="00462558"/>
    <w:rsid w:val="00463A58"/>
    <w:rsid w:val="00463E3E"/>
    <w:rsid w:val="004649C0"/>
    <w:rsid w:val="00464FB8"/>
    <w:rsid w:val="00465B70"/>
    <w:rsid w:val="004669A9"/>
    <w:rsid w:val="00466C10"/>
    <w:rsid w:val="00466CB3"/>
    <w:rsid w:val="00466E60"/>
    <w:rsid w:val="00466F83"/>
    <w:rsid w:val="00467919"/>
    <w:rsid w:val="00467AA0"/>
    <w:rsid w:val="00467DEF"/>
    <w:rsid w:val="00470800"/>
    <w:rsid w:val="00471322"/>
    <w:rsid w:val="0047242E"/>
    <w:rsid w:val="00472D3A"/>
    <w:rsid w:val="004739D8"/>
    <w:rsid w:val="00473DB0"/>
    <w:rsid w:val="00474E82"/>
    <w:rsid w:val="00475710"/>
    <w:rsid w:val="00476A54"/>
    <w:rsid w:val="00476F5D"/>
    <w:rsid w:val="004771BB"/>
    <w:rsid w:val="004805EB"/>
    <w:rsid w:val="0048094A"/>
    <w:rsid w:val="0048176A"/>
    <w:rsid w:val="0048295F"/>
    <w:rsid w:val="0048302E"/>
    <w:rsid w:val="0048333F"/>
    <w:rsid w:val="00483991"/>
    <w:rsid w:val="00484552"/>
    <w:rsid w:val="004853CD"/>
    <w:rsid w:val="0048550D"/>
    <w:rsid w:val="00485E52"/>
    <w:rsid w:val="0048611D"/>
    <w:rsid w:val="004904C0"/>
    <w:rsid w:val="00490614"/>
    <w:rsid w:val="00490857"/>
    <w:rsid w:val="00490D49"/>
    <w:rsid w:val="004917E6"/>
    <w:rsid w:val="00492389"/>
    <w:rsid w:val="00492DD9"/>
    <w:rsid w:val="00493C02"/>
    <w:rsid w:val="00494571"/>
    <w:rsid w:val="00494D04"/>
    <w:rsid w:val="004953A4"/>
    <w:rsid w:val="00495E55"/>
    <w:rsid w:val="00497DDC"/>
    <w:rsid w:val="00497DED"/>
    <w:rsid w:val="004A2748"/>
    <w:rsid w:val="004A2AA2"/>
    <w:rsid w:val="004A2E5D"/>
    <w:rsid w:val="004A2FCF"/>
    <w:rsid w:val="004A368B"/>
    <w:rsid w:val="004A3E28"/>
    <w:rsid w:val="004A47D8"/>
    <w:rsid w:val="004A6823"/>
    <w:rsid w:val="004A778B"/>
    <w:rsid w:val="004B0E47"/>
    <w:rsid w:val="004B168E"/>
    <w:rsid w:val="004B177A"/>
    <w:rsid w:val="004B2B2C"/>
    <w:rsid w:val="004B34E3"/>
    <w:rsid w:val="004B34F5"/>
    <w:rsid w:val="004B3768"/>
    <w:rsid w:val="004B399E"/>
    <w:rsid w:val="004B51F1"/>
    <w:rsid w:val="004B5974"/>
    <w:rsid w:val="004B6B34"/>
    <w:rsid w:val="004C0760"/>
    <w:rsid w:val="004C3AF7"/>
    <w:rsid w:val="004C4764"/>
    <w:rsid w:val="004C4A6D"/>
    <w:rsid w:val="004C4C23"/>
    <w:rsid w:val="004C584A"/>
    <w:rsid w:val="004D040A"/>
    <w:rsid w:val="004D121E"/>
    <w:rsid w:val="004D1927"/>
    <w:rsid w:val="004D1F84"/>
    <w:rsid w:val="004D2564"/>
    <w:rsid w:val="004D25C2"/>
    <w:rsid w:val="004D2BD3"/>
    <w:rsid w:val="004D2BFC"/>
    <w:rsid w:val="004D3158"/>
    <w:rsid w:val="004D3787"/>
    <w:rsid w:val="004D558E"/>
    <w:rsid w:val="004D5A14"/>
    <w:rsid w:val="004D6593"/>
    <w:rsid w:val="004D779A"/>
    <w:rsid w:val="004E0F61"/>
    <w:rsid w:val="004E12B9"/>
    <w:rsid w:val="004E1E3F"/>
    <w:rsid w:val="004E20AB"/>
    <w:rsid w:val="004E241D"/>
    <w:rsid w:val="004E2DA2"/>
    <w:rsid w:val="004E4013"/>
    <w:rsid w:val="004E5CB6"/>
    <w:rsid w:val="004E62BC"/>
    <w:rsid w:val="004E712C"/>
    <w:rsid w:val="004E7CDF"/>
    <w:rsid w:val="004E7D8F"/>
    <w:rsid w:val="004F0677"/>
    <w:rsid w:val="004F0D71"/>
    <w:rsid w:val="004F17C8"/>
    <w:rsid w:val="004F194F"/>
    <w:rsid w:val="004F30BE"/>
    <w:rsid w:val="004F5136"/>
    <w:rsid w:val="004F55F3"/>
    <w:rsid w:val="004F560B"/>
    <w:rsid w:val="004F6BF9"/>
    <w:rsid w:val="004F7E77"/>
    <w:rsid w:val="0050063E"/>
    <w:rsid w:val="005007BE"/>
    <w:rsid w:val="0050180A"/>
    <w:rsid w:val="00501AC2"/>
    <w:rsid w:val="00501B6E"/>
    <w:rsid w:val="00501C32"/>
    <w:rsid w:val="00502A45"/>
    <w:rsid w:val="00504D30"/>
    <w:rsid w:val="00504E9D"/>
    <w:rsid w:val="005050AB"/>
    <w:rsid w:val="0050517C"/>
    <w:rsid w:val="00505E42"/>
    <w:rsid w:val="005069CE"/>
    <w:rsid w:val="00510B8D"/>
    <w:rsid w:val="00512A75"/>
    <w:rsid w:val="00512C1B"/>
    <w:rsid w:val="00513E80"/>
    <w:rsid w:val="00513FFE"/>
    <w:rsid w:val="0051427A"/>
    <w:rsid w:val="00514BC8"/>
    <w:rsid w:val="00515D3B"/>
    <w:rsid w:val="00516221"/>
    <w:rsid w:val="005168C3"/>
    <w:rsid w:val="005171E6"/>
    <w:rsid w:val="00517A40"/>
    <w:rsid w:val="00520F94"/>
    <w:rsid w:val="00522AEE"/>
    <w:rsid w:val="00523CB3"/>
    <w:rsid w:val="005245C0"/>
    <w:rsid w:val="00524EF3"/>
    <w:rsid w:val="005250AB"/>
    <w:rsid w:val="00525388"/>
    <w:rsid w:val="005254D4"/>
    <w:rsid w:val="00525FD5"/>
    <w:rsid w:val="00526ADA"/>
    <w:rsid w:val="00527016"/>
    <w:rsid w:val="005308A2"/>
    <w:rsid w:val="00531AE9"/>
    <w:rsid w:val="00531AFF"/>
    <w:rsid w:val="00533A1C"/>
    <w:rsid w:val="00534917"/>
    <w:rsid w:val="00534B1C"/>
    <w:rsid w:val="00534F18"/>
    <w:rsid w:val="00535001"/>
    <w:rsid w:val="0053571A"/>
    <w:rsid w:val="0053634D"/>
    <w:rsid w:val="0053650F"/>
    <w:rsid w:val="00536772"/>
    <w:rsid w:val="005375A2"/>
    <w:rsid w:val="0054297F"/>
    <w:rsid w:val="00544626"/>
    <w:rsid w:val="005448F3"/>
    <w:rsid w:val="00544F4B"/>
    <w:rsid w:val="0054548D"/>
    <w:rsid w:val="00546B08"/>
    <w:rsid w:val="00546FD6"/>
    <w:rsid w:val="00547728"/>
    <w:rsid w:val="005508AE"/>
    <w:rsid w:val="00551456"/>
    <w:rsid w:val="0055359A"/>
    <w:rsid w:val="00553FAB"/>
    <w:rsid w:val="005542A7"/>
    <w:rsid w:val="0055530C"/>
    <w:rsid w:val="005562EC"/>
    <w:rsid w:val="005568E8"/>
    <w:rsid w:val="00560553"/>
    <w:rsid w:val="005607EB"/>
    <w:rsid w:val="005608A7"/>
    <w:rsid w:val="00562A6F"/>
    <w:rsid w:val="005640D1"/>
    <w:rsid w:val="005641F6"/>
    <w:rsid w:val="00564885"/>
    <w:rsid w:val="005663FF"/>
    <w:rsid w:val="00566631"/>
    <w:rsid w:val="00566A8D"/>
    <w:rsid w:val="00566B99"/>
    <w:rsid w:val="00566F12"/>
    <w:rsid w:val="0056727C"/>
    <w:rsid w:val="00570FF1"/>
    <w:rsid w:val="0057189C"/>
    <w:rsid w:val="00571AFA"/>
    <w:rsid w:val="00571E10"/>
    <w:rsid w:val="00572D68"/>
    <w:rsid w:val="005731AD"/>
    <w:rsid w:val="00573BBE"/>
    <w:rsid w:val="00573D1E"/>
    <w:rsid w:val="00574643"/>
    <w:rsid w:val="005757D2"/>
    <w:rsid w:val="0057637A"/>
    <w:rsid w:val="00577597"/>
    <w:rsid w:val="00580266"/>
    <w:rsid w:val="005822BC"/>
    <w:rsid w:val="00582501"/>
    <w:rsid w:val="00582734"/>
    <w:rsid w:val="00584F18"/>
    <w:rsid w:val="0058550C"/>
    <w:rsid w:val="00585CBF"/>
    <w:rsid w:val="0058602E"/>
    <w:rsid w:val="00586512"/>
    <w:rsid w:val="005871EE"/>
    <w:rsid w:val="00590639"/>
    <w:rsid w:val="005906E2"/>
    <w:rsid w:val="00590AB8"/>
    <w:rsid w:val="00590EC3"/>
    <w:rsid w:val="00592CE6"/>
    <w:rsid w:val="00592DC1"/>
    <w:rsid w:val="00594B8C"/>
    <w:rsid w:val="005953BF"/>
    <w:rsid w:val="00595B21"/>
    <w:rsid w:val="00596E0B"/>
    <w:rsid w:val="00596FA6"/>
    <w:rsid w:val="00597145"/>
    <w:rsid w:val="00597CE1"/>
    <w:rsid w:val="00597F01"/>
    <w:rsid w:val="005A0005"/>
    <w:rsid w:val="005A1D85"/>
    <w:rsid w:val="005A22EB"/>
    <w:rsid w:val="005A2719"/>
    <w:rsid w:val="005A2D33"/>
    <w:rsid w:val="005A2E77"/>
    <w:rsid w:val="005A322A"/>
    <w:rsid w:val="005A36B8"/>
    <w:rsid w:val="005A36CD"/>
    <w:rsid w:val="005A4D77"/>
    <w:rsid w:val="005A605E"/>
    <w:rsid w:val="005A6219"/>
    <w:rsid w:val="005A67C0"/>
    <w:rsid w:val="005A6B85"/>
    <w:rsid w:val="005B01F8"/>
    <w:rsid w:val="005B08ED"/>
    <w:rsid w:val="005B09B9"/>
    <w:rsid w:val="005B1623"/>
    <w:rsid w:val="005B16E1"/>
    <w:rsid w:val="005B1C27"/>
    <w:rsid w:val="005B2912"/>
    <w:rsid w:val="005B2919"/>
    <w:rsid w:val="005B29D0"/>
    <w:rsid w:val="005B35E4"/>
    <w:rsid w:val="005B38AD"/>
    <w:rsid w:val="005B3F5E"/>
    <w:rsid w:val="005B450C"/>
    <w:rsid w:val="005B4A93"/>
    <w:rsid w:val="005B4DCF"/>
    <w:rsid w:val="005B50C7"/>
    <w:rsid w:val="005B7E06"/>
    <w:rsid w:val="005C03B4"/>
    <w:rsid w:val="005C082B"/>
    <w:rsid w:val="005C0A30"/>
    <w:rsid w:val="005C121F"/>
    <w:rsid w:val="005C1AFB"/>
    <w:rsid w:val="005C2AA2"/>
    <w:rsid w:val="005C2ADC"/>
    <w:rsid w:val="005C3E30"/>
    <w:rsid w:val="005C4FF6"/>
    <w:rsid w:val="005C60ED"/>
    <w:rsid w:val="005C66CC"/>
    <w:rsid w:val="005C69C6"/>
    <w:rsid w:val="005C7ABF"/>
    <w:rsid w:val="005D4189"/>
    <w:rsid w:val="005D4E4D"/>
    <w:rsid w:val="005D5F6A"/>
    <w:rsid w:val="005D6585"/>
    <w:rsid w:val="005D7714"/>
    <w:rsid w:val="005E0403"/>
    <w:rsid w:val="005E1074"/>
    <w:rsid w:val="005E247B"/>
    <w:rsid w:val="005E42E2"/>
    <w:rsid w:val="005E527A"/>
    <w:rsid w:val="005E6943"/>
    <w:rsid w:val="005E728B"/>
    <w:rsid w:val="005F0B1C"/>
    <w:rsid w:val="005F11EC"/>
    <w:rsid w:val="005F17E0"/>
    <w:rsid w:val="005F1C8D"/>
    <w:rsid w:val="005F1FF1"/>
    <w:rsid w:val="005F383F"/>
    <w:rsid w:val="005F5046"/>
    <w:rsid w:val="005F5648"/>
    <w:rsid w:val="00600093"/>
    <w:rsid w:val="006003E3"/>
    <w:rsid w:val="006004C4"/>
    <w:rsid w:val="00600FA0"/>
    <w:rsid w:val="0060115F"/>
    <w:rsid w:val="0060124C"/>
    <w:rsid w:val="00601751"/>
    <w:rsid w:val="006024FE"/>
    <w:rsid w:val="0060267F"/>
    <w:rsid w:val="006029AE"/>
    <w:rsid w:val="00602B00"/>
    <w:rsid w:val="0060308E"/>
    <w:rsid w:val="00603201"/>
    <w:rsid w:val="006039AC"/>
    <w:rsid w:val="00603B84"/>
    <w:rsid w:val="00603DDB"/>
    <w:rsid w:val="00604022"/>
    <w:rsid w:val="00604CBC"/>
    <w:rsid w:val="0060500F"/>
    <w:rsid w:val="00605FB1"/>
    <w:rsid w:val="00606196"/>
    <w:rsid w:val="0060625B"/>
    <w:rsid w:val="00606EE3"/>
    <w:rsid w:val="0060755E"/>
    <w:rsid w:val="00611972"/>
    <w:rsid w:val="00611A89"/>
    <w:rsid w:val="00611F66"/>
    <w:rsid w:val="00613E8F"/>
    <w:rsid w:val="00614A10"/>
    <w:rsid w:val="0061777F"/>
    <w:rsid w:val="006201CF"/>
    <w:rsid w:val="00620535"/>
    <w:rsid w:val="00620EAB"/>
    <w:rsid w:val="00621931"/>
    <w:rsid w:val="006226EC"/>
    <w:rsid w:val="00623B05"/>
    <w:rsid w:val="00624500"/>
    <w:rsid w:val="00625634"/>
    <w:rsid w:val="006265BC"/>
    <w:rsid w:val="00626F44"/>
    <w:rsid w:val="00630CF4"/>
    <w:rsid w:val="00631209"/>
    <w:rsid w:val="00632C1D"/>
    <w:rsid w:val="006336D4"/>
    <w:rsid w:val="0063385A"/>
    <w:rsid w:val="006353C6"/>
    <w:rsid w:val="006373A5"/>
    <w:rsid w:val="006375DF"/>
    <w:rsid w:val="006376B7"/>
    <w:rsid w:val="00637BAB"/>
    <w:rsid w:val="006420E7"/>
    <w:rsid w:val="00642343"/>
    <w:rsid w:val="00643802"/>
    <w:rsid w:val="00643EF3"/>
    <w:rsid w:val="006442E3"/>
    <w:rsid w:val="0064475C"/>
    <w:rsid w:val="00645253"/>
    <w:rsid w:val="006464B6"/>
    <w:rsid w:val="00646736"/>
    <w:rsid w:val="00646F5B"/>
    <w:rsid w:val="00646FC4"/>
    <w:rsid w:val="00647154"/>
    <w:rsid w:val="006471CC"/>
    <w:rsid w:val="00651231"/>
    <w:rsid w:val="00651DC3"/>
    <w:rsid w:val="006535B7"/>
    <w:rsid w:val="00653D78"/>
    <w:rsid w:val="00654F92"/>
    <w:rsid w:val="00654FC9"/>
    <w:rsid w:val="0065566C"/>
    <w:rsid w:val="006561CC"/>
    <w:rsid w:val="006566C4"/>
    <w:rsid w:val="00657EB5"/>
    <w:rsid w:val="00660061"/>
    <w:rsid w:val="0066112C"/>
    <w:rsid w:val="00661495"/>
    <w:rsid w:val="00661BD4"/>
    <w:rsid w:val="00662226"/>
    <w:rsid w:val="006622DA"/>
    <w:rsid w:val="006652C8"/>
    <w:rsid w:val="00665868"/>
    <w:rsid w:val="00665A0B"/>
    <w:rsid w:val="00665F46"/>
    <w:rsid w:val="006664E4"/>
    <w:rsid w:val="00666719"/>
    <w:rsid w:val="006668FF"/>
    <w:rsid w:val="00666EF1"/>
    <w:rsid w:val="00670B6E"/>
    <w:rsid w:val="00671105"/>
    <w:rsid w:val="00671C34"/>
    <w:rsid w:val="006721E0"/>
    <w:rsid w:val="00672B0C"/>
    <w:rsid w:val="006736A7"/>
    <w:rsid w:val="00674006"/>
    <w:rsid w:val="00676351"/>
    <w:rsid w:val="00676863"/>
    <w:rsid w:val="006769E4"/>
    <w:rsid w:val="00676E0F"/>
    <w:rsid w:val="0067720F"/>
    <w:rsid w:val="0067735E"/>
    <w:rsid w:val="00677EF8"/>
    <w:rsid w:val="0068100F"/>
    <w:rsid w:val="00681673"/>
    <w:rsid w:val="0068180B"/>
    <w:rsid w:val="006820F1"/>
    <w:rsid w:val="00682852"/>
    <w:rsid w:val="00682B79"/>
    <w:rsid w:val="00684093"/>
    <w:rsid w:val="006840CA"/>
    <w:rsid w:val="006845DB"/>
    <w:rsid w:val="006848A3"/>
    <w:rsid w:val="006850AE"/>
    <w:rsid w:val="00686FDC"/>
    <w:rsid w:val="006874AB"/>
    <w:rsid w:val="00687AC7"/>
    <w:rsid w:val="0069039B"/>
    <w:rsid w:val="0069068C"/>
    <w:rsid w:val="00690844"/>
    <w:rsid w:val="00690D07"/>
    <w:rsid w:val="00691405"/>
    <w:rsid w:val="00691BA6"/>
    <w:rsid w:val="006934BC"/>
    <w:rsid w:val="006937E8"/>
    <w:rsid w:val="0069557D"/>
    <w:rsid w:val="0069595D"/>
    <w:rsid w:val="00696546"/>
    <w:rsid w:val="00696664"/>
    <w:rsid w:val="00696C24"/>
    <w:rsid w:val="00697E33"/>
    <w:rsid w:val="006A244D"/>
    <w:rsid w:val="006A2544"/>
    <w:rsid w:val="006A2DEF"/>
    <w:rsid w:val="006A2EA8"/>
    <w:rsid w:val="006A3BCA"/>
    <w:rsid w:val="006A4561"/>
    <w:rsid w:val="006A4701"/>
    <w:rsid w:val="006A76DB"/>
    <w:rsid w:val="006A7BAF"/>
    <w:rsid w:val="006B0670"/>
    <w:rsid w:val="006B2E90"/>
    <w:rsid w:val="006B30A8"/>
    <w:rsid w:val="006B34A7"/>
    <w:rsid w:val="006B61D1"/>
    <w:rsid w:val="006B6EA3"/>
    <w:rsid w:val="006B7382"/>
    <w:rsid w:val="006B74FA"/>
    <w:rsid w:val="006C024D"/>
    <w:rsid w:val="006C3C5B"/>
    <w:rsid w:val="006C4BA7"/>
    <w:rsid w:val="006C4C19"/>
    <w:rsid w:val="006C51A2"/>
    <w:rsid w:val="006C6108"/>
    <w:rsid w:val="006C6B59"/>
    <w:rsid w:val="006C70A9"/>
    <w:rsid w:val="006C77CC"/>
    <w:rsid w:val="006D249D"/>
    <w:rsid w:val="006D283F"/>
    <w:rsid w:val="006D3321"/>
    <w:rsid w:val="006D3968"/>
    <w:rsid w:val="006D4EA2"/>
    <w:rsid w:val="006D6166"/>
    <w:rsid w:val="006D6384"/>
    <w:rsid w:val="006D6AB9"/>
    <w:rsid w:val="006D7CEF"/>
    <w:rsid w:val="006E0795"/>
    <w:rsid w:val="006E1945"/>
    <w:rsid w:val="006E2D1D"/>
    <w:rsid w:val="006E39B2"/>
    <w:rsid w:val="006E47D3"/>
    <w:rsid w:val="006E6FF2"/>
    <w:rsid w:val="006E7094"/>
    <w:rsid w:val="006E77E3"/>
    <w:rsid w:val="006E7859"/>
    <w:rsid w:val="006E785F"/>
    <w:rsid w:val="006E7966"/>
    <w:rsid w:val="006E7B4C"/>
    <w:rsid w:val="006F083D"/>
    <w:rsid w:val="006F129A"/>
    <w:rsid w:val="006F1355"/>
    <w:rsid w:val="006F1440"/>
    <w:rsid w:val="006F1500"/>
    <w:rsid w:val="006F1A95"/>
    <w:rsid w:val="006F26CC"/>
    <w:rsid w:val="006F3B04"/>
    <w:rsid w:val="006F42E8"/>
    <w:rsid w:val="006F4477"/>
    <w:rsid w:val="006F6B20"/>
    <w:rsid w:val="006F7B00"/>
    <w:rsid w:val="007002D2"/>
    <w:rsid w:val="00700A56"/>
    <w:rsid w:val="00701635"/>
    <w:rsid w:val="00701F02"/>
    <w:rsid w:val="00702B83"/>
    <w:rsid w:val="00703531"/>
    <w:rsid w:val="00703D18"/>
    <w:rsid w:val="00703F62"/>
    <w:rsid w:val="007042C8"/>
    <w:rsid w:val="00704F29"/>
    <w:rsid w:val="00706444"/>
    <w:rsid w:val="00706D43"/>
    <w:rsid w:val="00706D47"/>
    <w:rsid w:val="0071036C"/>
    <w:rsid w:val="00710862"/>
    <w:rsid w:val="00710DFD"/>
    <w:rsid w:val="0071174C"/>
    <w:rsid w:val="00712AC1"/>
    <w:rsid w:val="00713003"/>
    <w:rsid w:val="00713C02"/>
    <w:rsid w:val="00714141"/>
    <w:rsid w:val="0071527F"/>
    <w:rsid w:val="00715EAF"/>
    <w:rsid w:val="00715EEF"/>
    <w:rsid w:val="00717467"/>
    <w:rsid w:val="00720176"/>
    <w:rsid w:val="00720283"/>
    <w:rsid w:val="00720628"/>
    <w:rsid w:val="00722CF9"/>
    <w:rsid w:val="00723400"/>
    <w:rsid w:val="0072408E"/>
    <w:rsid w:val="0072423B"/>
    <w:rsid w:val="00724450"/>
    <w:rsid w:val="00724483"/>
    <w:rsid w:val="00724939"/>
    <w:rsid w:val="00725267"/>
    <w:rsid w:val="00725F8F"/>
    <w:rsid w:val="007278A6"/>
    <w:rsid w:val="00727E76"/>
    <w:rsid w:val="00730067"/>
    <w:rsid w:val="00730C5C"/>
    <w:rsid w:val="00731268"/>
    <w:rsid w:val="00731287"/>
    <w:rsid w:val="0073158C"/>
    <w:rsid w:val="00732076"/>
    <w:rsid w:val="00733C08"/>
    <w:rsid w:val="007342BA"/>
    <w:rsid w:val="007345C8"/>
    <w:rsid w:val="007353E7"/>
    <w:rsid w:val="0073585D"/>
    <w:rsid w:val="00735B82"/>
    <w:rsid w:val="00735F39"/>
    <w:rsid w:val="00736443"/>
    <w:rsid w:val="007379E3"/>
    <w:rsid w:val="0074019B"/>
    <w:rsid w:val="00740B56"/>
    <w:rsid w:val="00743125"/>
    <w:rsid w:val="007438AE"/>
    <w:rsid w:val="00743CDF"/>
    <w:rsid w:val="0074657B"/>
    <w:rsid w:val="00747AF9"/>
    <w:rsid w:val="00750061"/>
    <w:rsid w:val="007505E0"/>
    <w:rsid w:val="007513FE"/>
    <w:rsid w:val="0075188A"/>
    <w:rsid w:val="007533DE"/>
    <w:rsid w:val="0075387D"/>
    <w:rsid w:val="00755EB7"/>
    <w:rsid w:val="007564D9"/>
    <w:rsid w:val="00756576"/>
    <w:rsid w:val="00756EDC"/>
    <w:rsid w:val="00756F35"/>
    <w:rsid w:val="00757A80"/>
    <w:rsid w:val="00757D0B"/>
    <w:rsid w:val="00762F60"/>
    <w:rsid w:val="00763A34"/>
    <w:rsid w:val="00763B82"/>
    <w:rsid w:val="0076444E"/>
    <w:rsid w:val="007653C6"/>
    <w:rsid w:val="00766F49"/>
    <w:rsid w:val="00767180"/>
    <w:rsid w:val="00767E4A"/>
    <w:rsid w:val="007700A2"/>
    <w:rsid w:val="00770AA6"/>
    <w:rsid w:val="00773113"/>
    <w:rsid w:val="00773596"/>
    <w:rsid w:val="00774F00"/>
    <w:rsid w:val="00775286"/>
    <w:rsid w:val="00775D57"/>
    <w:rsid w:val="007767AC"/>
    <w:rsid w:val="007769F9"/>
    <w:rsid w:val="0077772A"/>
    <w:rsid w:val="0078262A"/>
    <w:rsid w:val="00782D4D"/>
    <w:rsid w:val="00783A36"/>
    <w:rsid w:val="00784E4C"/>
    <w:rsid w:val="007851EA"/>
    <w:rsid w:val="00785938"/>
    <w:rsid w:val="00786751"/>
    <w:rsid w:val="00786F22"/>
    <w:rsid w:val="00787782"/>
    <w:rsid w:val="007918AE"/>
    <w:rsid w:val="00792021"/>
    <w:rsid w:val="007922A3"/>
    <w:rsid w:val="00794536"/>
    <w:rsid w:val="007948A1"/>
    <w:rsid w:val="007948D1"/>
    <w:rsid w:val="00794EDB"/>
    <w:rsid w:val="00795FF9"/>
    <w:rsid w:val="007974A3"/>
    <w:rsid w:val="00797A4D"/>
    <w:rsid w:val="007A0047"/>
    <w:rsid w:val="007A071F"/>
    <w:rsid w:val="007A08DA"/>
    <w:rsid w:val="007A1064"/>
    <w:rsid w:val="007A443E"/>
    <w:rsid w:val="007A5A5C"/>
    <w:rsid w:val="007A5E20"/>
    <w:rsid w:val="007A69D1"/>
    <w:rsid w:val="007A755E"/>
    <w:rsid w:val="007A778D"/>
    <w:rsid w:val="007A7B23"/>
    <w:rsid w:val="007A7F91"/>
    <w:rsid w:val="007B0400"/>
    <w:rsid w:val="007B2147"/>
    <w:rsid w:val="007B27F9"/>
    <w:rsid w:val="007B2F16"/>
    <w:rsid w:val="007B3203"/>
    <w:rsid w:val="007B3662"/>
    <w:rsid w:val="007B3C7B"/>
    <w:rsid w:val="007B6E01"/>
    <w:rsid w:val="007C0158"/>
    <w:rsid w:val="007C206F"/>
    <w:rsid w:val="007C2247"/>
    <w:rsid w:val="007C23CF"/>
    <w:rsid w:val="007C381B"/>
    <w:rsid w:val="007C5A10"/>
    <w:rsid w:val="007C653E"/>
    <w:rsid w:val="007C6E46"/>
    <w:rsid w:val="007C7489"/>
    <w:rsid w:val="007D030F"/>
    <w:rsid w:val="007D0C62"/>
    <w:rsid w:val="007D3B69"/>
    <w:rsid w:val="007D3BB3"/>
    <w:rsid w:val="007D6216"/>
    <w:rsid w:val="007D6352"/>
    <w:rsid w:val="007D7571"/>
    <w:rsid w:val="007D76FD"/>
    <w:rsid w:val="007E06D6"/>
    <w:rsid w:val="007E0DB2"/>
    <w:rsid w:val="007E1E01"/>
    <w:rsid w:val="007E2DEB"/>
    <w:rsid w:val="007E4C39"/>
    <w:rsid w:val="007E519A"/>
    <w:rsid w:val="007E5EE7"/>
    <w:rsid w:val="007E60CE"/>
    <w:rsid w:val="007E6BD4"/>
    <w:rsid w:val="007E72DF"/>
    <w:rsid w:val="007F0998"/>
    <w:rsid w:val="007F15D6"/>
    <w:rsid w:val="007F1DCA"/>
    <w:rsid w:val="007F41C7"/>
    <w:rsid w:val="007F4C25"/>
    <w:rsid w:val="007F6A89"/>
    <w:rsid w:val="007F6CBC"/>
    <w:rsid w:val="007F6CD8"/>
    <w:rsid w:val="007F6D2F"/>
    <w:rsid w:val="007F6ED3"/>
    <w:rsid w:val="008013EE"/>
    <w:rsid w:val="00801743"/>
    <w:rsid w:val="00801C4A"/>
    <w:rsid w:val="00802EF2"/>
    <w:rsid w:val="00803CFF"/>
    <w:rsid w:val="008040E7"/>
    <w:rsid w:val="00804DF7"/>
    <w:rsid w:val="00805E52"/>
    <w:rsid w:val="0080617B"/>
    <w:rsid w:val="008062BA"/>
    <w:rsid w:val="00806439"/>
    <w:rsid w:val="00806660"/>
    <w:rsid w:val="008066C3"/>
    <w:rsid w:val="00806713"/>
    <w:rsid w:val="008070B7"/>
    <w:rsid w:val="008070B9"/>
    <w:rsid w:val="00807610"/>
    <w:rsid w:val="008079AF"/>
    <w:rsid w:val="00810667"/>
    <w:rsid w:val="008109B2"/>
    <w:rsid w:val="0081179E"/>
    <w:rsid w:val="008119B3"/>
    <w:rsid w:val="00812158"/>
    <w:rsid w:val="008127B2"/>
    <w:rsid w:val="00812EDF"/>
    <w:rsid w:val="0081301B"/>
    <w:rsid w:val="00813EBD"/>
    <w:rsid w:val="00813FD2"/>
    <w:rsid w:val="008144D3"/>
    <w:rsid w:val="00814526"/>
    <w:rsid w:val="008147C5"/>
    <w:rsid w:val="00814825"/>
    <w:rsid w:val="0081517D"/>
    <w:rsid w:val="00815871"/>
    <w:rsid w:val="00817474"/>
    <w:rsid w:val="008177C9"/>
    <w:rsid w:val="00820508"/>
    <w:rsid w:val="00821919"/>
    <w:rsid w:val="00822EE5"/>
    <w:rsid w:val="008230E1"/>
    <w:rsid w:val="0082337E"/>
    <w:rsid w:val="00824BDD"/>
    <w:rsid w:val="00825415"/>
    <w:rsid w:val="00826DC5"/>
    <w:rsid w:val="0082782C"/>
    <w:rsid w:val="00827D24"/>
    <w:rsid w:val="00830FCA"/>
    <w:rsid w:val="008324AA"/>
    <w:rsid w:val="00833DB3"/>
    <w:rsid w:val="00834323"/>
    <w:rsid w:val="00835556"/>
    <w:rsid w:val="008355BC"/>
    <w:rsid w:val="00837479"/>
    <w:rsid w:val="00843492"/>
    <w:rsid w:val="0084417A"/>
    <w:rsid w:val="0084478C"/>
    <w:rsid w:val="00844A54"/>
    <w:rsid w:val="00846B90"/>
    <w:rsid w:val="00847974"/>
    <w:rsid w:val="00847A6A"/>
    <w:rsid w:val="00847ABC"/>
    <w:rsid w:val="008502D2"/>
    <w:rsid w:val="00850C2F"/>
    <w:rsid w:val="00850DC6"/>
    <w:rsid w:val="008527C8"/>
    <w:rsid w:val="00853B5E"/>
    <w:rsid w:val="00855002"/>
    <w:rsid w:val="0085600C"/>
    <w:rsid w:val="00856679"/>
    <w:rsid w:val="008574E1"/>
    <w:rsid w:val="0085754F"/>
    <w:rsid w:val="00857BCA"/>
    <w:rsid w:val="00863250"/>
    <w:rsid w:val="00863E60"/>
    <w:rsid w:val="00865038"/>
    <w:rsid w:val="00865C90"/>
    <w:rsid w:val="0086655D"/>
    <w:rsid w:val="00866D4C"/>
    <w:rsid w:val="008674E9"/>
    <w:rsid w:val="0087057F"/>
    <w:rsid w:val="008707BF"/>
    <w:rsid w:val="0087097D"/>
    <w:rsid w:val="00871269"/>
    <w:rsid w:val="00871376"/>
    <w:rsid w:val="0087161C"/>
    <w:rsid w:val="00871881"/>
    <w:rsid w:val="008723BE"/>
    <w:rsid w:val="00872F10"/>
    <w:rsid w:val="008746F0"/>
    <w:rsid w:val="00875743"/>
    <w:rsid w:val="00875E66"/>
    <w:rsid w:val="0087658B"/>
    <w:rsid w:val="0088098B"/>
    <w:rsid w:val="00881635"/>
    <w:rsid w:val="0088196D"/>
    <w:rsid w:val="00881B12"/>
    <w:rsid w:val="0088281A"/>
    <w:rsid w:val="00882DC6"/>
    <w:rsid w:val="008830AF"/>
    <w:rsid w:val="00883CB6"/>
    <w:rsid w:val="00884499"/>
    <w:rsid w:val="00884FA5"/>
    <w:rsid w:val="008860C6"/>
    <w:rsid w:val="008863BD"/>
    <w:rsid w:val="00887108"/>
    <w:rsid w:val="00890014"/>
    <w:rsid w:val="008906A9"/>
    <w:rsid w:val="008910E7"/>
    <w:rsid w:val="00891F48"/>
    <w:rsid w:val="008924EA"/>
    <w:rsid w:val="00893AA4"/>
    <w:rsid w:val="0089400A"/>
    <w:rsid w:val="00894EC5"/>
    <w:rsid w:val="008957BC"/>
    <w:rsid w:val="00896456"/>
    <w:rsid w:val="0089731D"/>
    <w:rsid w:val="008A06F3"/>
    <w:rsid w:val="008A083B"/>
    <w:rsid w:val="008A18F3"/>
    <w:rsid w:val="008A1AE0"/>
    <w:rsid w:val="008A27A7"/>
    <w:rsid w:val="008A41D3"/>
    <w:rsid w:val="008A4262"/>
    <w:rsid w:val="008A430A"/>
    <w:rsid w:val="008A43F3"/>
    <w:rsid w:val="008A7B41"/>
    <w:rsid w:val="008B1C20"/>
    <w:rsid w:val="008B20F7"/>
    <w:rsid w:val="008B2ECE"/>
    <w:rsid w:val="008B4407"/>
    <w:rsid w:val="008B46FA"/>
    <w:rsid w:val="008B4CDF"/>
    <w:rsid w:val="008B4D6E"/>
    <w:rsid w:val="008B504E"/>
    <w:rsid w:val="008B6FEF"/>
    <w:rsid w:val="008B7B5D"/>
    <w:rsid w:val="008C0CB5"/>
    <w:rsid w:val="008C1171"/>
    <w:rsid w:val="008C1E1C"/>
    <w:rsid w:val="008C1ED3"/>
    <w:rsid w:val="008C4DF8"/>
    <w:rsid w:val="008C5DDB"/>
    <w:rsid w:val="008C620A"/>
    <w:rsid w:val="008D04AC"/>
    <w:rsid w:val="008D0A10"/>
    <w:rsid w:val="008D111B"/>
    <w:rsid w:val="008D2407"/>
    <w:rsid w:val="008D3D61"/>
    <w:rsid w:val="008D5DAC"/>
    <w:rsid w:val="008D72AD"/>
    <w:rsid w:val="008D7E55"/>
    <w:rsid w:val="008E0A2F"/>
    <w:rsid w:val="008E19CB"/>
    <w:rsid w:val="008E1C41"/>
    <w:rsid w:val="008E2CA1"/>
    <w:rsid w:val="008E30F9"/>
    <w:rsid w:val="008E5313"/>
    <w:rsid w:val="008E5316"/>
    <w:rsid w:val="008E64C0"/>
    <w:rsid w:val="008E66DE"/>
    <w:rsid w:val="008E7AD0"/>
    <w:rsid w:val="008F071E"/>
    <w:rsid w:val="008F1A02"/>
    <w:rsid w:val="008F2639"/>
    <w:rsid w:val="008F2EBA"/>
    <w:rsid w:val="008F2F05"/>
    <w:rsid w:val="008F3098"/>
    <w:rsid w:val="008F36CC"/>
    <w:rsid w:val="008F46EC"/>
    <w:rsid w:val="008F6AEF"/>
    <w:rsid w:val="008F6C4D"/>
    <w:rsid w:val="008F6E3B"/>
    <w:rsid w:val="008F77CD"/>
    <w:rsid w:val="00902F74"/>
    <w:rsid w:val="00903303"/>
    <w:rsid w:val="00904F88"/>
    <w:rsid w:val="009055F2"/>
    <w:rsid w:val="0090607E"/>
    <w:rsid w:val="00906FEB"/>
    <w:rsid w:val="0090788C"/>
    <w:rsid w:val="00910A71"/>
    <w:rsid w:val="0091144D"/>
    <w:rsid w:val="009115E7"/>
    <w:rsid w:val="00911825"/>
    <w:rsid w:val="009126FA"/>
    <w:rsid w:val="009127F1"/>
    <w:rsid w:val="0091314E"/>
    <w:rsid w:val="009135C4"/>
    <w:rsid w:val="00913803"/>
    <w:rsid w:val="009140F0"/>
    <w:rsid w:val="00914A81"/>
    <w:rsid w:val="00914E3C"/>
    <w:rsid w:val="00916039"/>
    <w:rsid w:val="00916351"/>
    <w:rsid w:val="00916964"/>
    <w:rsid w:val="00917B0E"/>
    <w:rsid w:val="0092003C"/>
    <w:rsid w:val="00920918"/>
    <w:rsid w:val="00920A61"/>
    <w:rsid w:val="0092172C"/>
    <w:rsid w:val="00921B52"/>
    <w:rsid w:val="009234CD"/>
    <w:rsid w:val="00923DFB"/>
    <w:rsid w:val="00924100"/>
    <w:rsid w:val="00924A3C"/>
    <w:rsid w:val="00924AD6"/>
    <w:rsid w:val="00926111"/>
    <w:rsid w:val="0092617F"/>
    <w:rsid w:val="00926C54"/>
    <w:rsid w:val="009273AF"/>
    <w:rsid w:val="009274C6"/>
    <w:rsid w:val="00927A45"/>
    <w:rsid w:val="00927DB1"/>
    <w:rsid w:val="0093050E"/>
    <w:rsid w:val="0093190E"/>
    <w:rsid w:val="00931D0E"/>
    <w:rsid w:val="00932FD8"/>
    <w:rsid w:val="0093547E"/>
    <w:rsid w:val="0094008D"/>
    <w:rsid w:val="00941375"/>
    <w:rsid w:val="009429C4"/>
    <w:rsid w:val="00942AE0"/>
    <w:rsid w:val="00942FB3"/>
    <w:rsid w:val="00943093"/>
    <w:rsid w:val="009436ED"/>
    <w:rsid w:val="00944172"/>
    <w:rsid w:val="00944FE2"/>
    <w:rsid w:val="00945782"/>
    <w:rsid w:val="009465A1"/>
    <w:rsid w:val="00947A24"/>
    <w:rsid w:val="00947BC7"/>
    <w:rsid w:val="00947CD0"/>
    <w:rsid w:val="00950258"/>
    <w:rsid w:val="009508D8"/>
    <w:rsid w:val="00951C62"/>
    <w:rsid w:val="00952A6E"/>
    <w:rsid w:val="00952F35"/>
    <w:rsid w:val="00953275"/>
    <w:rsid w:val="0095329B"/>
    <w:rsid w:val="00953D67"/>
    <w:rsid w:val="009543DE"/>
    <w:rsid w:val="0095444A"/>
    <w:rsid w:val="00954BFA"/>
    <w:rsid w:val="00954E19"/>
    <w:rsid w:val="00955030"/>
    <w:rsid w:val="00956E70"/>
    <w:rsid w:val="009575A5"/>
    <w:rsid w:val="009608EF"/>
    <w:rsid w:val="00960D50"/>
    <w:rsid w:val="00961514"/>
    <w:rsid w:val="00963D60"/>
    <w:rsid w:val="00965D87"/>
    <w:rsid w:val="0096623E"/>
    <w:rsid w:val="009672D5"/>
    <w:rsid w:val="0097131D"/>
    <w:rsid w:val="00971778"/>
    <w:rsid w:val="00972740"/>
    <w:rsid w:val="00973D40"/>
    <w:rsid w:val="00973EF3"/>
    <w:rsid w:val="00974854"/>
    <w:rsid w:val="00974CCD"/>
    <w:rsid w:val="00975144"/>
    <w:rsid w:val="009766FE"/>
    <w:rsid w:val="00980959"/>
    <w:rsid w:val="00983764"/>
    <w:rsid w:val="00983BCF"/>
    <w:rsid w:val="00983E39"/>
    <w:rsid w:val="00983ED6"/>
    <w:rsid w:val="009843F2"/>
    <w:rsid w:val="00984C17"/>
    <w:rsid w:val="00984F1E"/>
    <w:rsid w:val="00986672"/>
    <w:rsid w:val="00986C1C"/>
    <w:rsid w:val="00987C70"/>
    <w:rsid w:val="00991563"/>
    <w:rsid w:val="00991935"/>
    <w:rsid w:val="00991AFE"/>
    <w:rsid w:val="0099255A"/>
    <w:rsid w:val="00992745"/>
    <w:rsid w:val="00992964"/>
    <w:rsid w:val="00992DB2"/>
    <w:rsid w:val="0099311D"/>
    <w:rsid w:val="009936A2"/>
    <w:rsid w:val="009950DA"/>
    <w:rsid w:val="009961D1"/>
    <w:rsid w:val="00997623"/>
    <w:rsid w:val="009A0DB2"/>
    <w:rsid w:val="009A0DF9"/>
    <w:rsid w:val="009A1016"/>
    <w:rsid w:val="009A209A"/>
    <w:rsid w:val="009A2299"/>
    <w:rsid w:val="009A37AE"/>
    <w:rsid w:val="009A4F1C"/>
    <w:rsid w:val="009A608A"/>
    <w:rsid w:val="009A69B6"/>
    <w:rsid w:val="009A6C8E"/>
    <w:rsid w:val="009A74AE"/>
    <w:rsid w:val="009B0927"/>
    <w:rsid w:val="009B0AF7"/>
    <w:rsid w:val="009B1900"/>
    <w:rsid w:val="009B1E0E"/>
    <w:rsid w:val="009B4BC3"/>
    <w:rsid w:val="009B4E73"/>
    <w:rsid w:val="009B511D"/>
    <w:rsid w:val="009B5196"/>
    <w:rsid w:val="009B5A5D"/>
    <w:rsid w:val="009B5D51"/>
    <w:rsid w:val="009B6837"/>
    <w:rsid w:val="009B7242"/>
    <w:rsid w:val="009B740A"/>
    <w:rsid w:val="009B7AC0"/>
    <w:rsid w:val="009C1C29"/>
    <w:rsid w:val="009C1C2C"/>
    <w:rsid w:val="009C1CC7"/>
    <w:rsid w:val="009C386E"/>
    <w:rsid w:val="009C3943"/>
    <w:rsid w:val="009C431C"/>
    <w:rsid w:val="009C4DE2"/>
    <w:rsid w:val="009C61BC"/>
    <w:rsid w:val="009C6BD7"/>
    <w:rsid w:val="009C6E7E"/>
    <w:rsid w:val="009C7549"/>
    <w:rsid w:val="009C75B7"/>
    <w:rsid w:val="009D0115"/>
    <w:rsid w:val="009D049A"/>
    <w:rsid w:val="009D4189"/>
    <w:rsid w:val="009D46F6"/>
    <w:rsid w:val="009D48B0"/>
    <w:rsid w:val="009D60E7"/>
    <w:rsid w:val="009D6725"/>
    <w:rsid w:val="009D71E4"/>
    <w:rsid w:val="009D7884"/>
    <w:rsid w:val="009D7A76"/>
    <w:rsid w:val="009E1823"/>
    <w:rsid w:val="009E241A"/>
    <w:rsid w:val="009E254F"/>
    <w:rsid w:val="009E27E9"/>
    <w:rsid w:val="009E33A6"/>
    <w:rsid w:val="009E3A67"/>
    <w:rsid w:val="009E3E79"/>
    <w:rsid w:val="009E42B0"/>
    <w:rsid w:val="009E4378"/>
    <w:rsid w:val="009E5195"/>
    <w:rsid w:val="009E63A8"/>
    <w:rsid w:val="009E661E"/>
    <w:rsid w:val="009E7072"/>
    <w:rsid w:val="009F055D"/>
    <w:rsid w:val="009F08E7"/>
    <w:rsid w:val="009F283B"/>
    <w:rsid w:val="009F52F7"/>
    <w:rsid w:val="009F53A0"/>
    <w:rsid w:val="009F68D6"/>
    <w:rsid w:val="009F6D2C"/>
    <w:rsid w:val="009F7C1E"/>
    <w:rsid w:val="00A001A6"/>
    <w:rsid w:val="00A01522"/>
    <w:rsid w:val="00A020B5"/>
    <w:rsid w:val="00A02A79"/>
    <w:rsid w:val="00A02C84"/>
    <w:rsid w:val="00A03556"/>
    <w:rsid w:val="00A0445D"/>
    <w:rsid w:val="00A04528"/>
    <w:rsid w:val="00A049E1"/>
    <w:rsid w:val="00A04F9D"/>
    <w:rsid w:val="00A054BE"/>
    <w:rsid w:val="00A06253"/>
    <w:rsid w:val="00A073D5"/>
    <w:rsid w:val="00A078F2"/>
    <w:rsid w:val="00A07905"/>
    <w:rsid w:val="00A1086F"/>
    <w:rsid w:val="00A10A5F"/>
    <w:rsid w:val="00A110C9"/>
    <w:rsid w:val="00A110CF"/>
    <w:rsid w:val="00A11812"/>
    <w:rsid w:val="00A122BE"/>
    <w:rsid w:val="00A12340"/>
    <w:rsid w:val="00A12424"/>
    <w:rsid w:val="00A126A9"/>
    <w:rsid w:val="00A1294B"/>
    <w:rsid w:val="00A13355"/>
    <w:rsid w:val="00A13BCC"/>
    <w:rsid w:val="00A1403B"/>
    <w:rsid w:val="00A14A03"/>
    <w:rsid w:val="00A14A2A"/>
    <w:rsid w:val="00A14A5E"/>
    <w:rsid w:val="00A1582E"/>
    <w:rsid w:val="00A15E21"/>
    <w:rsid w:val="00A1648A"/>
    <w:rsid w:val="00A20520"/>
    <w:rsid w:val="00A20812"/>
    <w:rsid w:val="00A212B9"/>
    <w:rsid w:val="00A21BDD"/>
    <w:rsid w:val="00A23AF4"/>
    <w:rsid w:val="00A23D30"/>
    <w:rsid w:val="00A2451C"/>
    <w:rsid w:val="00A25061"/>
    <w:rsid w:val="00A25169"/>
    <w:rsid w:val="00A25266"/>
    <w:rsid w:val="00A25ACA"/>
    <w:rsid w:val="00A2736D"/>
    <w:rsid w:val="00A27596"/>
    <w:rsid w:val="00A27C81"/>
    <w:rsid w:val="00A30762"/>
    <w:rsid w:val="00A31D44"/>
    <w:rsid w:val="00A32258"/>
    <w:rsid w:val="00A32B24"/>
    <w:rsid w:val="00A32E2F"/>
    <w:rsid w:val="00A3302A"/>
    <w:rsid w:val="00A334F3"/>
    <w:rsid w:val="00A33CAC"/>
    <w:rsid w:val="00A348A4"/>
    <w:rsid w:val="00A35339"/>
    <w:rsid w:val="00A364F4"/>
    <w:rsid w:val="00A3736F"/>
    <w:rsid w:val="00A375BA"/>
    <w:rsid w:val="00A375FA"/>
    <w:rsid w:val="00A40683"/>
    <w:rsid w:val="00A41030"/>
    <w:rsid w:val="00A42504"/>
    <w:rsid w:val="00A42C8E"/>
    <w:rsid w:val="00A430DB"/>
    <w:rsid w:val="00A437F8"/>
    <w:rsid w:val="00A443DA"/>
    <w:rsid w:val="00A44F1C"/>
    <w:rsid w:val="00A4511B"/>
    <w:rsid w:val="00A453EA"/>
    <w:rsid w:val="00A45E75"/>
    <w:rsid w:val="00A479C6"/>
    <w:rsid w:val="00A50A2C"/>
    <w:rsid w:val="00A513F8"/>
    <w:rsid w:val="00A53331"/>
    <w:rsid w:val="00A53CD8"/>
    <w:rsid w:val="00A552A5"/>
    <w:rsid w:val="00A55A46"/>
    <w:rsid w:val="00A5660D"/>
    <w:rsid w:val="00A57012"/>
    <w:rsid w:val="00A60377"/>
    <w:rsid w:val="00A60C55"/>
    <w:rsid w:val="00A6137C"/>
    <w:rsid w:val="00A61E91"/>
    <w:rsid w:val="00A63226"/>
    <w:rsid w:val="00A643A5"/>
    <w:rsid w:val="00A65042"/>
    <w:rsid w:val="00A6568C"/>
    <w:rsid w:val="00A66214"/>
    <w:rsid w:val="00A66502"/>
    <w:rsid w:val="00A66FF2"/>
    <w:rsid w:val="00A670AB"/>
    <w:rsid w:val="00A67673"/>
    <w:rsid w:val="00A7010D"/>
    <w:rsid w:val="00A701EF"/>
    <w:rsid w:val="00A7099B"/>
    <w:rsid w:val="00A71935"/>
    <w:rsid w:val="00A72091"/>
    <w:rsid w:val="00A731B5"/>
    <w:rsid w:val="00A73744"/>
    <w:rsid w:val="00A73B7E"/>
    <w:rsid w:val="00A742A8"/>
    <w:rsid w:val="00A748AB"/>
    <w:rsid w:val="00A74A68"/>
    <w:rsid w:val="00A75864"/>
    <w:rsid w:val="00A75EEB"/>
    <w:rsid w:val="00A77B1B"/>
    <w:rsid w:val="00A801EA"/>
    <w:rsid w:val="00A80482"/>
    <w:rsid w:val="00A8059C"/>
    <w:rsid w:val="00A80619"/>
    <w:rsid w:val="00A815F2"/>
    <w:rsid w:val="00A833BE"/>
    <w:rsid w:val="00A84D0E"/>
    <w:rsid w:val="00A85877"/>
    <w:rsid w:val="00A85DFE"/>
    <w:rsid w:val="00A867FC"/>
    <w:rsid w:val="00A90462"/>
    <w:rsid w:val="00A910C0"/>
    <w:rsid w:val="00A9165E"/>
    <w:rsid w:val="00A91EB8"/>
    <w:rsid w:val="00A92E81"/>
    <w:rsid w:val="00A92F82"/>
    <w:rsid w:val="00A9408E"/>
    <w:rsid w:val="00A940DF"/>
    <w:rsid w:val="00A948BE"/>
    <w:rsid w:val="00A96066"/>
    <w:rsid w:val="00A96ED9"/>
    <w:rsid w:val="00A973EA"/>
    <w:rsid w:val="00A9760F"/>
    <w:rsid w:val="00A976BF"/>
    <w:rsid w:val="00A979DF"/>
    <w:rsid w:val="00AA02CA"/>
    <w:rsid w:val="00AA167A"/>
    <w:rsid w:val="00AA1A75"/>
    <w:rsid w:val="00AA2682"/>
    <w:rsid w:val="00AA4CFB"/>
    <w:rsid w:val="00AA6301"/>
    <w:rsid w:val="00AA6E8F"/>
    <w:rsid w:val="00AA7D52"/>
    <w:rsid w:val="00AB0B4E"/>
    <w:rsid w:val="00AB1634"/>
    <w:rsid w:val="00AB1764"/>
    <w:rsid w:val="00AB1E91"/>
    <w:rsid w:val="00AB289B"/>
    <w:rsid w:val="00AB3FA2"/>
    <w:rsid w:val="00AB4538"/>
    <w:rsid w:val="00AB50BB"/>
    <w:rsid w:val="00AB5266"/>
    <w:rsid w:val="00AB531F"/>
    <w:rsid w:val="00AB748B"/>
    <w:rsid w:val="00AC2FB0"/>
    <w:rsid w:val="00AC3928"/>
    <w:rsid w:val="00AC3A72"/>
    <w:rsid w:val="00AC406E"/>
    <w:rsid w:val="00AC434A"/>
    <w:rsid w:val="00AC44D3"/>
    <w:rsid w:val="00AC4AF9"/>
    <w:rsid w:val="00AC4BF7"/>
    <w:rsid w:val="00AC55FE"/>
    <w:rsid w:val="00AC5BDD"/>
    <w:rsid w:val="00AC5DD2"/>
    <w:rsid w:val="00AC7A8C"/>
    <w:rsid w:val="00AC7F49"/>
    <w:rsid w:val="00AD0424"/>
    <w:rsid w:val="00AD067C"/>
    <w:rsid w:val="00AD0841"/>
    <w:rsid w:val="00AD29B6"/>
    <w:rsid w:val="00AD2C3D"/>
    <w:rsid w:val="00AD41B0"/>
    <w:rsid w:val="00AD576E"/>
    <w:rsid w:val="00AD6D86"/>
    <w:rsid w:val="00AD6F2D"/>
    <w:rsid w:val="00AD74E1"/>
    <w:rsid w:val="00AD7A1B"/>
    <w:rsid w:val="00AD7BCA"/>
    <w:rsid w:val="00AE0706"/>
    <w:rsid w:val="00AE123A"/>
    <w:rsid w:val="00AE1647"/>
    <w:rsid w:val="00AE1C37"/>
    <w:rsid w:val="00AE289F"/>
    <w:rsid w:val="00AE2AC0"/>
    <w:rsid w:val="00AE47FE"/>
    <w:rsid w:val="00AE4A74"/>
    <w:rsid w:val="00AE4C99"/>
    <w:rsid w:val="00AE5B30"/>
    <w:rsid w:val="00AE611D"/>
    <w:rsid w:val="00AE63C1"/>
    <w:rsid w:val="00AE66AB"/>
    <w:rsid w:val="00AE6B6E"/>
    <w:rsid w:val="00AE740A"/>
    <w:rsid w:val="00AE777D"/>
    <w:rsid w:val="00AE782B"/>
    <w:rsid w:val="00AF016E"/>
    <w:rsid w:val="00AF08A1"/>
    <w:rsid w:val="00AF1A86"/>
    <w:rsid w:val="00AF320E"/>
    <w:rsid w:val="00AF3DAA"/>
    <w:rsid w:val="00AF4D22"/>
    <w:rsid w:val="00AF65D2"/>
    <w:rsid w:val="00AF7877"/>
    <w:rsid w:val="00AF7C2E"/>
    <w:rsid w:val="00AF7FB1"/>
    <w:rsid w:val="00B015E4"/>
    <w:rsid w:val="00B01A48"/>
    <w:rsid w:val="00B01EEE"/>
    <w:rsid w:val="00B02A1A"/>
    <w:rsid w:val="00B0321D"/>
    <w:rsid w:val="00B062EE"/>
    <w:rsid w:val="00B06FA5"/>
    <w:rsid w:val="00B07B53"/>
    <w:rsid w:val="00B1029C"/>
    <w:rsid w:val="00B10396"/>
    <w:rsid w:val="00B11672"/>
    <w:rsid w:val="00B120B5"/>
    <w:rsid w:val="00B123CA"/>
    <w:rsid w:val="00B12E11"/>
    <w:rsid w:val="00B155E6"/>
    <w:rsid w:val="00B15645"/>
    <w:rsid w:val="00B15760"/>
    <w:rsid w:val="00B15AAE"/>
    <w:rsid w:val="00B15D98"/>
    <w:rsid w:val="00B15F22"/>
    <w:rsid w:val="00B1713E"/>
    <w:rsid w:val="00B17A22"/>
    <w:rsid w:val="00B2257E"/>
    <w:rsid w:val="00B22D95"/>
    <w:rsid w:val="00B2317A"/>
    <w:rsid w:val="00B236F1"/>
    <w:rsid w:val="00B251A7"/>
    <w:rsid w:val="00B2663D"/>
    <w:rsid w:val="00B26723"/>
    <w:rsid w:val="00B26C7B"/>
    <w:rsid w:val="00B31626"/>
    <w:rsid w:val="00B3269B"/>
    <w:rsid w:val="00B3284E"/>
    <w:rsid w:val="00B3299E"/>
    <w:rsid w:val="00B34D06"/>
    <w:rsid w:val="00B34E14"/>
    <w:rsid w:val="00B36041"/>
    <w:rsid w:val="00B4041E"/>
    <w:rsid w:val="00B4060D"/>
    <w:rsid w:val="00B40A6B"/>
    <w:rsid w:val="00B40EF5"/>
    <w:rsid w:val="00B4112E"/>
    <w:rsid w:val="00B418AB"/>
    <w:rsid w:val="00B41B9C"/>
    <w:rsid w:val="00B42937"/>
    <w:rsid w:val="00B451DB"/>
    <w:rsid w:val="00B453EE"/>
    <w:rsid w:val="00B45558"/>
    <w:rsid w:val="00B45F4B"/>
    <w:rsid w:val="00B46145"/>
    <w:rsid w:val="00B46EF4"/>
    <w:rsid w:val="00B50C01"/>
    <w:rsid w:val="00B516E5"/>
    <w:rsid w:val="00B527C1"/>
    <w:rsid w:val="00B53E04"/>
    <w:rsid w:val="00B5404A"/>
    <w:rsid w:val="00B5413E"/>
    <w:rsid w:val="00B55AE2"/>
    <w:rsid w:val="00B55B4C"/>
    <w:rsid w:val="00B55B7A"/>
    <w:rsid w:val="00B56670"/>
    <w:rsid w:val="00B56DB5"/>
    <w:rsid w:val="00B578FB"/>
    <w:rsid w:val="00B6097E"/>
    <w:rsid w:val="00B60B2A"/>
    <w:rsid w:val="00B61110"/>
    <w:rsid w:val="00B6193E"/>
    <w:rsid w:val="00B61C88"/>
    <w:rsid w:val="00B61E57"/>
    <w:rsid w:val="00B633C2"/>
    <w:rsid w:val="00B63DC3"/>
    <w:rsid w:val="00B64060"/>
    <w:rsid w:val="00B64CF4"/>
    <w:rsid w:val="00B7023D"/>
    <w:rsid w:val="00B705C2"/>
    <w:rsid w:val="00B71435"/>
    <w:rsid w:val="00B72174"/>
    <w:rsid w:val="00B725F0"/>
    <w:rsid w:val="00B730E6"/>
    <w:rsid w:val="00B73119"/>
    <w:rsid w:val="00B73690"/>
    <w:rsid w:val="00B73852"/>
    <w:rsid w:val="00B73A32"/>
    <w:rsid w:val="00B74212"/>
    <w:rsid w:val="00B74AEF"/>
    <w:rsid w:val="00B75278"/>
    <w:rsid w:val="00B75EF5"/>
    <w:rsid w:val="00B80C21"/>
    <w:rsid w:val="00B80CD2"/>
    <w:rsid w:val="00B81185"/>
    <w:rsid w:val="00B814C8"/>
    <w:rsid w:val="00B81A68"/>
    <w:rsid w:val="00B81D91"/>
    <w:rsid w:val="00B8299C"/>
    <w:rsid w:val="00B830D3"/>
    <w:rsid w:val="00B830F3"/>
    <w:rsid w:val="00B834D0"/>
    <w:rsid w:val="00B85FD9"/>
    <w:rsid w:val="00B860FB"/>
    <w:rsid w:val="00B8767E"/>
    <w:rsid w:val="00B9073D"/>
    <w:rsid w:val="00B90AE2"/>
    <w:rsid w:val="00B90C93"/>
    <w:rsid w:val="00B91362"/>
    <w:rsid w:val="00B915CC"/>
    <w:rsid w:val="00B9257B"/>
    <w:rsid w:val="00B92995"/>
    <w:rsid w:val="00B92C62"/>
    <w:rsid w:val="00B9444E"/>
    <w:rsid w:val="00B94C68"/>
    <w:rsid w:val="00B95D10"/>
    <w:rsid w:val="00B96554"/>
    <w:rsid w:val="00B973EB"/>
    <w:rsid w:val="00BA01BF"/>
    <w:rsid w:val="00BA12C9"/>
    <w:rsid w:val="00BA17AC"/>
    <w:rsid w:val="00BA184C"/>
    <w:rsid w:val="00BA1E53"/>
    <w:rsid w:val="00BA2BB7"/>
    <w:rsid w:val="00BA3151"/>
    <w:rsid w:val="00BA39B6"/>
    <w:rsid w:val="00BA45E4"/>
    <w:rsid w:val="00BA4654"/>
    <w:rsid w:val="00BA5B54"/>
    <w:rsid w:val="00BA723D"/>
    <w:rsid w:val="00BB2338"/>
    <w:rsid w:val="00BB3AF1"/>
    <w:rsid w:val="00BB3B94"/>
    <w:rsid w:val="00BB603B"/>
    <w:rsid w:val="00BB67DE"/>
    <w:rsid w:val="00BC093B"/>
    <w:rsid w:val="00BC0A7C"/>
    <w:rsid w:val="00BC17E0"/>
    <w:rsid w:val="00BC1AFA"/>
    <w:rsid w:val="00BC1C9E"/>
    <w:rsid w:val="00BC23D3"/>
    <w:rsid w:val="00BC2B2E"/>
    <w:rsid w:val="00BC2D5D"/>
    <w:rsid w:val="00BC33CB"/>
    <w:rsid w:val="00BC3A33"/>
    <w:rsid w:val="00BC45CE"/>
    <w:rsid w:val="00BC5426"/>
    <w:rsid w:val="00BC5868"/>
    <w:rsid w:val="00BC67ED"/>
    <w:rsid w:val="00BC683A"/>
    <w:rsid w:val="00BC6B02"/>
    <w:rsid w:val="00BC765C"/>
    <w:rsid w:val="00BC7815"/>
    <w:rsid w:val="00BD002B"/>
    <w:rsid w:val="00BD04D8"/>
    <w:rsid w:val="00BD1193"/>
    <w:rsid w:val="00BD1B25"/>
    <w:rsid w:val="00BD1C2E"/>
    <w:rsid w:val="00BD2565"/>
    <w:rsid w:val="00BD51DD"/>
    <w:rsid w:val="00BD5DF3"/>
    <w:rsid w:val="00BD655F"/>
    <w:rsid w:val="00BD7134"/>
    <w:rsid w:val="00BD7AE2"/>
    <w:rsid w:val="00BE01E1"/>
    <w:rsid w:val="00BE06F1"/>
    <w:rsid w:val="00BE07C4"/>
    <w:rsid w:val="00BE0FB7"/>
    <w:rsid w:val="00BE13E4"/>
    <w:rsid w:val="00BE2947"/>
    <w:rsid w:val="00BE2EDC"/>
    <w:rsid w:val="00BE3926"/>
    <w:rsid w:val="00BE39D8"/>
    <w:rsid w:val="00BE3CE6"/>
    <w:rsid w:val="00BE40EB"/>
    <w:rsid w:val="00BE459A"/>
    <w:rsid w:val="00BE4C22"/>
    <w:rsid w:val="00BE4D26"/>
    <w:rsid w:val="00BE57A6"/>
    <w:rsid w:val="00BE5B29"/>
    <w:rsid w:val="00BE5F09"/>
    <w:rsid w:val="00BE6B54"/>
    <w:rsid w:val="00BE6CD3"/>
    <w:rsid w:val="00BE6EA9"/>
    <w:rsid w:val="00BE7FBC"/>
    <w:rsid w:val="00BF00DA"/>
    <w:rsid w:val="00BF087D"/>
    <w:rsid w:val="00BF0C6A"/>
    <w:rsid w:val="00BF12DE"/>
    <w:rsid w:val="00BF284A"/>
    <w:rsid w:val="00BF2C67"/>
    <w:rsid w:val="00BF44C9"/>
    <w:rsid w:val="00BF47FE"/>
    <w:rsid w:val="00BF6119"/>
    <w:rsid w:val="00BF613A"/>
    <w:rsid w:val="00BF632B"/>
    <w:rsid w:val="00BF671E"/>
    <w:rsid w:val="00BF75E1"/>
    <w:rsid w:val="00BF7C1A"/>
    <w:rsid w:val="00BF7C32"/>
    <w:rsid w:val="00C0114F"/>
    <w:rsid w:val="00C015F7"/>
    <w:rsid w:val="00C01F58"/>
    <w:rsid w:val="00C01F6D"/>
    <w:rsid w:val="00C0212E"/>
    <w:rsid w:val="00C02555"/>
    <w:rsid w:val="00C02DCB"/>
    <w:rsid w:val="00C02FA6"/>
    <w:rsid w:val="00C039F2"/>
    <w:rsid w:val="00C03BBE"/>
    <w:rsid w:val="00C052EA"/>
    <w:rsid w:val="00C05824"/>
    <w:rsid w:val="00C05E7C"/>
    <w:rsid w:val="00C0638F"/>
    <w:rsid w:val="00C066A2"/>
    <w:rsid w:val="00C06CC2"/>
    <w:rsid w:val="00C1053F"/>
    <w:rsid w:val="00C10BBB"/>
    <w:rsid w:val="00C11FAA"/>
    <w:rsid w:val="00C12211"/>
    <w:rsid w:val="00C13942"/>
    <w:rsid w:val="00C14408"/>
    <w:rsid w:val="00C14F2D"/>
    <w:rsid w:val="00C162A5"/>
    <w:rsid w:val="00C164C0"/>
    <w:rsid w:val="00C16A0A"/>
    <w:rsid w:val="00C16FC0"/>
    <w:rsid w:val="00C20A3A"/>
    <w:rsid w:val="00C22721"/>
    <w:rsid w:val="00C22BDB"/>
    <w:rsid w:val="00C22F43"/>
    <w:rsid w:val="00C23D4C"/>
    <w:rsid w:val="00C24D75"/>
    <w:rsid w:val="00C25D0E"/>
    <w:rsid w:val="00C30D32"/>
    <w:rsid w:val="00C329B8"/>
    <w:rsid w:val="00C332E1"/>
    <w:rsid w:val="00C334BF"/>
    <w:rsid w:val="00C335EB"/>
    <w:rsid w:val="00C33AA3"/>
    <w:rsid w:val="00C35D92"/>
    <w:rsid w:val="00C3615A"/>
    <w:rsid w:val="00C36486"/>
    <w:rsid w:val="00C3652F"/>
    <w:rsid w:val="00C36EE7"/>
    <w:rsid w:val="00C37BA9"/>
    <w:rsid w:val="00C37DF6"/>
    <w:rsid w:val="00C4029F"/>
    <w:rsid w:val="00C4093C"/>
    <w:rsid w:val="00C4166B"/>
    <w:rsid w:val="00C41DC8"/>
    <w:rsid w:val="00C42BBC"/>
    <w:rsid w:val="00C43177"/>
    <w:rsid w:val="00C43B90"/>
    <w:rsid w:val="00C44E6B"/>
    <w:rsid w:val="00C4518B"/>
    <w:rsid w:val="00C453D9"/>
    <w:rsid w:val="00C45AD0"/>
    <w:rsid w:val="00C462C1"/>
    <w:rsid w:val="00C46DDE"/>
    <w:rsid w:val="00C47C78"/>
    <w:rsid w:val="00C502C7"/>
    <w:rsid w:val="00C518BA"/>
    <w:rsid w:val="00C5220B"/>
    <w:rsid w:val="00C52507"/>
    <w:rsid w:val="00C52AF5"/>
    <w:rsid w:val="00C52C0B"/>
    <w:rsid w:val="00C53073"/>
    <w:rsid w:val="00C535F3"/>
    <w:rsid w:val="00C54B6C"/>
    <w:rsid w:val="00C56F22"/>
    <w:rsid w:val="00C60C7C"/>
    <w:rsid w:val="00C61635"/>
    <w:rsid w:val="00C61937"/>
    <w:rsid w:val="00C61B23"/>
    <w:rsid w:val="00C61EF9"/>
    <w:rsid w:val="00C6393F"/>
    <w:rsid w:val="00C643A0"/>
    <w:rsid w:val="00C6552C"/>
    <w:rsid w:val="00C65C88"/>
    <w:rsid w:val="00C67053"/>
    <w:rsid w:val="00C6719D"/>
    <w:rsid w:val="00C7074F"/>
    <w:rsid w:val="00C70783"/>
    <w:rsid w:val="00C70D32"/>
    <w:rsid w:val="00C71907"/>
    <w:rsid w:val="00C72042"/>
    <w:rsid w:val="00C7278A"/>
    <w:rsid w:val="00C746E6"/>
    <w:rsid w:val="00C748C3"/>
    <w:rsid w:val="00C7569A"/>
    <w:rsid w:val="00C75F9E"/>
    <w:rsid w:val="00C778B1"/>
    <w:rsid w:val="00C807CC"/>
    <w:rsid w:val="00C80DBE"/>
    <w:rsid w:val="00C81E71"/>
    <w:rsid w:val="00C823F1"/>
    <w:rsid w:val="00C82520"/>
    <w:rsid w:val="00C82A16"/>
    <w:rsid w:val="00C831A9"/>
    <w:rsid w:val="00C8397A"/>
    <w:rsid w:val="00C8418A"/>
    <w:rsid w:val="00C8493B"/>
    <w:rsid w:val="00C8598A"/>
    <w:rsid w:val="00C86022"/>
    <w:rsid w:val="00C867E3"/>
    <w:rsid w:val="00C87B2C"/>
    <w:rsid w:val="00C87C81"/>
    <w:rsid w:val="00C90392"/>
    <w:rsid w:val="00C91C90"/>
    <w:rsid w:val="00C91EE7"/>
    <w:rsid w:val="00C92A0A"/>
    <w:rsid w:val="00C93369"/>
    <w:rsid w:val="00C93939"/>
    <w:rsid w:val="00C93F92"/>
    <w:rsid w:val="00C94B03"/>
    <w:rsid w:val="00C94D81"/>
    <w:rsid w:val="00C954C1"/>
    <w:rsid w:val="00C95878"/>
    <w:rsid w:val="00C95E8C"/>
    <w:rsid w:val="00CA2459"/>
    <w:rsid w:val="00CA3626"/>
    <w:rsid w:val="00CA419B"/>
    <w:rsid w:val="00CA5561"/>
    <w:rsid w:val="00CA5939"/>
    <w:rsid w:val="00CA6969"/>
    <w:rsid w:val="00CA6F59"/>
    <w:rsid w:val="00CB0445"/>
    <w:rsid w:val="00CB0FDD"/>
    <w:rsid w:val="00CB1A11"/>
    <w:rsid w:val="00CB3A28"/>
    <w:rsid w:val="00CB45E8"/>
    <w:rsid w:val="00CB5B42"/>
    <w:rsid w:val="00CB6503"/>
    <w:rsid w:val="00CB6A36"/>
    <w:rsid w:val="00CB6A76"/>
    <w:rsid w:val="00CB7AEF"/>
    <w:rsid w:val="00CC0685"/>
    <w:rsid w:val="00CC0D60"/>
    <w:rsid w:val="00CC14FC"/>
    <w:rsid w:val="00CC1907"/>
    <w:rsid w:val="00CC1B94"/>
    <w:rsid w:val="00CC5517"/>
    <w:rsid w:val="00CC5677"/>
    <w:rsid w:val="00CC5F8A"/>
    <w:rsid w:val="00CC6C05"/>
    <w:rsid w:val="00CC7813"/>
    <w:rsid w:val="00CD0625"/>
    <w:rsid w:val="00CD0B01"/>
    <w:rsid w:val="00CD0B11"/>
    <w:rsid w:val="00CD1EEC"/>
    <w:rsid w:val="00CD2800"/>
    <w:rsid w:val="00CD35A7"/>
    <w:rsid w:val="00CD4005"/>
    <w:rsid w:val="00CD40E2"/>
    <w:rsid w:val="00CD4427"/>
    <w:rsid w:val="00CD4BE7"/>
    <w:rsid w:val="00CD4C2F"/>
    <w:rsid w:val="00CD5091"/>
    <w:rsid w:val="00CE0FE7"/>
    <w:rsid w:val="00CE1174"/>
    <w:rsid w:val="00CE2932"/>
    <w:rsid w:val="00CE2A4F"/>
    <w:rsid w:val="00CE2FB4"/>
    <w:rsid w:val="00CE3360"/>
    <w:rsid w:val="00CE363C"/>
    <w:rsid w:val="00CE4784"/>
    <w:rsid w:val="00CE4D1B"/>
    <w:rsid w:val="00CE4DD0"/>
    <w:rsid w:val="00CE4FBE"/>
    <w:rsid w:val="00CE52A2"/>
    <w:rsid w:val="00CE5793"/>
    <w:rsid w:val="00CE57F1"/>
    <w:rsid w:val="00CE5901"/>
    <w:rsid w:val="00CE5DEC"/>
    <w:rsid w:val="00CE5DF2"/>
    <w:rsid w:val="00CE67EF"/>
    <w:rsid w:val="00CF014B"/>
    <w:rsid w:val="00CF027E"/>
    <w:rsid w:val="00CF1B93"/>
    <w:rsid w:val="00CF39B5"/>
    <w:rsid w:val="00CF5585"/>
    <w:rsid w:val="00CF6C5B"/>
    <w:rsid w:val="00CF6F1F"/>
    <w:rsid w:val="00CF79B9"/>
    <w:rsid w:val="00D01F84"/>
    <w:rsid w:val="00D02894"/>
    <w:rsid w:val="00D041CB"/>
    <w:rsid w:val="00D04255"/>
    <w:rsid w:val="00D0536D"/>
    <w:rsid w:val="00D058D9"/>
    <w:rsid w:val="00D05CF5"/>
    <w:rsid w:val="00D05CF9"/>
    <w:rsid w:val="00D06643"/>
    <w:rsid w:val="00D067B6"/>
    <w:rsid w:val="00D06A55"/>
    <w:rsid w:val="00D07812"/>
    <w:rsid w:val="00D079E6"/>
    <w:rsid w:val="00D120C9"/>
    <w:rsid w:val="00D12FFF"/>
    <w:rsid w:val="00D13731"/>
    <w:rsid w:val="00D13E06"/>
    <w:rsid w:val="00D15D09"/>
    <w:rsid w:val="00D16796"/>
    <w:rsid w:val="00D16AC9"/>
    <w:rsid w:val="00D16C88"/>
    <w:rsid w:val="00D1753E"/>
    <w:rsid w:val="00D20458"/>
    <w:rsid w:val="00D2068C"/>
    <w:rsid w:val="00D217E6"/>
    <w:rsid w:val="00D21AB9"/>
    <w:rsid w:val="00D21BA9"/>
    <w:rsid w:val="00D21BD8"/>
    <w:rsid w:val="00D221E2"/>
    <w:rsid w:val="00D22201"/>
    <w:rsid w:val="00D24121"/>
    <w:rsid w:val="00D24805"/>
    <w:rsid w:val="00D24A72"/>
    <w:rsid w:val="00D255D2"/>
    <w:rsid w:val="00D25FB6"/>
    <w:rsid w:val="00D27712"/>
    <w:rsid w:val="00D27B7E"/>
    <w:rsid w:val="00D27E35"/>
    <w:rsid w:val="00D3087E"/>
    <w:rsid w:val="00D30C46"/>
    <w:rsid w:val="00D33AE1"/>
    <w:rsid w:val="00D33C2C"/>
    <w:rsid w:val="00D34827"/>
    <w:rsid w:val="00D34891"/>
    <w:rsid w:val="00D35146"/>
    <w:rsid w:val="00D35BC5"/>
    <w:rsid w:val="00D36EA7"/>
    <w:rsid w:val="00D37882"/>
    <w:rsid w:val="00D41580"/>
    <w:rsid w:val="00D4186D"/>
    <w:rsid w:val="00D41939"/>
    <w:rsid w:val="00D42018"/>
    <w:rsid w:val="00D4246E"/>
    <w:rsid w:val="00D42B25"/>
    <w:rsid w:val="00D454E2"/>
    <w:rsid w:val="00D457E3"/>
    <w:rsid w:val="00D45D84"/>
    <w:rsid w:val="00D46D69"/>
    <w:rsid w:val="00D47ACC"/>
    <w:rsid w:val="00D50A97"/>
    <w:rsid w:val="00D51118"/>
    <w:rsid w:val="00D51965"/>
    <w:rsid w:val="00D52801"/>
    <w:rsid w:val="00D531E4"/>
    <w:rsid w:val="00D5420B"/>
    <w:rsid w:val="00D54855"/>
    <w:rsid w:val="00D5699F"/>
    <w:rsid w:val="00D61888"/>
    <w:rsid w:val="00D61E67"/>
    <w:rsid w:val="00D61F46"/>
    <w:rsid w:val="00D6228B"/>
    <w:rsid w:val="00D623BE"/>
    <w:rsid w:val="00D6268A"/>
    <w:rsid w:val="00D627C3"/>
    <w:rsid w:val="00D62B89"/>
    <w:rsid w:val="00D62F2E"/>
    <w:rsid w:val="00D67981"/>
    <w:rsid w:val="00D67A6C"/>
    <w:rsid w:val="00D7045E"/>
    <w:rsid w:val="00D710D9"/>
    <w:rsid w:val="00D71B80"/>
    <w:rsid w:val="00D71E8B"/>
    <w:rsid w:val="00D73E9E"/>
    <w:rsid w:val="00D74038"/>
    <w:rsid w:val="00D74647"/>
    <w:rsid w:val="00D754DC"/>
    <w:rsid w:val="00D7589A"/>
    <w:rsid w:val="00D75A15"/>
    <w:rsid w:val="00D75A84"/>
    <w:rsid w:val="00D76FA5"/>
    <w:rsid w:val="00D771B1"/>
    <w:rsid w:val="00D777B0"/>
    <w:rsid w:val="00D77C39"/>
    <w:rsid w:val="00D82514"/>
    <w:rsid w:val="00D84693"/>
    <w:rsid w:val="00D852A5"/>
    <w:rsid w:val="00D85572"/>
    <w:rsid w:val="00D85C78"/>
    <w:rsid w:val="00D86048"/>
    <w:rsid w:val="00D8764F"/>
    <w:rsid w:val="00D91565"/>
    <w:rsid w:val="00D91D65"/>
    <w:rsid w:val="00D91EF4"/>
    <w:rsid w:val="00D924DF"/>
    <w:rsid w:val="00D94834"/>
    <w:rsid w:val="00D94EF4"/>
    <w:rsid w:val="00D95A56"/>
    <w:rsid w:val="00D964F6"/>
    <w:rsid w:val="00D97183"/>
    <w:rsid w:val="00D97337"/>
    <w:rsid w:val="00DA1403"/>
    <w:rsid w:val="00DA20C7"/>
    <w:rsid w:val="00DA2580"/>
    <w:rsid w:val="00DA3619"/>
    <w:rsid w:val="00DA3FA4"/>
    <w:rsid w:val="00DA4D77"/>
    <w:rsid w:val="00DA646F"/>
    <w:rsid w:val="00DA71EC"/>
    <w:rsid w:val="00DB06B6"/>
    <w:rsid w:val="00DB15AC"/>
    <w:rsid w:val="00DB181C"/>
    <w:rsid w:val="00DB18E2"/>
    <w:rsid w:val="00DB1A7F"/>
    <w:rsid w:val="00DB373D"/>
    <w:rsid w:val="00DB52F1"/>
    <w:rsid w:val="00DB66AD"/>
    <w:rsid w:val="00DB713C"/>
    <w:rsid w:val="00DB77DF"/>
    <w:rsid w:val="00DC14F8"/>
    <w:rsid w:val="00DC15DC"/>
    <w:rsid w:val="00DC396B"/>
    <w:rsid w:val="00DC5A04"/>
    <w:rsid w:val="00DC5C0A"/>
    <w:rsid w:val="00DC6191"/>
    <w:rsid w:val="00DC63DF"/>
    <w:rsid w:val="00DC7051"/>
    <w:rsid w:val="00DC7081"/>
    <w:rsid w:val="00DD0B06"/>
    <w:rsid w:val="00DD3305"/>
    <w:rsid w:val="00DD411D"/>
    <w:rsid w:val="00DD4718"/>
    <w:rsid w:val="00DD5E0E"/>
    <w:rsid w:val="00DD74A1"/>
    <w:rsid w:val="00DD7C17"/>
    <w:rsid w:val="00DE091B"/>
    <w:rsid w:val="00DE0F20"/>
    <w:rsid w:val="00DE1980"/>
    <w:rsid w:val="00DE20A6"/>
    <w:rsid w:val="00DE2A7E"/>
    <w:rsid w:val="00DE374D"/>
    <w:rsid w:val="00DE3CC8"/>
    <w:rsid w:val="00DE3FA1"/>
    <w:rsid w:val="00DE4600"/>
    <w:rsid w:val="00DE5176"/>
    <w:rsid w:val="00DE6269"/>
    <w:rsid w:val="00DE69B4"/>
    <w:rsid w:val="00DE7153"/>
    <w:rsid w:val="00DE728C"/>
    <w:rsid w:val="00DF1859"/>
    <w:rsid w:val="00DF3DDD"/>
    <w:rsid w:val="00DF4057"/>
    <w:rsid w:val="00DF58F0"/>
    <w:rsid w:val="00DF61B0"/>
    <w:rsid w:val="00DF6A2A"/>
    <w:rsid w:val="00DF6EBF"/>
    <w:rsid w:val="00DF7695"/>
    <w:rsid w:val="00DF79CF"/>
    <w:rsid w:val="00DF7CAB"/>
    <w:rsid w:val="00E0006D"/>
    <w:rsid w:val="00E00A5B"/>
    <w:rsid w:val="00E018E4"/>
    <w:rsid w:val="00E02CD6"/>
    <w:rsid w:val="00E04064"/>
    <w:rsid w:val="00E046D0"/>
    <w:rsid w:val="00E050FF"/>
    <w:rsid w:val="00E0589C"/>
    <w:rsid w:val="00E05FDB"/>
    <w:rsid w:val="00E077D1"/>
    <w:rsid w:val="00E07BFB"/>
    <w:rsid w:val="00E07D78"/>
    <w:rsid w:val="00E07E64"/>
    <w:rsid w:val="00E1033F"/>
    <w:rsid w:val="00E114D4"/>
    <w:rsid w:val="00E1171B"/>
    <w:rsid w:val="00E11C41"/>
    <w:rsid w:val="00E1295F"/>
    <w:rsid w:val="00E14189"/>
    <w:rsid w:val="00E15665"/>
    <w:rsid w:val="00E15BE7"/>
    <w:rsid w:val="00E16B8B"/>
    <w:rsid w:val="00E204FE"/>
    <w:rsid w:val="00E2099A"/>
    <w:rsid w:val="00E2247C"/>
    <w:rsid w:val="00E23A0E"/>
    <w:rsid w:val="00E246EA"/>
    <w:rsid w:val="00E2543F"/>
    <w:rsid w:val="00E25588"/>
    <w:rsid w:val="00E25596"/>
    <w:rsid w:val="00E255C6"/>
    <w:rsid w:val="00E26434"/>
    <w:rsid w:val="00E26B20"/>
    <w:rsid w:val="00E26E56"/>
    <w:rsid w:val="00E273E8"/>
    <w:rsid w:val="00E27955"/>
    <w:rsid w:val="00E30702"/>
    <w:rsid w:val="00E313A5"/>
    <w:rsid w:val="00E31465"/>
    <w:rsid w:val="00E31869"/>
    <w:rsid w:val="00E31F14"/>
    <w:rsid w:val="00E320FB"/>
    <w:rsid w:val="00E321C1"/>
    <w:rsid w:val="00E324FB"/>
    <w:rsid w:val="00E33076"/>
    <w:rsid w:val="00E336CF"/>
    <w:rsid w:val="00E35473"/>
    <w:rsid w:val="00E359EF"/>
    <w:rsid w:val="00E36609"/>
    <w:rsid w:val="00E36914"/>
    <w:rsid w:val="00E37F53"/>
    <w:rsid w:val="00E404EF"/>
    <w:rsid w:val="00E40B04"/>
    <w:rsid w:val="00E40CD0"/>
    <w:rsid w:val="00E42BDC"/>
    <w:rsid w:val="00E42DD5"/>
    <w:rsid w:val="00E43265"/>
    <w:rsid w:val="00E43998"/>
    <w:rsid w:val="00E44BF6"/>
    <w:rsid w:val="00E45224"/>
    <w:rsid w:val="00E45DB2"/>
    <w:rsid w:val="00E4684A"/>
    <w:rsid w:val="00E477BF"/>
    <w:rsid w:val="00E477EF"/>
    <w:rsid w:val="00E51EE9"/>
    <w:rsid w:val="00E52636"/>
    <w:rsid w:val="00E534D7"/>
    <w:rsid w:val="00E534D9"/>
    <w:rsid w:val="00E543E3"/>
    <w:rsid w:val="00E54B80"/>
    <w:rsid w:val="00E556F8"/>
    <w:rsid w:val="00E55CC6"/>
    <w:rsid w:val="00E57505"/>
    <w:rsid w:val="00E57C05"/>
    <w:rsid w:val="00E57FEE"/>
    <w:rsid w:val="00E6011A"/>
    <w:rsid w:val="00E6058D"/>
    <w:rsid w:val="00E60826"/>
    <w:rsid w:val="00E60E40"/>
    <w:rsid w:val="00E6155E"/>
    <w:rsid w:val="00E61912"/>
    <w:rsid w:val="00E61F47"/>
    <w:rsid w:val="00E620EE"/>
    <w:rsid w:val="00E62979"/>
    <w:rsid w:val="00E62F48"/>
    <w:rsid w:val="00E63558"/>
    <w:rsid w:val="00E638F3"/>
    <w:rsid w:val="00E63932"/>
    <w:rsid w:val="00E63E95"/>
    <w:rsid w:val="00E643C9"/>
    <w:rsid w:val="00E6575F"/>
    <w:rsid w:val="00E65B88"/>
    <w:rsid w:val="00E70EAE"/>
    <w:rsid w:val="00E70F27"/>
    <w:rsid w:val="00E71109"/>
    <w:rsid w:val="00E715FF"/>
    <w:rsid w:val="00E71DF2"/>
    <w:rsid w:val="00E7232C"/>
    <w:rsid w:val="00E72773"/>
    <w:rsid w:val="00E734F4"/>
    <w:rsid w:val="00E7384F"/>
    <w:rsid w:val="00E769DA"/>
    <w:rsid w:val="00E8073D"/>
    <w:rsid w:val="00E81B1F"/>
    <w:rsid w:val="00E81FF1"/>
    <w:rsid w:val="00E82B49"/>
    <w:rsid w:val="00E84725"/>
    <w:rsid w:val="00E86088"/>
    <w:rsid w:val="00E8696D"/>
    <w:rsid w:val="00E86B0E"/>
    <w:rsid w:val="00E86F7B"/>
    <w:rsid w:val="00E876B5"/>
    <w:rsid w:val="00E87C5A"/>
    <w:rsid w:val="00E913A4"/>
    <w:rsid w:val="00E9144E"/>
    <w:rsid w:val="00E91F49"/>
    <w:rsid w:val="00E931C2"/>
    <w:rsid w:val="00E93538"/>
    <w:rsid w:val="00E9589F"/>
    <w:rsid w:val="00E9597C"/>
    <w:rsid w:val="00E95AF0"/>
    <w:rsid w:val="00E95CA4"/>
    <w:rsid w:val="00E97793"/>
    <w:rsid w:val="00E97EF8"/>
    <w:rsid w:val="00EA11A9"/>
    <w:rsid w:val="00EA2F12"/>
    <w:rsid w:val="00EA3006"/>
    <w:rsid w:val="00EA35D1"/>
    <w:rsid w:val="00EA3DFA"/>
    <w:rsid w:val="00EA4A54"/>
    <w:rsid w:val="00EA558A"/>
    <w:rsid w:val="00EA56B5"/>
    <w:rsid w:val="00EA5787"/>
    <w:rsid w:val="00EA5A6E"/>
    <w:rsid w:val="00EA691D"/>
    <w:rsid w:val="00EA6F96"/>
    <w:rsid w:val="00EA76AD"/>
    <w:rsid w:val="00EA78C6"/>
    <w:rsid w:val="00EA7AB4"/>
    <w:rsid w:val="00EB06A1"/>
    <w:rsid w:val="00EB08AB"/>
    <w:rsid w:val="00EB1009"/>
    <w:rsid w:val="00EB18F8"/>
    <w:rsid w:val="00EB240C"/>
    <w:rsid w:val="00EB2AC8"/>
    <w:rsid w:val="00EB3B9F"/>
    <w:rsid w:val="00EB53A6"/>
    <w:rsid w:val="00EB5908"/>
    <w:rsid w:val="00EB645C"/>
    <w:rsid w:val="00EB6862"/>
    <w:rsid w:val="00EB7FB8"/>
    <w:rsid w:val="00EC0141"/>
    <w:rsid w:val="00EC04FF"/>
    <w:rsid w:val="00EC070A"/>
    <w:rsid w:val="00EC16A7"/>
    <w:rsid w:val="00EC180B"/>
    <w:rsid w:val="00EC2C4D"/>
    <w:rsid w:val="00EC2F2A"/>
    <w:rsid w:val="00EC3929"/>
    <w:rsid w:val="00EC4A88"/>
    <w:rsid w:val="00EC5640"/>
    <w:rsid w:val="00EC5A37"/>
    <w:rsid w:val="00EC5AD4"/>
    <w:rsid w:val="00EC693B"/>
    <w:rsid w:val="00EC73F3"/>
    <w:rsid w:val="00EC766B"/>
    <w:rsid w:val="00EC7955"/>
    <w:rsid w:val="00EC7D41"/>
    <w:rsid w:val="00ED019E"/>
    <w:rsid w:val="00ED10E0"/>
    <w:rsid w:val="00ED15BE"/>
    <w:rsid w:val="00ED27B1"/>
    <w:rsid w:val="00ED27D4"/>
    <w:rsid w:val="00ED2A30"/>
    <w:rsid w:val="00ED2B44"/>
    <w:rsid w:val="00ED2EEA"/>
    <w:rsid w:val="00ED3922"/>
    <w:rsid w:val="00ED44C4"/>
    <w:rsid w:val="00ED4DAA"/>
    <w:rsid w:val="00ED4ED5"/>
    <w:rsid w:val="00ED5051"/>
    <w:rsid w:val="00ED6493"/>
    <w:rsid w:val="00ED7B64"/>
    <w:rsid w:val="00ED7D97"/>
    <w:rsid w:val="00ED7DB9"/>
    <w:rsid w:val="00EE047C"/>
    <w:rsid w:val="00EE09DA"/>
    <w:rsid w:val="00EE2C1A"/>
    <w:rsid w:val="00EE3171"/>
    <w:rsid w:val="00EE3E54"/>
    <w:rsid w:val="00EE47D4"/>
    <w:rsid w:val="00EE4A95"/>
    <w:rsid w:val="00EE5196"/>
    <w:rsid w:val="00EE5D92"/>
    <w:rsid w:val="00EE6A61"/>
    <w:rsid w:val="00EE73AD"/>
    <w:rsid w:val="00EE7E5C"/>
    <w:rsid w:val="00EF16C4"/>
    <w:rsid w:val="00EF1845"/>
    <w:rsid w:val="00EF25EC"/>
    <w:rsid w:val="00EF2CD0"/>
    <w:rsid w:val="00EF3530"/>
    <w:rsid w:val="00EF49C6"/>
    <w:rsid w:val="00EF4BCD"/>
    <w:rsid w:val="00EF599F"/>
    <w:rsid w:val="00EF5BCF"/>
    <w:rsid w:val="00EF5EFA"/>
    <w:rsid w:val="00EF6572"/>
    <w:rsid w:val="00EF7A79"/>
    <w:rsid w:val="00F000C7"/>
    <w:rsid w:val="00F001C5"/>
    <w:rsid w:val="00F0061D"/>
    <w:rsid w:val="00F00F08"/>
    <w:rsid w:val="00F01D1C"/>
    <w:rsid w:val="00F01E3C"/>
    <w:rsid w:val="00F0322F"/>
    <w:rsid w:val="00F0375A"/>
    <w:rsid w:val="00F04148"/>
    <w:rsid w:val="00F04864"/>
    <w:rsid w:val="00F058A4"/>
    <w:rsid w:val="00F059D2"/>
    <w:rsid w:val="00F05A9A"/>
    <w:rsid w:val="00F05E2F"/>
    <w:rsid w:val="00F102E8"/>
    <w:rsid w:val="00F10554"/>
    <w:rsid w:val="00F10EAF"/>
    <w:rsid w:val="00F11479"/>
    <w:rsid w:val="00F11A0C"/>
    <w:rsid w:val="00F12720"/>
    <w:rsid w:val="00F1315D"/>
    <w:rsid w:val="00F146A1"/>
    <w:rsid w:val="00F167EC"/>
    <w:rsid w:val="00F17193"/>
    <w:rsid w:val="00F17455"/>
    <w:rsid w:val="00F2013A"/>
    <w:rsid w:val="00F2037C"/>
    <w:rsid w:val="00F2044C"/>
    <w:rsid w:val="00F20646"/>
    <w:rsid w:val="00F207F4"/>
    <w:rsid w:val="00F20D1F"/>
    <w:rsid w:val="00F20E8F"/>
    <w:rsid w:val="00F20EF2"/>
    <w:rsid w:val="00F22BA1"/>
    <w:rsid w:val="00F23B77"/>
    <w:rsid w:val="00F24906"/>
    <w:rsid w:val="00F24D56"/>
    <w:rsid w:val="00F24EA3"/>
    <w:rsid w:val="00F25715"/>
    <w:rsid w:val="00F25E6A"/>
    <w:rsid w:val="00F275FC"/>
    <w:rsid w:val="00F31B51"/>
    <w:rsid w:val="00F322AC"/>
    <w:rsid w:val="00F334C4"/>
    <w:rsid w:val="00F34121"/>
    <w:rsid w:val="00F35A5F"/>
    <w:rsid w:val="00F362A1"/>
    <w:rsid w:val="00F36A85"/>
    <w:rsid w:val="00F37431"/>
    <w:rsid w:val="00F37439"/>
    <w:rsid w:val="00F374C6"/>
    <w:rsid w:val="00F37D5A"/>
    <w:rsid w:val="00F405B7"/>
    <w:rsid w:val="00F41BBA"/>
    <w:rsid w:val="00F42010"/>
    <w:rsid w:val="00F42A6A"/>
    <w:rsid w:val="00F43D5F"/>
    <w:rsid w:val="00F444CE"/>
    <w:rsid w:val="00F446FA"/>
    <w:rsid w:val="00F448BC"/>
    <w:rsid w:val="00F44FC9"/>
    <w:rsid w:val="00F461FE"/>
    <w:rsid w:val="00F46375"/>
    <w:rsid w:val="00F469D5"/>
    <w:rsid w:val="00F46C89"/>
    <w:rsid w:val="00F47A64"/>
    <w:rsid w:val="00F500BB"/>
    <w:rsid w:val="00F502D9"/>
    <w:rsid w:val="00F50D42"/>
    <w:rsid w:val="00F5113F"/>
    <w:rsid w:val="00F51807"/>
    <w:rsid w:val="00F51BA4"/>
    <w:rsid w:val="00F522F8"/>
    <w:rsid w:val="00F52C5C"/>
    <w:rsid w:val="00F535E4"/>
    <w:rsid w:val="00F53C64"/>
    <w:rsid w:val="00F53E6D"/>
    <w:rsid w:val="00F53F74"/>
    <w:rsid w:val="00F546BD"/>
    <w:rsid w:val="00F55523"/>
    <w:rsid w:val="00F5612C"/>
    <w:rsid w:val="00F60CD6"/>
    <w:rsid w:val="00F619BB"/>
    <w:rsid w:val="00F6276B"/>
    <w:rsid w:val="00F62B16"/>
    <w:rsid w:val="00F63FF1"/>
    <w:rsid w:val="00F64FE4"/>
    <w:rsid w:val="00F657ED"/>
    <w:rsid w:val="00F65ADB"/>
    <w:rsid w:val="00F66B79"/>
    <w:rsid w:val="00F66E36"/>
    <w:rsid w:val="00F678E8"/>
    <w:rsid w:val="00F701F3"/>
    <w:rsid w:val="00F7065A"/>
    <w:rsid w:val="00F706AD"/>
    <w:rsid w:val="00F710E8"/>
    <w:rsid w:val="00F724C7"/>
    <w:rsid w:val="00F72B07"/>
    <w:rsid w:val="00F72B7B"/>
    <w:rsid w:val="00F73B63"/>
    <w:rsid w:val="00F740C0"/>
    <w:rsid w:val="00F74193"/>
    <w:rsid w:val="00F74B2D"/>
    <w:rsid w:val="00F74F82"/>
    <w:rsid w:val="00F7635E"/>
    <w:rsid w:val="00F76C42"/>
    <w:rsid w:val="00F76E8C"/>
    <w:rsid w:val="00F77FDB"/>
    <w:rsid w:val="00F80100"/>
    <w:rsid w:val="00F81BC4"/>
    <w:rsid w:val="00F829ED"/>
    <w:rsid w:val="00F83628"/>
    <w:rsid w:val="00F83ED7"/>
    <w:rsid w:val="00F84145"/>
    <w:rsid w:val="00F86A51"/>
    <w:rsid w:val="00F86BB2"/>
    <w:rsid w:val="00F86D5F"/>
    <w:rsid w:val="00F86E71"/>
    <w:rsid w:val="00F904CB"/>
    <w:rsid w:val="00F90EC0"/>
    <w:rsid w:val="00F922F9"/>
    <w:rsid w:val="00F939AB"/>
    <w:rsid w:val="00F94257"/>
    <w:rsid w:val="00F959BC"/>
    <w:rsid w:val="00F96779"/>
    <w:rsid w:val="00F9728F"/>
    <w:rsid w:val="00F97461"/>
    <w:rsid w:val="00F97485"/>
    <w:rsid w:val="00FA017F"/>
    <w:rsid w:val="00FA09CC"/>
    <w:rsid w:val="00FA0A26"/>
    <w:rsid w:val="00FA0B67"/>
    <w:rsid w:val="00FA1108"/>
    <w:rsid w:val="00FA150B"/>
    <w:rsid w:val="00FA371B"/>
    <w:rsid w:val="00FA390F"/>
    <w:rsid w:val="00FA39C4"/>
    <w:rsid w:val="00FA4B12"/>
    <w:rsid w:val="00FA4B6B"/>
    <w:rsid w:val="00FA4F59"/>
    <w:rsid w:val="00FA6269"/>
    <w:rsid w:val="00FA6747"/>
    <w:rsid w:val="00FA6C39"/>
    <w:rsid w:val="00FA74AF"/>
    <w:rsid w:val="00FB011C"/>
    <w:rsid w:val="00FB116E"/>
    <w:rsid w:val="00FB265C"/>
    <w:rsid w:val="00FB2C03"/>
    <w:rsid w:val="00FB3223"/>
    <w:rsid w:val="00FB3596"/>
    <w:rsid w:val="00FB40B2"/>
    <w:rsid w:val="00FB4753"/>
    <w:rsid w:val="00FB4974"/>
    <w:rsid w:val="00FB49F0"/>
    <w:rsid w:val="00FB4D80"/>
    <w:rsid w:val="00FB5CAF"/>
    <w:rsid w:val="00FB6296"/>
    <w:rsid w:val="00FB62DF"/>
    <w:rsid w:val="00FB6D06"/>
    <w:rsid w:val="00FB78EA"/>
    <w:rsid w:val="00FC1DCA"/>
    <w:rsid w:val="00FC1FCA"/>
    <w:rsid w:val="00FC2A29"/>
    <w:rsid w:val="00FC39D5"/>
    <w:rsid w:val="00FC64F8"/>
    <w:rsid w:val="00FC6556"/>
    <w:rsid w:val="00FC69DD"/>
    <w:rsid w:val="00FC77DD"/>
    <w:rsid w:val="00FD0872"/>
    <w:rsid w:val="00FD188B"/>
    <w:rsid w:val="00FD3946"/>
    <w:rsid w:val="00FD4374"/>
    <w:rsid w:val="00FD4E64"/>
    <w:rsid w:val="00FD6649"/>
    <w:rsid w:val="00FD7DF8"/>
    <w:rsid w:val="00FE01F8"/>
    <w:rsid w:val="00FE0890"/>
    <w:rsid w:val="00FE24AB"/>
    <w:rsid w:val="00FE2A12"/>
    <w:rsid w:val="00FE2A2C"/>
    <w:rsid w:val="00FE3DDF"/>
    <w:rsid w:val="00FE413B"/>
    <w:rsid w:val="00FE456B"/>
    <w:rsid w:val="00FE4832"/>
    <w:rsid w:val="00FE4FFD"/>
    <w:rsid w:val="00FE564F"/>
    <w:rsid w:val="00FE6555"/>
    <w:rsid w:val="00FE68A2"/>
    <w:rsid w:val="00FE68C7"/>
    <w:rsid w:val="00FE7526"/>
    <w:rsid w:val="00FF03C5"/>
    <w:rsid w:val="00FF32C2"/>
    <w:rsid w:val="00FF4955"/>
    <w:rsid w:val="00FF57F1"/>
    <w:rsid w:val="00FF5EA0"/>
    <w:rsid w:val="00FF6000"/>
    <w:rsid w:val="00FF68F7"/>
    <w:rsid w:val="00FF6DBF"/>
    <w:rsid w:val="00FF7A9E"/>
    <w:rsid w:val="00FF7F3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92D6E"/>
  <w15:chartTrackingRefBased/>
  <w15:docId w15:val="{C6AA1B71-CA88-44CF-9FA8-B38455BC4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8A7"/>
  </w:style>
  <w:style w:type="paragraph" w:styleId="Heading1">
    <w:name w:val="heading 1"/>
    <w:basedOn w:val="Normal"/>
    <w:next w:val="Normal"/>
    <w:link w:val="Heading1Char"/>
    <w:uiPriority w:val="9"/>
    <w:qFormat/>
    <w:rsid w:val="00BE2E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E2E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E2E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E2E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2E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2E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2E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2E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2E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2E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E2E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E2E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BE2E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2E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2E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2E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2E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2EDC"/>
    <w:rPr>
      <w:rFonts w:eastAsiaTheme="majorEastAsia" w:cstheme="majorBidi"/>
      <w:color w:val="272727" w:themeColor="text1" w:themeTint="D8"/>
    </w:rPr>
  </w:style>
  <w:style w:type="paragraph" w:styleId="Title">
    <w:name w:val="Title"/>
    <w:basedOn w:val="Normal"/>
    <w:next w:val="Normal"/>
    <w:link w:val="TitleChar"/>
    <w:uiPriority w:val="10"/>
    <w:qFormat/>
    <w:rsid w:val="00BE2E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2E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2E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2E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2EDC"/>
    <w:pPr>
      <w:spacing w:before="160"/>
      <w:jc w:val="center"/>
    </w:pPr>
    <w:rPr>
      <w:i/>
      <w:iCs/>
      <w:color w:val="404040" w:themeColor="text1" w:themeTint="BF"/>
    </w:rPr>
  </w:style>
  <w:style w:type="character" w:customStyle="1" w:styleId="QuoteChar">
    <w:name w:val="Quote Char"/>
    <w:basedOn w:val="DefaultParagraphFont"/>
    <w:link w:val="Quote"/>
    <w:uiPriority w:val="29"/>
    <w:rsid w:val="00BE2EDC"/>
    <w:rPr>
      <w:i/>
      <w:iCs/>
      <w:color w:val="404040" w:themeColor="text1" w:themeTint="BF"/>
    </w:rPr>
  </w:style>
  <w:style w:type="paragraph" w:styleId="ListParagraph">
    <w:name w:val="List Paragraph"/>
    <w:basedOn w:val="Normal"/>
    <w:uiPriority w:val="34"/>
    <w:qFormat/>
    <w:rsid w:val="00BE2EDC"/>
    <w:pPr>
      <w:ind w:left="720"/>
      <w:contextualSpacing/>
    </w:pPr>
  </w:style>
  <w:style w:type="character" w:styleId="IntenseEmphasis">
    <w:name w:val="Intense Emphasis"/>
    <w:basedOn w:val="DefaultParagraphFont"/>
    <w:uiPriority w:val="21"/>
    <w:qFormat/>
    <w:rsid w:val="00BE2EDC"/>
    <w:rPr>
      <w:i/>
      <w:iCs/>
      <w:color w:val="0F4761" w:themeColor="accent1" w:themeShade="BF"/>
    </w:rPr>
  </w:style>
  <w:style w:type="paragraph" w:styleId="IntenseQuote">
    <w:name w:val="Intense Quote"/>
    <w:basedOn w:val="Normal"/>
    <w:next w:val="Normal"/>
    <w:link w:val="IntenseQuoteChar"/>
    <w:uiPriority w:val="30"/>
    <w:qFormat/>
    <w:rsid w:val="00BE2E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2EDC"/>
    <w:rPr>
      <w:i/>
      <w:iCs/>
      <w:color w:val="0F4761" w:themeColor="accent1" w:themeShade="BF"/>
    </w:rPr>
  </w:style>
  <w:style w:type="character" w:styleId="IntenseReference">
    <w:name w:val="Intense Reference"/>
    <w:basedOn w:val="DefaultParagraphFont"/>
    <w:uiPriority w:val="32"/>
    <w:qFormat/>
    <w:rsid w:val="00BE2EDC"/>
    <w:rPr>
      <w:b/>
      <w:bCs/>
      <w:smallCaps/>
      <w:color w:val="0F4761" w:themeColor="accent1" w:themeShade="BF"/>
      <w:spacing w:val="5"/>
    </w:rPr>
  </w:style>
  <w:style w:type="paragraph" w:styleId="NormalWeb">
    <w:name w:val="Normal (Web)"/>
    <w:basedOn w:val="Normal"/>
    <w:uiPriority w:val="99"/>
    <w:semiHidden/>
    <w:unhideWhenUsed/>
    <w:rsid w:val="000B4289"/>
    <w:rPr>
      <w:rFonts w:ascii="Times New Roman" w:hAnsi="Times New Roman" w:cs="Times New Roman"/>
    </w:rPr>
  </w:style>
  <w:style w:type="paragraph" w:customStyle="1" w:styleId="EndNoteBibliographyTitle">
    <w:name w:val="EndNote Bibliography Title"/>
    <w:basedOn w:val="Normal"/>
    <w:link w:val="EndNoteBibliographyTitleChar"/>
    <w:rsid w:val="00AE47FE"/>
    <w:pPr>
      <w:spacing w:after="0"/>
      <w:jc w:val="center"/>
    </w:pPr>
    <w:rPr>
      <w:rFonts w:ascii="Aptos" w:hAnsi="Aptos"/>
      <w:noProof/>
    </w:rPr>
  </w:style>
  <w:style w:type="character" w:customStyle="1" w:styleId="EndNoteBibliographyTitleChar">
    <w:name w:val="EndNote Bibliography Title Char"/>
    <w:basedOn w:val="DefaultParagraphFont"/>
    <w:link w:val="EndNoteBibliographyTitle"/>
    <w:rsid w:val="00AE47FE"/>
    <w:rPr>
      <w:rFonts w:ascii="Aptos" w:hAnsi="Aptos"/>
      <w:noProof/>
    </w:rPr>
  </w:style>
  <w:style w:type="paragraph" w:customStyle="1" w:styleId="EndNoteBibliography">
    <w:name w:val="EndNote Bibliography"/>
    <w:basedOn w:val="Normal"/>
    <w:link w:val="EndNoteBibliographyChar"/>
    <w:rsid w:val="00AE47FE"/>
    <w:pPr>
      <w:spacing w:line="240" w:lineRule="auto"/>
    </w:pPr>
    <w:rPr>
      <w:rFonts w:ascii="Aptos" w:hAnsi="Aptos"/>
      <w:noProof/>
    </w:rPr>
  </w:style>
  <w:style w:type="character" w:customStyle="1" w:styleId="EndNoteBibliographyChar">
    <w:name w:val="EndNote Bibliography Char"/>
    <w:basedOn w:val="DefaultParagraphFont"/>
    <w:link w:val="EndNoteBibliography"/>
    <w:rsid w:val="00AE47FE"/>
    <w:rPr>
      <w:rFonts w:ascii="Aptos" w:hAnsi="Aptos"/>
      <w:noProof/>
    </w:rPr>
  </w:style>
  <w:style w:type="paragraph" w:styleId="Caption">
    <w:name w:val="caption"/>
    <w:basedOn w:val="Normal"/>
    <w:next w:val="Normal"/>
    <w:uiPriority w:val="35"/>
    <w:unhideWhenUsed/>
    <w:qFormat/>
    <w:rsid w:val="004B2B2C"/>
    <w:pPr>
      <w:spacing w:after="200" w:line="240" w:lineRule="auto"/>
    </w:pPr>
    <w:rPr>
      <w:i/>
      <w:iCs/>
      <w:color w:val="0E2841" w:themeColor="text2"/>
      <w:sz w:val="18"/>
      <w:szCs w:val="18"/>
    </w:rPr>
  </w:style>
  <w:style w:type="character" w:styleId="PlaceholderText">
    <w:name w:val="Placeholder Text"/>
    <w:basedOn w:val="DefaultParagraphFont"/>
    <w:uiPriority w:val="99"/>
    <w:semiHidden/>
    <w:rsid w:val="002F31C1"/>
    <w:rPr>
      <w:color w:val="666666"/>
    </w:rPr>
  </w:style>
  <w:style w:type="character" w:styleId="Hyperlink">
    <w:name w:val="Hyperlink"/>
    <w:basedOn w:val="DefaultParagraphFont"/>
    <w:uiPriority w:val="99"/>
    <w:unhideWhenUsed/>
    <w:rsid w:val="00882DC6"/>
    <w:rPr>
      <w:color w:val="467886" w:themeColor="hyperlink"/>
      <w:u w:val="single"/>
    </w:rPr>
  </w:style>
  <w:style w:type="character" w:styleId="CommentReference">
    <w:name w:val="annotation reference"/>
    <w:basedOn w:val="DefaultParagraphFont"/>
    <w:uiPriority w:val="99"/>
    <w:semiHidden/>
    <w:unhideWhenUsed/>
    <w:rsid w:val="00882DC6"/>
    <w:rPr>
      <w:sz w:val="16"/>
      <w:szCs w:val="16"/>
    </w:rPr>
  </w:style>
  <w:style w:type="paragraph" w:styleId="CommentText">
    <w:name w:val="annotation text"/>
    <w:basedOn w:val="Normal"/>
    <w:link w:val="CommentTextChar"/>
    <w:uiPriority w:val="99"/>
    <w:unhideWhenUsed/>
    <w:rsid w:val="00882DC6"/>
    <w:pPr>
      <w:spacing w:line="240" w:lineRule="auto"/>
    </w:pPr>
    <w:rPr>
      <w:sz w:val="20"/>
      <w:szCs w:val="20"/>
    </w:rPr>
  </w:style>
  <w:style w:type="character" w:customStyle="1" w:styleId="CommentTextChar">
    <w:name w:val="Comment Text Char"/>
    <w:basedOn w:val="DefaultParagraphFont"/>
    <w:link w:val="CommentText"/>
    <w:uiPriority w:val="99"/>
    <w:rsid w:val="00882DC6"/>
    <w:rPr>
      <w:sz w:val="20"/>
      <w:szCs w:val="20"/>
    </w:rPr>
  </w:style>
  <w:style w:type="paragraph" w:styleId="Revision">
    <w:name w:val="Revision"/>
    <w:hidden/>
    <w:uiPriority w:val="99"/>
    <w:semiHidden/>
    <w:rsid w:val="00882DC6"/>
    <w:pPr>
      <w:spacing w:after="0" w:line="240" w:lineRule="auto"/>
    </w:pPr>
  </w:style>
  <w:style w:type="character" w:styleId="LineNumber">
    <w:name w:val="line number"/>
    <w:basedOn w:val="DefaultParagraphFont"/>
    <w:uiPriority w:val="99"/>
    <w:semiHidden/>
    <w:unhideWhenUsed/>
    <w:rsid w:val="005050AB"/>
  </w:style>
  <w:style w:type="paragraph" w:styleId="Header">
    <w:name w:val="header"/>
    <w:basedOn w:val="Normal"/>
    <w:link w:val="HeaderChar"/>
    <w:uiPriority w:val="99"/>
    <w:unhideWhenUsed/>
    <w:rsid w:val="007769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69F9"/>
  </w:style>
  <w:style w:type="paragraph" w:styleId="Footer">
    <w:name w:val="footer"/>
    <w:basedOn w:val="Normal"/>
    <w:link w:val="FooterChar"/>
    <w:uiPriority w:val="99"/>
    <w:unhideWhenUsed/>
    <w:rsid w:val="007769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69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7AE1418-C716-4A96-8767-E1154100E234}">
  <we:reference id="wa200005983" version="2.3.0.0" store="en-US" storeType="OMEX"/>
  <we:alternateReferences>
    <we:reference id="wa200005983" version="2.3.0.0" store="wa20000598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86440-5B05-477D-89B1-E9E918A5D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2032</Words>
  <Characters>11585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Huang WANG</dc:creator>
  <cp:keywords/>
  <dc:description/>
  <cp:lastModifiedBy>Janin Chandra</cp:lastModifiedBy>
  <cp:revision>4</cp:revision>
  <dcterms:created xsi:type="dcterms:W3CDTF">2026-06-10T01:04:00Z</dcterms:created>
  <dcterms:modified xsi:type="dcterms:W3CDTF">2026-06-17T03:17:00Z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5c0aeef0-bc2b-4cd1-9155-b912b7109d6b</vt:lpwstr>
  </property>
  <property fmtid="{D5CDD505-2E9C-101B-9397-08002B2CF9AE}" pid="3" name="MSIP_Label_0f488380-630a-4f55-a077-a19445e3f360_Enabled">
    <vt:lpwstr>true</vt:lpwstr>
  </property>
  <property fmtid="{D5CDD505-2E9C-101B-9397-08002B2CF9AE}" pid="4" name="MSIP_Label_0f488380-630a-4f55-a077-a19445e3f360_SetDate">
    <vt:lpwstr>2026-06-10T00:29:31Z</vt:lpwstr>
  </property>
  <property fmtid="{D5CDD505-2E9C-101B-9397-08002B2CF9AE}" pid="5" name="MSIP_Label_0f488380-630a-4f55-a077-a19445e3f360_Method">
    <vt:lpwstr>Standard</vt:lpwstr>
  </property>
  <property fmtid="{D5CDD505-2E9C-101B-9397-08002B2CF9AE}" pid="6" name="MSIP_Label_0f488380-630a-4f55-a077-a19445e3f360_Name">
    <vt:lpwstr>OFFICIAL - INTERNAL</vt:lpwstr>
  </property>
  <property fmtid="{D5CDD505-2E9C-101B-9397-08002B2CF9AE}" pid="7" name="MSIP_Label_0f488380-630a-4f55-a077-a19445e3f360_SiteId">
    <vt:lpwstr>b6e377cf-9db3-46cb-91a2-fad9605bb15c</vt:lpwstr>
  </property>
  <property fmtid="{D5CDD505-2E9C-101B-9397-08002B2CF9AE}" pid="8" name="MSIP_Label_0f488380-630a-4f55-a077-a19445e3f360_ActionId">
    <vt:lpwstr>ccd8ed95-afe1-45eb-9c66-b8d295735053</vt:lpwstr>
  </property>
  <property fmtid="{D5CDD505-2E9C-101B-9397-08002B2CF9AE}" pid="9" name="MSIP_Label_0f488380-630a-4f55-a077-a19445e3f360_ContentBits">
    <vt:lpwstr>0</vt:lpwstr>
  </property>
  <property fmtid="{D5CDD505-2E9C-101B-9397-08002B2CF9AE}" pid="10" name="MSIP_Label_0f488380-630a-4f55-a077-a19445e3f360_Tag">
    <vt:lpwstr>10, 3, 0, 1</vt:lpwstr>
  </property>
</Properties>
</file>