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6D66" w14:textId="77777777" w:rsidR="00511111" w:rsidRDefault="00511111" w:rsidP="00511111">
      <w:pPr>
        <w:pageBreakBefore/>
        <w:spacing w:after="120"/>
      </w:pPr>
      <w:r>
        <w:rPr>
          <w:b/>
          <w:bCs/>
          <w:color w:val="000000"/>
          <w:sz w:val="26"/>
          <w:szCs w:val="26"/>
        </w:rPr>
        <w:t>Appendix A.  Pre-specified Validation Protocol</w:t>
      </w:r>
    </w:p>
    <w:p w14:paraId="4C0ABE11" w14:textId="77777777" w:rsidR="00511111" w:rsidRDefault="00511111" w:rsidP="00511111">
      <w:pPr>
        <w:spacing w:after="140" w:line="312" w:lineRule="auto"/>
        <w:jc w:val="both"/>
      </w:pPr>
      <w:r>
        <w:t>The model developed in this paper provides estimates based on the best available parameter values and has not yet been empirically validated; currently, there is no external gold standard for lifetime cross-sport head-impact burden. This appendix outlines the prospective study that will test and calibrate the model. It transforms the main limitation discussed in Section 8 into a clear plan and forms the basis for the planned second-stage validation study. It only details the open measurement and validation framework; the proprietary computational system that translates measured inputs into an individual risk outcome is outside its scope.</w:t>
      </w:r>
    </w:p>
    <w:p w14:paraId="532A6E1D" w14:textId="77777777" w:rsidR="00511111" w:rsidRDefault="00511111" w:rsidP="00511111">
      <w:pPr>
        <w:spacing w:before="200" w:after="90"/>
      </w:pPr>
      <w:r>
        <w:rPr>
          <w:b/>
          <w:bCs/>
          <w:color w:val="000000"/>
          <w:sz w:val="23"/>
          <w:szCs w:val="23"/>
        </w:rPr>
        <w:t>A.1  Objective</w:t>
      </w:r>
    </w:p>
    <w:p w14:paraId="1DCF2382" w14:textId="77777777" w:rsidR="00511111" w:rsidRDefault="00511111" w:rsidP="00511111">
      <w:pPr>
        <w:spacing w:after="120" w:line="312" w:lineRule="auto"/>
        <w:jc w:val="both"/>
      </w:pPr>
      <w:r>
        <w:t>To prospectively test whether the modeled cumulative burden predicts measured functional change in contact-sport athletes and to calibrate the model's parameters against actual data — replacing the default values in Tables 7–9 with empirical ones and reducing their uncertainty.</w:t>
      </w:r>
    </w:p>
    <w:p w14:paraId="2E91E4F4" w14:textId="77777777" w:rsidR="00511111" w:rsidRDefault="00511111" w:rsidP="00511111">
      <w:pPr>
        <w:spacing w:before="200" w:after="90"/>
      </w:pPr>
      <w:r>
        <w:rPr>
          <w:b/>
          <w:bCs/>
          <w:color w:val="000000"/>
          <w:sz w:val="23"/>
          <w:szCs w:val="23"/>
        </w:rPr>
        <w:t>A.2  Design</w:t>
      </w:r>
    </w:p>
    <w:p w14:paraId="2E093D5B" w14:textId="77777777" w:rsidR="00511111" w:rsidRDefault="00511111" w:rsidP="00511111">
      <w:pPr>
        <w:spacing w:after="120" w:line="312" w:lineRule="auto"/>
        <w:jc w:val="both"/>
      </w:pPr>
      <w:r>
        <w:t>A prospective, longitudinal observational cohort of active contact-sport athletes drawn from the modeled sports, instrumented for head-impact exposure, and assessed serially on the functional endpoints of Table 9. Baseline measurement precedes a specified exposure period of one or more seasons, with repeated measurements at pre-determined intervals.</w:t>
      </w:r>
    </w:p>
    <w:p w14:paraId="3383A84C" w14:textId="77777777" w:rsidR="00511111" w:rsidRDefault="00511111" w:rsidP="00511111">
      <w:pPr>
        <w:spacing w:before="200" w:after="90"/>
      </w:pPr>
      <w:r>
        <w:rPr>
          <w:b/>
          <w:bCs/>
          <w:color w:val="000000"/>
          <w:sz w:val="23"/>
          <w:szCs w:val="23"/>
        </w:rPr>
        <w:t>A.3  Measurements</w:t>
      </w:r>
    </w:p>
    <w:p w14:paraId="5CDC3616" w14:textId="77777777" w:rsidR="00511111" w:rsidRDefault="00511111" w:rsidP="00511111">
      <w:pPr>
        <w:spacing w:after="120" w:line="312" w:lineRule="auto"/>
        <w:jc w:val="both"/>
      </w:pPr>
      <w:r>
        <w:t>Exposure inputs — impact count and per-impact magnitude — are recorded continuously by instrumented mouthguard or accelerometer array. Functional endpoints — oculomotor, postural, and cognitive/evoked-response — are measured serially using the instrument classes and units of Table 9, and a recovery proxy is obtained from sleep tracking. No blood assay is required; fluid biomarkers, where available, serve only as an optional calibration reference.</w:t>
      </w:r>
    </w:p>
    <w:p w14:paraId="0713D8F7" w14:textId="77777777" w:rsidR="00511111" w:rsidRDefault="00511111" w:rsidP="00511111">
      <w:pPr>
        <w:spacing w:before="200" w:after="90"/>
      </w:pPr>
      <w:r>
        <w:rPr>
          <w:b/>
          <w:bCs/>
          <w:color w:val="000000"/>
          <w:sz w:val="23"/>
          <w:szCs w:val="23"/>
        </w:rPr>
        <w:t>A.4  Validation targets</w:t>
      </w:r>
    </w:p>
    <w:p w14:paraId="1F772F95" w14:textId="77777777" w:rsidR="00511111" w:rsidRDefault="00511111" w:rsidP="00511111">
      <w:pPr>
        <w:spacing w:after="120" w:line="312" w:lineRule="auto"/>
        <w:jc w:val="both"/>
      </w:pPr>
      <w:r>
        <w:t>Three targets are pre-specified. Calibration: assessing whether measured functional decline aligns with modeled cumulative burden over the exposure period. Discrimination: evaluating whether the model consistently ranks individuals and sports according to observed functional change. Parameter refinement: replacing the default values in Tables 7–9 with measured data and rerunning the sensitivity analysis (Section 5.5) to confirm or update the cross-sport and reference-athlete rankings.</w:t>
      </w:r>
    </w:p>
    <w:p w14:paraId="3A693548" w14:textId="77777777" w:rsidR="00511111" w:rsidRDefault="00511111" w:rsidP="00511111">
      <w:pPr>
        <w:spacing w:before="200" w:after="90"/>
      </w:pPr>
      <w:r>
        <w:rPr>
          <w:b/>
          <w:bCs/>
          <w:color w:val="000000"/>
          <w:sz w:val="23"/>
          <w:szCs w:val="23"/>
        </w:rPr>
        <w:t>A.5  Analysis</w:t>
      </w:r>
    </w:p>
    <w:p w14:paraId="712DCFF0" w14:textId="77777777" w:rsidR="00511111" w:rsidRDefault="00511111" w:rsidP="00511111">
      <w:pPr>
        <w:spacing w:after="120" w:line="312" w:lineRule="auto"/>
        <w:jc w:val="both"/>
      </w:pPr>
      <w:r>
        <w:t xml:space="preserve">The connection between measured endpoint change and modeled burden is analyzed through regression and agreement statistics. The model is then rerun with measured parameters so that the </w:t>
      </w:r>
      <w:r>
        <w:lastRenderedPageBreak/>
        <w:t>rankings in Section 6 — including the reference-athlete comparison in Section 6.7 — are updated based on empirical inputs. The specific proprietary calculation engine that translates inputs into individual risk output is not included in this published protocol; only the open validation framework is detailed here.</w:t>
      </w:r>
    </w:p>
    <w:p w14:paraId="058F20A7" w14:textId="77777777" w:rsidR="00511111" w:rsidRDefault="00511111" w:rsidP="00511111">
      <w:pPr>
        <w:spacing w:before="200" w:after="90"/>
      </w:pPr>
      <w:r>
        <w:rPr>
          <w:b/>
          <w:bCs/>
          <w:color w:val="000000"/>
          <w:sz w:val="23"/>
          <w:szCs w:val="23"/>
        </w:rPr>
        <w:t>A.6  Pre-specification and reporting</w:t>
      </w:r>
    </w:p>
    <w:p w14:paraId="5EE460E3" w14:textId="77777777" w:rsidR="00511111" w:rsidRDefault="00511111" w:rsidP="00511111">
      <w:pPr>
        <w:spacing w:after="60" w:line="312" w:lineRule="auto"/>
        <w:jc w:val="both"/>
      </w:pPr>
      <w:r>
        <w:t>The objective, cohort, measurement schedule, validation targets, and analysis are outlined here in advance so that the validation study follows a published plan rather than a post-hoc one, and it will be reported according to relevant observational and prediction-model reporting standards. Together, this paper (the development study) and the protocol above (the validation study) form a two-stage program that transforms an original framework into one that is both original and empirically tested.</w:t>
      </w:r>
    </w:p>
    <w:p w14:paraId="7A65C378" w14:textId="77777777" w:rsidR="00511111" w:rsidRDefault="00511111" w:rsidP="00511111">
      <w:pPr>
        <w:pageBreakBefore/>
        <w:spacing w:after="120"/>
      </w:pPr>
      <w:r>
        <w:rPr>
          <w:b/>
          <w:bCs/>
          <w:color w:val="000000"/>
          <w:sz w:val="26"/>
          <w:szCs w:val="26"/>
        </w:rPr>
        <w:lastRenderedPageBreak/>
        <w:t>Supplement 1.  Reporting Checklist (TRIPOD, adapted)</w:t>
      </w:r>
    </w:p>
    <w:p w14:paraId="2D08DF16" w14:textId="77777777" w:rsidR="00511111" w:rsidRDefault="00511111" w:rsidP="00511111">
      <w:pPr>
        <w:spacing w:after="120" w:line="312" w:lineRule="auto"/>
        <w:jc w:val="both"/>
      </w:pPr>
      <w:r>
        <w:t>This study is reported in accordance with the TRIPOD statement (Transparent Reporting of a multivariable prediction model for Individual Prognosis or Diagnosis), adapted for a model parameterized from the published literature rather than from a primary dataset. The table maps each reporting element to its location in the study.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0"/>
        <w:gridCol w:w="5248"/>
      </w:tblGrid>
      <w:tr w:rsidR="00511111" w14:paraId="755684BA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6318A6" w14:textId="77777777" w:rsidR="00511111" w:rsidRDefault="00511111" w:rsidP="00E7239C">
            <w:pPr>
              <w:spacing w:line="230" w:lineRule="auto"/>
            </w:pPr>
            <w:r>
              <w:rPr>
                <w:b/>
                <w:bCs/>
                <w:color w:val="000000"/>
                <w:sz w:val="17"/>
                <w:szCs w:val="17"/>
              </w:rPr>
              <w:t>Reporting element (TRIPOD, adapted)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B560FD" w14:textId="77777777" w:rsidR="00511111" w:rsidRDefault="00511111" w:rsidP="00E7239C">
            <w:pPr>
              <w:spacing w:line="230" w:lineRule="auto"/>
            </w:pPr>
            <w:r>
              <w:rPr>
                <w:b/>
                <w:bCs/>
                <w:color w:val="000000"/>
                <w:sz w:val="17"/>
                <w:szCs w:val="17"/>
              </w:rPr>
              <w:t>Location in the study</w:t>
            </w:r>
          </w:p>
        </w:tc>
      </w:tr>
      <w:tr w:rsidR="00511111" w14:paraId="72A2BA67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2EC3F7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Title — identifies the report as developing a prediction model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209FE5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Title page</w:t>
            </w:r>
          </w:p>
        </w:tc>
      </w:tr>
      <w:tr w:rsidR="00511111" w14:paraId="0D8925ED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D5F3AE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Structured abstract (background, methods, results, conclusions)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F25A91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Abstract</w:t>
            </w:r>
          </w:p>
        </w:tc>
      </w:tr>
      <w:tr w:rsidR="00511111" w14:paraId="0D1273FA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809FE1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Background and objectives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827014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1 (Introduction); aims Q1–Q4</w:t>
            </w:r>
          </w:p>
        </w:tc>
      </w:tr>
      <w:tr w:rsidR="00511111" w14:paraId="35D7A7F3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F806F4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Source of data and parameters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2F7CE9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2; Section 5.3 (Tables 7–9); Supplement 2</w:t>
            </w:r>
          </w:p>
        </w:tc>
      </w:tr>
      <w:tr w:rsidR="00511111" w14:paraId="2C33B054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52DCAF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Scope and setting (sports, positions, levels of engagement)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E90362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Sections 5.3, 6.7</w:t>
            </w:r>
          </w:p>
        </w:tc>
      </w:tr>
      <w:tr w:rsidR="00511111" w14:paraId="4CDD10CB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00454E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Outcome modelled (lifetime head-impact burden)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6FA36A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Sections 5.1–5.2</w:t>
            </w:r>
          </w:p>
        </w:tc>
      </w:tr>
      <w:tr w:rsidR="00511111" w14:paraId="431DA407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DA1C2D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Predictors / model inputs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77E1C8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5.3 (Tables 7–9)</w:t>
            </w:r>
          </w:p>
        </w:tc>
      </w:tr>
      <w:tr w:rsidR="00511111" w14:paraId="7F3718A3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2A695F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Data sufficiency and sparse parameters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1950A1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Sections 2.9, 8</w:t>
            </w:r>
          </w:p>
        </w:tc>
      </w:tr>
      <w:tr w:rsidR="00511111" w14:paraId="180D99B3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B911A2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Model development and specification (equations)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E66DC2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Sections 5.1–5.4</w:t>
            </w:r>
          </w:p>
        </w:tc>
      </w:tr>
      <w:tr w:rsidR="00511111" w14:paraId="7BB6BF39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CE22FF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Handling of uncertainty; sensitivity analysis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21689A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5.5</w:t>
            </w:r>
          </w:p>
        </w:tc>
      </w:tr>
      <w:tr w:rsidR="00511111" w14:paraId="4D4793D6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D2E179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Results of the analyses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20AADC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6 (4.1–4.7)</w:t>
            </w:r>
          </w:p>
        </w:tc>
      </w:tr>
      <w:tr w:rsidR="00511111" w14:paraId="3508C69D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FF5162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Model evaluation and validation plan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E1F1DE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8; Appendix A (pre-specified validation)</w:t>
            </w:r>
          </w:p>
        </w:tc>
      </w:tr>
      <w:tr w:rsidR="00511111" w14:paraId="0342A672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B83D44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Limitations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133771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Sections 2.9 (evidence), 6 (model)</w:t>
            </w:r>
          </w:p>
        </w:tc>
      </w:tr>
      <w:tr w:rsidR="00511111" w14:paraId="244A265F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F82654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Interpretation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E31FDE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7 (Discussion)</w:t>
            </w:r>
          </w:p>
        </w:tc>
      </w:tr>
      <w:tr w:rsidR="00511111" w14:paraId="3557D72C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AED01F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Reproducibility and data availability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7310CA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5.6; Supplement 2</w:t>
            </w:r>
          </w:p>
        </w:tc>
      </w:tr>
      <w:tr w:rsidR="00511111" w14:paraId="4913DEA0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E678E5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Funding and competing interests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B8AEB9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Declarations</w:t>
            </w:r>
          </w:p>
        </w:tc>
      </w:tr>
      <w:tr w:rsidR="00511111" w14:paraId="21A62D20" w14:textId="77777777" w:rsidTr="00E7239C">
        <w:tc>
          <w:tcPr>
            <w:tcW w:w="4400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507DDD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Use of AI assistance</w:t>
            </w:r>
          </w:p>
        </w:tc>
        <w:tc>
          <w:tcPr>
            <w:tcW w:w="5248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F2F4F7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F943AE" w14:textId="77777777" w:rsidR="00511111" w:rsidRDefault="00511111" w:rsidP="00E7239C">
            <w:pPr>
              <w:spacing w:line="230" w:lineRule="auto"/>
            </w:pPr>
            <w:r>
              <w:rPr>
                <w:sz w:val="17"/>
                <w:szCs w:val="17"/>
              </w:rPr>
              <w:t>Section 5.6; Author Contributions</w:t>
            </w:r>
          </w:p>
        </w:tc>
      </w:tr>
    </w:tbl>
    <w:p w14:paraId="7F1DDFF7" w14:textId="77777777" w:rsidR="00511111" w:rsidRDefault="00511111" w:rsidP="00511111">
      <w:pPr>
        <w:spacing w:before="60" w:after="180"/>
      </w:pPr>
      <w:r>
        <w:rPr>
          <w:i/>
          <w:iCs/>
          <w:color w:val="555555"/>
        </w:rPr>
        <w:t>Supplement 1. TRIPOD-adapted reporting checklist mapping each element to its location. Supplements 2 (open model framework and parameter table) and 3 (source-selection flow) accompany this checklist.</w:t>
      </w:r>
    </w:p>
    <w:p w14:paraId="3826018A" w14:textId="77777777" w:rsidR="00E023F9" w:rsidRDefault="00E023F9"/>
    <w:sectPr w:rsidR="00E023F9" w:rsidSect="00511111">
      <w:head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1D66" w14:textId="77777777" w:rsidR="00511111" w:rsidRDefault="00511111">
    <w:pPr>
      <w:pBdr>
        <w:bottom w:val="single" w:sz="3" w:space="3" w:color="CCCCCC"/>
      </w:pBdr>
      <w:jc w:val="right"/>
    </w:pPr>
    <w:r>
      <w:rPr>
        <w:rFonts w:ascii="Calibri" w:eastAsia="Calibri" w:hAnsi="Calibri" w:cs="Calibri"/>
        <w:color w:val="555555"/>
        <w:sz w:val="16"/>
        <w:szCs w:val="16"/>
      </w:rPr>
      <w:t>Head-Impact Burden Model Across Contact Sports | Kaufman, R.C. | Preprint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11"/>
    <w:rsid w:val="000C4033"/>
    <w:rsid w:val="00173ED8"/>
    <w:rsid w:val="002F50B1"/>
    <w:rsid w:val="003D2991"/>
    <w:rsid w:val="004B42CB"/>
    <w:rsid w:val="00511111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2BBD1"/>
  <w15:chartTrackingRefBased/>
  <w15:docId w15:val="{B61CAD5C-4BBB-4867-885D-CAEEE49A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111"/>
    <w:pPr>
      <w:spacing w:after="0" w:line="240" w:lineRule="auto"/>
    </w:pPr>
    <w:rPr>
      <w:rFonts w:ascii="Segoe UI" w:eastAsia="Segoe UI" w:hAnsi="Segoe UI" w:cs="Segoe UI"/>
      <w:color w:val="1A1A1A"/>
      <w:kern w:val="0"/>
      <w:sz w:val="21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1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1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1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1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1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11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11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11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11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11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1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1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1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11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1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11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1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2026-06-25T07:45:00Z</dcterms:created>
  <dcterms:modified xsi:type="dcterms:W3CDTF">2026-06-25T07:45:00Z</dcterms:modified>
</cp:coreProperties>
</file>