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60ED9" w14:textId="44A125A6" w:rsidR="005951D8" w:rsidRPr="0003584D" w:rsidRDefault="005951D8" w:rsidP="005951D8">
      <w:pPr>
        <w:keepNext/>
        <w:keepLines/>
        <w:spacing w:before="40" w:line="259" w:lineRule="auto"/>
        <w:jc w:val="center"/>
        <w:outlineLvl w:val="1"/>
        <w:rPr>
          <w:rFonts w:ascii="Arial" w:eastAsia="Times New Roman" w:hAnsi="Arial" w:cs="Arial"/>
          <w:b/>
          <w:bCs/>
          <w:color w:val="2F5496"/>
          <w:sz w:val="24"/>
          <w:szCs w:val="24"/>
        </w:rPr>
      </w:pPr>
      <w:r w:rsidRPr="0003584D">
        <w:rPr>
          <w:rFonts w:ascii="Arial" w:eastAsia="Times New Roman" w:hAnsi="Arial" w:cs="Arial"/>
          <w:b/>
          <w:bCs/>
          <w:color w:val="2F5496"/>
          <w:sz w:val="24"/>
          <w:szCs w:val="24"/>
        </w:rPr>
        <w:t xml:space="preserve">ADDITIONAL DOCUMENT </w:t>
      </w:r>
      <w:r>
        <w:rPr>
          <w:rFonts w:ascii="Arial" w:eastAsia="Times New Roman" w:hAnsi="Arial" w:cs="Arial"/>
          <w:b/>
          <w:bCs/>
          <w:color w:val="2F5496"/>
          <w:sz w:val="24"/>
          <w:szCs w:val="24"/>
        </w:rPr>
        <w:t>3</w:t>
      </w:r>
    </w:p>
    <w:p w14:paraId="7118D4B7" w14:textId="2ADCD94D" w:rsidR="009013E3" w:rsidRPr="0003584D" w:rsidRDefault="009013E3" w:rsidP="00174AA0">
      <w:pPr>
        <w:spacing w:after="160" w:line="259" w:lineRule="auto"/>
        <w:ind w:left="-450" w:firstLine="0"/>
        <w:jc w:val="both"/>
        <w:rPr>
          <w:rFonts w:ascii="Arial" w:eastAsia="Times New Roman" w:hAnsi="Arial" w:cs="Arial"/>
          <w:color w:val="1F3763"/>
        </w:rPr>
      </w:pPr>
      <w:r w:rsidRPr="0003584D">
        <w:rPr>
          <w:rFonts w:ascii="Arial" w:eastAsia="Times New Roman" w:hAnsi="Arial" w:cs="Arial"/>
          <w:color w:val="1F3763"/>
        </w:rPr>
        <w:t xml:space="preserve">Table </w:t>
      </w:r>
      <w:r>
        <w:rPr>
          <w:rFonts w:ascii="Arial" w:eastAsia="Times New Roman" w:hAnsi="Arial" w:cs="Arial"/>
          <w:color w:val="1F3763"/>
        </w:rPr>
        <w:t>3.</w:t>
      </w:r>
      <w:r w:rsidRPr="0003584D">
        <w:rPr>
          <w:rFonts w:ascii="Arial" w:eastAsia="Times New Roman" w:hAnsi="Arial" w:cs="Arial"/>
          <w:color w:val="1F3763"/>
        </w:rPr>
        <w:t xml:space="preserve">1. </w:t>
      </w:r>
      <w:r w:rsidR="00DD7D46" w:rsidRPr="00DD7D46">
        <w:rPr>
          <w:rFonts w:ascii="Arial" w:eastAsia="Times New Roman" w:hAnsi="Arial" w:cs="Arial"/>
          <w:color w:val="1F3763"/>
        </w:rPr>
        <w:t>Set of strategies conducted in phases 1, 2, and 3 of the multiphase RT implementation</w:t>
      </w:r>
    </w:p>
    <w:tbl>
      <w:tblPr>
        <w:tblW w:w="15210" w:type="dxa"/>
        <w:tblInd w:w="-450" w:type="dxa"/>
        <w:tblLook w:val="04A0" w:firstRow="1" w:lastRow="0" w:firstColumn="1" w:lastColumn="0" w:noHBand="0" w:noVBand="1"/>
      </w:tblPr>
      <w:tblGrid>
        <w:gridCol w:w="915"/>
        <w:gridCol w:w="2320"/>
        <w:gridCol w:w="3155"/>
        <w:gridCol w:w="3870"/>
        <w:gridCol w:w="4950"/>
      </w:tblGrid>
      <w:tr w:rsidR="00B76B2E" w:rsidRPr="00B76B2E" w14:paraId="1A4C6618" w14:textId="77777777" w:rsidTr="00006A0A">
        <w:trPr>
          <w:trHeight w:val="590"/>
        </w:trPr>
        <w:tc>
          <w:tcPr>
            <w:tcW w:w="915" w:type="dxa"/>
            <w:tcBorders>
              <w:top w:val="nil"/>
              <w:left w:val="nil"/>
              <w:bottom w:val="single" w:sz="8" w:space="0" w:color="auto"/>
              <w:right w:val="nil"/>
            </w:tcBorders>
            <w:hideMark/>
          </w:tcPr>
          <w:p w14:paraId="10239FA0" w14:textId="77777777" w:rsidR="00B76B2E" w:rsidRPr="00B76B2E" w:rsidRDefault="00B76B2E" w:rsidP="00B76B2E">
            <w:pPr>
              <w:spacing w:before="0" w:after="0" w:line="240" w:lineRule="auto"/>
              <w:ind w:firstLine="0"/>
              <w:rPr>
                <w:rFonts w:eastAsia="Times New Roman"/>
                <w:b/>
                <w:bCs/>
                <w:color w:val="000000"/>
                <w:lang w:eastAsia="en-US"/>
              </w:rPr>
            </w:pPr>
            <w:r w:rsidRPr="00B76B2E">
              <w:rPr>
                <w:rFonts w:eastAsia="Times New Roman"/>
                <w:b/>
                <w:bCs/>
                <w:color w:val="000000"/>
                <w:lang w:eastAsia="en-US"/>
              </w:rPr>
              <w:t>Project Phase</w:t>
            </w:r>
          </w:p>
        </w:tc>
        <w:tc>
          <w:tcPr>
            <w:tcW w:w="2320" w:type="dxa"/>
            <w:tcBorders>
              <w:top w:val="nil"/>
              <w:left w:val="nil"/>
              <w:bottom w:val="single" w:sz="8" w:space="0" w:color="auto"/>
              <w:right w:val="nil"/>
            </w:tcBorders>
            <w:noWrap/>
            <w:hideMark/>
          </w:tcPr>
          <w:p w14:paraId="41AF74CC" w14:textId="77777777" w:rsidR="00B76B2E" w:rsidRPr="00B76B2E" w:rsidRDefault="00B76B2E" w:rsidP="00B76B2E">
            <w:pPr>
              <w:spacing w:before="0" w:after="0" w:line="240" w:lineRule="auto"/>
              <w:ind w:firstLine="0"/>
              <w:rPr>
                <w:rFonts w:eastAsia="Times New Roman"/>
                <w:b/>
                <w:bCs/>
                <w:color w:val="000000"/>
                <w:lang w:eastAsia="en-US"/>
              </w:rPr>
            </w:pPr>
            <w:r w:rsidRPr="00B76B2E">
              <w:rPr>
                <w:rFonts w:eastAsia="Times New Roman"/>
                <w:b/>
                <w:bCs/>
                <w:color w:val="000000"/>
                <w:lang w:eastAsia="en-US"/>
              </w:rPr>
              <w:t>Strategy</w:t>
            </w:r>
          </w:p>
        </w:tc>
        <w:tc>
          <w:tcPr>
            <w:tcW w:w="3155" w:type="dxa"/>
            <w:tcBorders>
              <w:top w:val="nil"/>
              <w:left w:val="nil"/>
              <w:bottom w:val="single" w:sz="8" w:space="0" w:color="auto"/>
              <w:right w:val="nil"/>
            </w:tcBorders>
            <w:noWrap/>
            <w:hideMark/>
          </w:tcPr>
          <w:p w14:paraId="03208E61" w14:textId="77777777" w:rsidR="00B76B2E" w:rsidRPr="00B76B2E" w:rsidRDefault="00B76B2E" w:rsidP="00B76B2E">
            <w:pPr>
              <w:spacing w:before="0" w:after="0" w:line="240" w:lineRule="auto"/>
              <w:ind w:firstLine="0"/>
              <w:rPr>
                <w:rFonts w:eastAsia="Times New Roman"/>
                <w:b/>
                <w:bCs/>
                <w:color w:val="000000"/>
                <w:lang w:eastAsia="en-US"/>
              </w:rPr>
            </w:pPr>
            <w:r w:rsidRPr="00B76B2E">
              <w:rPr>
                <w:rFonts w:eastAsia="Times New Roman"/>
                <w:b/>
                <w:bCs/>
                <w:color w:val="000000"/>
                <w:lang w:eastAsia="en-US"/>
              </w:rPr>
              <w:t>Define strategy</w:t>
            </w:r>
          </w:p>
        </w:tc>
        <w:tc>
          <w:tcPr>
            <w:tcW w:w="3870" w:type="dxa"/>
            <w:tcBorders>
              <w:top w:val="nil"/>
              <w:left w:val="nil"/>
              <w:bottom w:val="single" w:sz="8" w:space="0" w:color="auto"/>
              <w:right w:val="nil"/>
            </w:tcBorders>
            <w:noWrap/>
            <w:hideMark/>
          </w:tcPr>
          <w:p w14:paraId="1302D1AB" w14:textId="77777777" w:rsidR="00B76B2E" w:rsidRPr="00B76B2E" w:rsidRDefault="00B76B2E" w:rsidP="00B76B2E">
            <w:pPr>
              <w:spacing w:before="0" w:after="0" w:line="240" w:lineRule="auto"/>
              <w:ind w:firstLine="0"/>
              <w:rPr>
                <w:rFonts w:eastAsia="Times New Roman"/>
                <w:b/>
                <w:bCs/>
                <w:color w:val="000000"/>
                <w:lang w:eastAsia="en-US"/>
              </w:rPr>
            </w:pPr>
            <w:r w:rsidRPr="00B76B2E">
              <w:rPr>
                <w:rFonts w:eastAsia="Times New Roman"/>
                <w:b/>
                <w:bCs/>
                <w:color w:val="000000"/>
                <w:lang w:eastAsia="en-US"/>
              </w:rPr>
              <w:t>Actor</w:t>
            </w:r>
          </w:p>
        </w:tc>
        <w:tc>
          <w:tcPr>
            <w:tcW w:w="4950" w:type="dxa"/>
            <w:tcBorders>
              <w:top w:val="nil"/>
              <w:left w:val="nil"/>
              <w:bottom w:val="single" w:sz="8" w:space="0" w:color="auto"/>
              <w:right w:val="nil"/>
            </w:tcBorders>
            <w:noWrap/>
            <w:hideMark/>
          </w:tcPr>
          <w:p w14:paraId="6E3249F6" w14:textId="77777777" w:rsidR="00B76B2E" w:rsidRPr="00B76B2E" w:rsidRDefault="00B76B2E" w:rsidP="00B76B2E">
            <w:pPr>
              <w:spacing w:before="0" w:after="0" w:line="240" w:lineRule="auto"/>
              <w:ind w:firstLine="0"/>
              <w:rPr>
                <w:rFonts w:eastAsia="Times New Roman"/>
                <w:b/>
                <w:bCs/>
                <w:color w:val="000000"/>
                <w:lang w:eastAsia="en-US"/>
              </w:rPr>
            </w:pPr>
            <w:r w:rsidRPr="00B76B2E">
              <w:rPr>
                <w:rFonts w:eastAsia="Times New Roman"/>
                <w:b/>
                <w:bCs/>
                <w:color w:val="000000"/>
                <w:lang w:eastAsia="en-US"/>
              </w:rPr>
              <w:t>Actions</w:t>
            </w:r>
          </w:p>
        </w:tc>
      </w:tr>
      <w:tr w:rsidR="00B76B2E" w:rsidRPr="00B76B2E" w14:paraId="0B6DB5FC" w14:textId="77777777" w:rsidTr="00006A0A">
        <w:trPr>
          <w:trHeight w:val="870"/>
        </w:trPr>
        <w:tc>
          <w:tcPr>
            <w:tcW w:w="915" w:type="dxa"/>
            <w:tcBorders>
              <w:top w:val="nil"/>
              <w:left w:val="nil"/>
              <w:bottom w:val="nil"/>
              <w:right w:val="nil"/>
            </w:tcBorders>
            <w:noWrap/>
            <w:hideMark/>
          </w:tcPr>
          <w:p w14:paraId="7FF566C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P1</w:t>
            </w:r>
          </w:p>
        </w:tc>
        <w:tc>
          <w:tcPr>
            <w:tcW w:w="2320" w:type="dxa"/>
            <w:tcBorders>
              <w:top w:val="nil"/>
              <w:left w:val="nil"/>
              <w:bottom w:val="nil"/>
              <w:right w:val="nil"/>
            </w:tcBorders>
            <w:hideMark/>
          </w:tcPr>
          <w:p w14:paraId="0474EC1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Identify early adopters</w:t>
            </w:r>
          </w:p>
        </w:tc>
        <w:tc>
          <w:tcPr>
            <w:tcW w:w="3155" w:type="dxa"/>
            <w:tcBorders>
              <w:top w:val="nil"/>
              <w:left w:val="nil"/>
              <w:bottom w:val="nil"/>
              <w:right w:val="nil"/>
            </w:tcBorders>
            <w:hideMark/>
          </w:tcPr>
          <w:p w14:paraId="1492C5EA"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Identify early adopters at the local site to learn from their experiences with the</w:t>
            </w:r>
            <w:r w:rsidRPr="00B76B2E">
              <w:rPr>
                <w:rFonts w:eastAsia="Times New Roman"/>
                <w:color w:val="000000"/>
                <w:lang w:eastAsia="en-US"/>
              </w:rPr>
              <w:br/>
              <w:t>practice innovation</w:t>
            </w:r>
          </w:p>
        </w:tc>
        <w:tc>
          <w:tcPr>
            <w:tcW w:w="3870" w:type="dxa"/>
            <w:tcBorders>
              <w:top w:val="nil"/>
              <w:left w:val="nil"/>
              <w:bottom w:val="nil"/>
              <w:right w:val="nil"/>
            </w:tcBorders>
            <w:hideMark/>
          </w:tcPr>
          <w:p w14:paraId="5DBF7062" w14:textId="2AEA4D76"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Human and animal health providers, health care administrators, </w:t>
            </w:r>
            <w:r w:rsidR="00E65D82">
              <w:rPr>
                <w:rFonts w:eastAsia="Times New Roman"/>
                <w:color w:val="000000"/>
                <w:lang w:eastAsia="en-US"/>
              </w:rPr>
              <w:t>bureaucrats</w:t>
            </w:r>
            <w:r w:rsidRPr="00B76B2E">
              <w:rPr>
                <w:rFonts w:eastAsia="Times New Roman"/>
                <w:color w:val="000000"/>
                <w:lang w:eastAsia="en-US"/>
              </w:rPr>
              <w:t xml:space="preserve"> at the regional and local level, local elected officials</w:t>
            </w:r>
          </w:p>
        </w:tc>
        <w:tc>
          <w:tcPr>
            <w:tcW w:w="4950" w:type="dxa"/>
            <w:tcBorders>
              <w:top w:val="nil"/>
              <w:left w:val="nil"/>
              <w:bottom w:val="nil"/>
              <w:right w:val="nil"/>
            </w:tcBorders>
            <w:hideMark/>
          </w:tcPr>
          <w:p w14:paraId="1447394B"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Social network interviews</w:t>
            </w:r>
          </w:p>
        </w:tc>
      </w:tr>
      <w:tr w:rsidR="00B76B2E" w:rsidRPr="00B76B2E" w14:paraId="2828D2B9" w14:textId="77777777" w:rsidTr="00006A0A">
        <w:trPr>
          <w:trHeight w:val="1160"/>
        </w:trPr>
        <w:tc>
          <w:tcPr>
            <w:tcW w:w="915" w:type="dxa"/>
            <w:tcBorders>
              <w:top w:val="nil"/>
              <w:left w:val="nil"/>
              <w:bottom w:val="nil"/>
              <w:right w:val="nil"/>
            </w:tcBorders>
            <w:noWrap/>
            <w:hideMark/>
          </w:tcPr>
          <w:p w14:paraId="0AEB3FD2"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P1, P2, P3</w:t>
            </w:r>
          </w:p>
        </w:tc>
        <w:tc>
          <w:tcPr>
            <w:tcW w:w="2320" w:type="dxa"/>
            <w:tcBorders>
              <w:top w:val="nil"/>
              <w:left w:val="nil"/>
              <w:bottom w:val="nil"/>
              <w:right w:val="nil"/>
            </w:tcBorders>
            <w:hideMark/>
          </w:tcPr>
          <w:p w14:paraId="7DFC0266"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Cultivate relationships with animal, human and </w:t>
            </w:r>
            <w:proofErr w:type="spellStart"/>
            <w:r w:rsidRPr="00B76B2E">
              <w:rPr>
                <w:rFonts w:eastAsia="Times New Roman"/>
                <w:color w:val="000000"/>
                <w:lang w:eastAsia="en-US"/>
              </w:rPr>
              <w:t>enviroment</w:t>
            </w:r>
            <w:proofErr w:type="spellEnd"/>
            <w:r w:rsidRPr="00B76B2E">
              <w:rPr>
                <w:rFonts w:eastAsia="Times New Roman"/>
                <w:color w:val="000000"/>
                <w:lang w:eastAsia="en-US"/>
              </w:rPr>
              <w:t xml:space="preserve"> stakeholders</w:t>
            </w:r>
          </w:p>
        </w:tc>
        <w:tc>
          <w:tcPr>
            <w:tcW w:w="3155" w:type="dxa"/>
            <w:tcBorders>
              <w:top w:val="nil"/>
              <w:left w:val="nil"/>
              <w:bottom w:val="nil"/>
              <w:right w:val="nil"/>
            </w:tcBorders>
            <w:hideMark/>
          </w:tcPr>
          <w:p w14:paraId="47F4FC3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Recruit and cultivate relationships with leaders of health care centers, community, and animal and environmental health</w:t>
            </w:r>
          </w:p>
        </w:tc>
        <w:tc>
          <w:tcPr>
            <w:tcW w:w="3870" w:type="dxa"/>
            <w:tcBorders>
              <w:top w:val="nil"/>
              <w:left w:val="nil"/>
              <w:bottom w:val="nil"/>
              <w:right w:val="nil"/>
            </w:tcBorders>
            <w:hideMark/>
          </w:tcPr>
          <w:p w14:paraId="1C7C98E2"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Idem</w:t>
            </w:r>
          </w:p>
        </w:tc>
        <w:tc>
          <w:tcPr>
            <w:tcW w:w="4950" w:type="dxa"/>
            <w:tcBorders>
              <w:top w:val="nil"/>
              <w:left w:val="nil"/>
              <w:bottom w:val="nil"/>
              <w:right w:val="nil"/>
            </w:tcBorders>
            <w:hideMark/>
          </w:tcPr>
          <w:p w14:paraId="7301D3D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Meetings introduced the RT protocol and reviewed the activities needed to improve community-engaged surveillance for </w:t>
            </w:r>
            <w:proofErr w:type="spellStart"/>
            <w:r w:rsidRPr="00B76B2E">
              <w:rPr>
                <w:rFonts w:eastAsia="Times New Roman"/>
                <w:color w:val="000000"/>
                <w:lang w:eastAsia="en-US"/>
              </w:rPr>
              <w:t>T.Solium</w:t>
            </w:r>
            <w:proofErr w:type="spellEnd"/>
            <w:r w:rsidRPr="00B76B2E">
              <w:rPr>
                <w:rFonts w:eastAsia="Times New Roman"/>
                <w:color w:val="000000"/>
                <w:lang w:eastAsia="en-US"/>
              </w:rPr>
              <w:t>. Interviews</w:t>
            </w:r>
          </w:p>
        </w:tc>
      </w:tr>
      <w:tr w:rsidR="00B76B2E" w:rsidRPr="00B76B2E" w14:paraId="48142FFE" w14:textId="77777777" w:rsidTr="00006A0A">
        <w:trPr>
          <w:trHeight w:val="910"/>
        </w:trPr>
        <w:tc>
          <w:tcPr>
            <w:tcW w:w="915" w:type="dxa"/>
            <w:tcBorders>
              <w:top w:val="nil"/>
              <w:left w:val="nil"/>
              <w:bottom w:val="nil"/>
              <w:right w:val="nil"/>
            </w:tcBorders>
            <w:noWrap/>
            <w:hideMark/>
          </w:tcPr>
          <w:p w14:paraId="4128C12C"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P1</w:t>
            </w:r>
          </w:p>
        </w:tc>
        <w:tc>
          <w:tcPr>
            <w:tcW w:w="2320" w:type="dxa"/>
            <w:tcBorders>
              <w:top w:val="nil"/>
              <w:left w:val="nil"/>
              <w:bottom w:val="nil"/>
              <w:right w:val="nil"/>
            </w:tcBorders>
            <w:hideMark/>
          </w:tcPr>
          <w:p w14:paraId="53879724"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Obtain formal commitments</w:t>
            </w:r>
          </w:p>
        </w:tc>
        <w:tc>
          <w:tcPr>
            <w:tcW w:w="3155" w:type="dxa"/>
            <w:tcBorders>
              <w:top w:val="nil"/>
              <w:left w:val="nil"/>
              <w:bottom w:val="nil"/>
              <w:right w:val="nil"/>
            </w:tcBorders>
            <w:hideMark/>
          </w:tcPr>
          <w:p w14:paraId="13BE17F9"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Obtain written commitments from key partners that state what they will do to</w:t>
            </w:r>
            <w:r w:rsidRPr="00B76B2E">
              <w:rPr>
                <w:rFonts w:eastAsia="Times New Roman"/>
                <w:color w:val="000000"/>
                <w:lang w:eastAsia="en-US"/>
              </w:rPr>
              <w:br/>
              <w:t>implement the innovation</w:t>
            </w:r>
          </w:p>
        </w:tc>
        <w:tc>
          <w:tcPr>
            <w:tcW w:w="3870" w:type="dxa"/>
            <w:tcBorders>
              <w:top w:val="nil"/>
              <w:left w:val="nil"/>
              <w:bottom w:val="nil"/>
              <w:right w:val="nil"/>
            </w:tcBorders>
            <w:hideMark/>
          </w:tcPr>
          <w:p w14:paraId="7EAA616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The head of each health care facility in the district, as well as representatives of regional human and animal governmental systems</w:t>
            </w:r>
          </w:p>
        </w:tc>
        <w:tc>
          <w:tcPr>
            <w:tcW w:w="4950" w:type="dxa"/>
            <w:tcBorders>
              <w:top w:val="nil"/>
              <w:left w:val="nil"/>
              <w:bottom w:val="nil"/>
              <w:right w:val="nil"/>
            </w:tcBorders>
            <w:noWrap/>
            <w:hideMark/>
          </w:tcPr>
          <w:p w14:paraId="6967A43A"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Meetings</w:t>
            </w:r>
          </w:p>
        </w:tc>
      </w:tr>
      <w:tr w:rsidR="00B76B2E" w:rsidRPr="00B76B2E" w14:paraId="686F8037" w14:textId="77777777" w:rsidTr="00006A0A">
        <w:trPr>
          <w:trHeight w:val="720"/>
        </w:trPr>
        <w:tc>
          <w:tcPr>
            <w:tcW w:w="915" w:type="dxa"/>
            <w:tcBorders>
              <w:top w:val="nil"/>
              <w:left w:val="nil"/>
              <w:bottom w:val="nil"/>
              <w:right w:val="nil"/>
            </w:tcBorders>
            <w:noWrap/>
            <w:hideMark/>
          </w:tcPr>
          <w:p w14:paraId="498204D4"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1C0025E4"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Conduct participatory educational meetings and community outreach meetings</w:t>
            </w:r>
          </w:p>
        </w:tc>
        <w:tc>
          <w:tcPr>
            <w:tcW w:w="3155" w:type="dxa"/>
            <w:tcBorders>
              <w:top w:val="nil"/>
              <w:left w:val="nil"/>
              <w:bottom w:val="nil"/>
              <w:right w:val="nil"/>
            </w:tcBorders>
            <w:hideMark/>
          </w:tcPr>
          <w:p w14:paraId="4CBA4C62" w14:textId="1F3CE66B"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Hold </w:t>
            </w:r>
            <w:r w:rsidR="00006A0A">
              <w:rPr>
                <w:rFonts w:eastAsia="Times New Roman"/>
                <w:color w:val="000000"/>
                <w:lang w:eastAsia="en-US"/>
              </w:rPr>
              <w:t>targeted meetings for</w:t>
            </w:r>
            <w:r w:rsidRPr="00B76B2E">
              <w:rPr>
                <w:rFonts w:eastAsia="Times New Roman"/>
                <w:color w:val="000000"/>
                <w:lang w:eastAsia="en-US"/>
              </w:rPr>
              <w:t xml:space="preserve"> different stakeholder groups to teach them about the innovation.</w:t>
            </w:r>
          </w:p>
        </w:tc>
        <w:tc>
          <w:tcPr>
            <w:tcW w:w="3870" w:type="dxa"/>
            <w:tcBorders>
              <w:top w:val="nil"/>
              <w:left w:val="nil"/>
              <w:bottom w:val="nil"/>
              <w:right w:val="nil"/>
            </w:tcBorders>
            <w:hideMark/>
          </w:tcPr>
          <w:p w14:paraId="22111A0E"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The head of each health care facility in the district, as well as representatives of human and animal governmental systems, such as human health zoonosis coordinators and chief of agricultural health services, and local governors and municipality workers in charge of animal health services. </w:t>
            </w:r>
          </w:p>
        </w:tc>
        <w:tc>
          <w:tcPr>
            <w:tcW w:w="4950" w:type="dxa"/>
            <w:tcBorders>
              <w:top w:val="nil"/>
              <w:left w:val="nil"/>
              <w:bottom w:val="nil"/>
              <w:right w:val="nil"/>
            </w:tcBorders>
            <w:hideMark/>
          </w:tcPr>
          <w:p w14:paraId="05214562"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Meetings introduced the RT protocol and reviewed the activities needed to improve community-engaged surveillance for </w:t>
            </w:r>
            <w:proofErr w:type="spellStart"/>
            <w:r w:rsidRPr="00B76B2E">
              <w:rPr>
                <w:rFonts w:eastAsia="Times New Roman"/>
                <w:color w:val="000000"/>
                <w:lang w:eastAsia="en-US"/>
              </w:rPr>
              <w:t>T.Solium</w:t>
            </w:r>
            <w:proofErr w:type="spellEnd"/>
            <w:r w:rsidRPr="00B76B2E">
              <w:rPr>
                <w:rFonts w:eastAsia="Times New Roman"/>
                <w:color w:val="000000"/>
                <w:lang w:eastAsia="en-US"/>
              </w:rPr>
              <w:t>. Staff conducted a brief needs assessment and reviewed the health systems surveillance forms and study data collection instruments.</w:t>
            </w:r>
            <w:r w:rsidRPr="00B76B2E">
              <w:rPr>
                <w:rFonts w:eastAsia="Times New Roman"/>
                <w:color w:val="000000"/>
                <w:lang w:eastAsia="en-US"/>
              </w:rPr>
              <w:br/>
              <w:t xml:space="preserve">We provided a 4-hour participatory workshop in each village to describe the T. Solium transmission cycle. Participants were taught the technique for examining a pig with cysticercosis using a tongue examination to confirm the disease, as well as visualizing a cyst in infected meat. The session also included an introduction to the RT intervention and promoted surveillance and reporting of infected pigs or meat. </w:t>
            </w:r>
            <w:r w:rsidRPr="00B76B2E">
              <w:rPr>
                <w:rFonts w:eastAsia="Times New Roman"/>
                <w:color w:val="000000"/>
                <w:lang w:eastAsia="en-US"/>
              </w:rPr>
              <w:br/>
              <w:t xml:space="preserve">Seven training sessions lasting 2 hours each were also held for health care personnel and community health workers, covering topics such as T. Solium transmission, the epidemiological surveillance system, the administration of antiparasitic drugs </w:t>
            </w:r>
            <w:r w:rsidRPr="00B76B2E">
              <w:rPr>
                <w:rFonts w:eastAsia="Times New Roman"/>
                <w:color w:val="000000"/>
                <w:lang w:eastAsia="en-US"/>
              </w:rPr>
              <w:lastRenderedPageBreak/>
              <w:t xml:space="preserve">(e.g., niclosamide or praziquantel), and the use of records and instruments. </w:t>
            </w:r>
          </w:p>
        </w:tc>
      </w:tr>
      <w:tr w:rsidR="00B76B2E" w:rsidRPr="00B76B2E" w14:paraId="0E8B3739" w14:textId="77777777" w:rsidTr="00006A0A">
        <w:trPr>
          <w:trHeight w:val="1940"/>
        </w:trPr>
        <w:tc>
          <w:tcPr>
            <w:tcW w:w="915" w:type="dxa"/>
            <w:tcBorders>
              <w:top w:val="nil"/>
              <w:left w:val="nil"/>
              <w:bottom w:val="nil"/>
              <w:right w:val="nil"/>
            </w:tcBorders>
            <w:noWrap/>
            <w:hideMark/>
          </w:tcPr>
          <w:p w14:paraId="18969FF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lastRenderedPageBreak/>
              <w:t>P2, P3</w:t>
            </w:r>
          </w:p>
        </w:tc>
        <w:tc>
          <w:tcPr>
            <w:tcW w:w="2320" w:type="dxa"/>
            <w:tcBorders>
              <w:top w:val="nil"/>
              <w:left w:val="nil"/>
              <w:bottom w:val="nil"/>
              <w:right w:val="nil"/>
            </w:tcBorders>
            <w:hideMark/>
          </w:tcPr>
          <w:p w14:paraId="658476D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Involve and train the community health workers and community leaders in implementation efforts</w:t>
            </w:r>
          </w:p>
        </w:tc>
        <w:tc>
          <w:tcPr>
            <w:tcW w:w="3155" w:type="dxa"/>
            <w:tcBorders>
              <w:top w:val="nil"/>
              <w:left w:val="nil"/>
              <w:bottom w:val="nil"/>
              <w:right w:val="nil"/>
            </w:tcBorders>
            <w:hideMark/>
          </w:tcPr>
          <w:p w14:paraId="25D0E0D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Train community health workers and local leaders in community-surveillance systems</w:t>
            </w:r>
          </w:p>
        </w:tc>
        <w:tc>
          <w:tcPr>
            <w:tcW w:w="3870" w:type="dxa"/>
            <w:tcBorders>
              <w:top w:val="nil"/>
              <w:left w:val="nil"/>
              <w:bottom w:val="nil"/>
              <w:right w:val="nil"/>
            </w:tcBorders>
            <w:hideMark/>
          </w:tcPr>
          <w:p w14:paraId="594E68C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Community members, local authorities, and representatives from animal and human health systems</w:t>
            </w:r>
          </w:p>
        </w:tc>
        <w:tc>
          <w:tcPr>
            <w:tcW w:w="4950" w:type="dxa"/>
            <w:tcBorders>
              <w:top w:val="nil"/>
              <w:left w:val="nil"/>
              <w:bottom w:val="nil"/>
              <w:right w:val="nil"/>
            </w:tcBorders>
            <w:hideMark/>
          </w:tcPr>
          <w:p w14:paraId="3017725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Community health workers (CHWs) served as key players and links between the community and human and animal health systems in the epidemiological surveillance system for taeniasis. CHW received reports and participated in inspections of meat or in the slaughter of pigs. They actively conducted outreach activities, providing educational materials and information to communities, and identified cases of porcine cysticercosis, as well as proposed ideas for case reporting. </w:t>
            </w:r>
          </w:p>
        </w:tc>
      </w:tr>
      <w:tr w:rsidR="00B76B2E" w:rsidRPr="00B76B2E" w14:paraId="17611A4A" w14:textId="77777777" w:rsidTr="00006A0A">
        <w:trPr>
          <w:trHeight w:val="870"/>
        </w:trPr>
        <w:tc>
          <w:tcPr>
            <w:tcW w:w="915" w:type="dxa"/>
            <w:tcBorders>
              <w:top w:val="nil"/>
              <w:left w:val="nil"/>
              <w:bottom w:val="nil"/>
              <w:right w:val="nil"/>
            </w:tcBorders>
            <w:noWrap/>
            <w:hideMark/>
          </w:tcPr>
          <w:p w14:paraId="0DD24C98"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57D11040"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Alter community incentive structure</w:t>
            </w:r>
          </w:p>
        </w:tc>
        <w:tc>
          <w:tcPr>
            <w:tcW w:w="3155" w:type="dxa"/>
            <w:tcBorders>
              <w:top w:val="nil"/>
              <w:left w:val="nil"/>
              <w:bottom w:val="nil"/>
              <w:right w:val="nil"/>
            </w:tcBorders>
            <w:hideMark/>
          </w:tcPr>
          <w:p w14:paraId="0A694776"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Work to incentivize the reach by introducing payment approaches using other community payment/animal cost replacement schemes</w:t>
            </w:r>
          </w:p>
        </w:tc>
        <w:tc>
          <w:tcPr>
            <w:tcW w:w="3870" w:type="dxa"/>
            <w:tcBorders>
              <w:top w:val="nil"/>
              <w:left w:val="nil"/>
              <w:bottom w:val="nil"/>
              <w:right w:val="nil"/>
            </w:tcBorders>
            <w:hideMark/>
          </w:tcPr>
          <w:p w14:paraId="03E7360A"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Community health workers, elected mayor, and local environmental health municipal workers </w:t>
            </w:r>
          </w:p>
        </w:tc>
        <w:tc>
          <w:tcPr>
            <w:tcW w:w="4950" w:type="dxa"/>
            <w:tcBorders>
              <w:top w:val="nil"/>
              <w:left w:val="nil"/>
              <w:bottom w:val="nil"/>
              <w:right w:val="nil"/>
            </w:tcBorders>
            <w:hideMark/>
          </w:tcPr>
          <w:p w14:paraId="5810CBA3"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Instituted the provision of a food basket in restitution for a report of a pig or meat</w:t>
            </w:r>
          </w:p>
        </w:tc>
      </w:tr>
      <w:tr w:rsidR="00B76B2E" w:rsidRPr="00B76B2E" w14:paraId="13180FA5" w14:textId="77777777" w:rsidTr="00006A0A">
        <w:trPr>
          <w:trHeight w:val="2050"/>
        </w:trPr>
        <w:tc>
          <w:tcPr>
            <w:tcW w:w="915" w:type="dxa"/>
            <w:tcBorders>
              <w:top w:val="nil"/>
              <w:left w:val="nil"/>
              <w:bottom w:val="nil"/>
              <w:right w:val="nil"/>
            </w:tcBorders>
            <w:noWrap/>
            <w:hideMark/>
          </w:tcPr>
          <w:p w14:paraId="033A35D8"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6B305258" w14:textId="20206516"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Alter surveillance </w:t>
            </w:r>
            <w:r w:rsidR="00006A0A">
              <w:rPr>
                <w:rFonts w:eastAsia="Times New Roman"/>
                <w:color w:val="000000"/>
                <w:lang w:eastAsia="en-US"/>
              </w:rPr>
              <w:t>system's</w:t>
            </w:r>
            <w:r w:rsidRPr="00B76B2E">
              <w:rPr>
                <w:rFonts w:eastAsia="Times New Roman"/>
                <w:color w:val="000000"/>
                <w:lang w:eastAsia="en-US"/>
              </w:rPr>
              <w:t xml:space="preserve"> structure</w:t>
            </w:r>
          </w:p>
        </w:tc>
        <w:tc>
          <w:tcPr>
            <w:tcW w:w="3155" w:type="dxa"/>
            <w:tcBorders>
              <w:top w:val="nil"/>
              <w:left w:val="nil"/>
              <w:bottom w:val="nil"/>
              <w:right w:val="nil"/>
            </w:tcBorders>
            <w:hideMark/>
          </w:tcPr>
          <w:p w14:paraId="37D3E0A0"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Developing new tools and adapting systems to incentivize reporting and surveillance of infected animals or meat in human health surveillance systems</w:t>
            </w:r>
          </w:p>
        </w:tc>
        <w:tc>
          <w:tcPr>
            <w:tcW w:w="3870" w:type="dxa"/>
            <w:tcBorders>
              <w:top w:val="nil"/>
              <w:left w:val="nil"/>
              <w:bottom w:val="nil"/>
              <w:right w:val="nil"/>
            </w:tcBorders>
            <w:hideMark/>
          </w:tcPr>
          <w:p w14:paraId="565D1ED5"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Community health workers and responsible for epidemiology</w:t>
            </w:r>
          </w:p>
        </w:tc>
        <w:tc>
          <w:tcPr>
            <w:tcW w:w="4950" w:type="dxa"/>
            <w:tcBorders>
              <w:top w:val="nil"/>
              <w:left w:val="nil"/>
              <w:bottom w:val="nil"/>
              <w:right w:val="nil"/>
            </w:tcBorders>
            <w:hideMark/>
          </w:tcPr>
          <w:p w14:paraId="4D74C0DF" w14:textId="77777777" w:rsidR="00B76B2E" w:rsidRPr="00B76B2E" w:rsidRDefault="00B76B2E" w:rsidP="00B76B2E">
            <w:pPr>
              <w:spacing w:before="0" w:after="0" w:line="240" w:lineRule="auto"/>
              <w:ind w:firstLine="0"/>
              <w:rPr>
                <w:rFonts w:eastAsia="Times New Roman"/>
                <w:color w:val="000000"/>
                <w:lang w:eastAsia="en-US"/>
              </w:rPr>
            </w:pPr>
          </w:p>
        </w:tc>
      </w:tr>
      <w:tr w:rsidR="00B76B2E" w:rsidRPr="00B76B2E" w14:paraId="060AB7C8" w14:textId="77777777" w:rsidTr="00006A0A">
        <w:trPr>
          <w:trHeight w:val="970"/>
        </w:trPr>
        <w:tc>
          <w:tcPr>
            <w:tcW w:w="915" w:type="dxa"/>
            <w:tcBorders>
              <w:top w:val="nil"/>
              <w:left w:val="nil"/>
              <w:bottom w:val="nil"/>
              <w:right w:val="nil"/>
            </w:tcBorders>
            <w:noWrap/>
            <w:hideMark/>
          </w:tcPr>
          <w:p w14:paraId="1D1CDE3F"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P1</w:t>
            </w:r>
          </w:p>
        </w:tc>
        <w:tc>
          <w:tcPr>
            <w:tcW w:w="2320" w:type="dxa"/>
            <w:tcBorders>
              <w:top w:val="nil"/>
              <w:left w:val="nil"/>
              <w:bottom w:val="nil"/>
              <w:right w:val="nil"/>
            </w:tcBorders>
            <w:hideMark/>
          </w:tcPr>
          <w:p w14:paraId="7786DE4A"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Assess for readiness and identify barriers and facilitators</w:t>
            </w:r>
          </w:p>
        </w:tc>
        <w:tc>
          <w:tcPr>
            <w:tcW w:w="3155" w:type="dxa"/>
            <w:tcBorders>
              <w:top w:val="nil"/>
              <w:left w:val="nil"/>
              <w:bottom w:val="nil"/>
              <w:right w:val="nil"/>
            </w:tcBorders>
            <w:hideMark/>
          </w:tcPr>
          <w:p w14:paraId="0C0AC10F"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Assess various aspects of an organization to determine its degree of readiness to</w:t>
            </w:r>
            <w:r w:rsidRPr="00B76B2E">
              <w:rPr>
                <w:rFonts w:eastAsia="Times New Roman"/>
                <w:color w:val="000000"/>
                <w:lang w:eastAsia="en-US"/>
              </w:rPr>
              <w:br/>
              <w:t>implement, barriers that may impede implementation, and strengths that can be</w:t>
            </w:r>
            <w:r w:rsidRPr="00B76B2E">
              <w:rPr>
                <w:rFonts w:eastAsia="Times New Roman"/>
                <w:color w:val="000000"/>
                <w:lang w:eastAsia="en-US"/>
              </w:rPr>
              <w:br/>
              <w:t>used in the implementation effort</w:t>
            </w:r>
          </w:p>
        </w:tc>
        <w:tc>
          <w:tcPr>
            <w:tcW w:w="3870" w:type="dxa"/>
            <w:tcBorders>
              <w:top w:val="nil"/>
              <w:left w:val="nil"/>
              <w:bottom w:val="nil"/>
              <w:right w:val="nil"/>
            </w:tcBorders>
            <w:hideMark/>
          </w:tcPr>
          <w:p w14:paraId="139D1FD0" w14:textId="162DE86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Human and animal health providers, health care administrators, </w:t>
            </w:r>
            <w:r w:rsidR="00006A0A">
              <w:rPr>
                <w:rFonts w:eastAsia="Times New Roman"/>
                <w:color w:val="000000"/>
                <w:lang w:eastAsia="en-US"/>
              </w:rPr>
              <w:t>bureaucrats</w:t>
            </w:r>
            <w:r w:rsidRPr="00B76B2E">
              <w:rPr>
                <w:rFonts w:eastAsia="Times New Roman"/>
                <w:color w:val="000000"/>
                <w:lang w:eastAsia="en-US"/>
              </w:rPr>
              <w:t xml:space="preserve"> at the regional and local level, </w:t>
            </w:r>
            <w:r w:rsidR="00006A0A">
              <w:rPr>
                <w:rFonts w:eastAsia="Times New Roman"/>
                <w:color w:val="000000"/>
                <w:lang w:eastAsia="en-US"/>
              </w:rPr>
              <w:t xml:space="preserve">and </w:t>
            </w:r>
            <w:r w:rsidRPr="00B76B2E">
              <w:rPr>
                <w:rFonts w:eastAsia="Times New Roman"/>
                <w:color w:val="000000"/>
                <w:lang w:eastAsia="en-US"/>
              </w:rPr>
              <w:t>local elected officials</w:t>
            </w:r>
          </w:p>
        </w:tc>
        <w:tc>
          <w:tcPr>
            <w:tcW w:w="4950" w:type="dxa"/>
            <w:tcBorders>
              <w:top w:val="nil"/>
              <w:left w:val="nil"/>
              <w:bottom w:val="nil"/>
              <w:right w:val="nil"/>
            </w:tcBorders>
            <w:noWrap/>
            <w:hideMark/>
          </w:tcPr>
          <w:p w14:paraId="0DDA2D5B" w14:textId="77777777" w:rsidR="00B76B2E" w:rsidRPr="00B76B2E" w:rsidRDefault="00B76B2E" w:rsidP="00B76B2E">
            <w:pPr>
              <w:spacing w:before="0" w:after="0" w:line="240" w:lineRule="auto"/>
              <w:ind w:firstLine="0"/>
              <w:rPr>
                <w:rFonts w:eastAsia="Times New Roman"/>
                <w:color w:val="000000"/>
                <w:lang w:eastAsia="en-US"/>
              </w:rPr>
            </w:pPr>
          </w:p>
        </w:tc>
      </w:tr>
      <w:tr w:rsidR="00B76B2E" w:rsidRPr="00B76B2E" w14:paraId="0F21E166" w14:textId="77777777" w:rsidTr="00006A0A">
        <w:trPr>
          <w:trHeight w:val="1160"/>
        </w:trPr>
        <w:tc>
          <w:tcPr>
            <w:tcW w:w="915" w:type="dxa"/>
            <w:tcBorders>
              <w:top w:val="nil"/>
              <w:left w:val="nil"/>
              <w:bottom w:val="nil"/>
              <w:right w:val="nil"/>
            </w:tcBorders>
            <w:noWrap/>
            <w:hideMark/>
          </w:tcPr>
          <w:p w14:paraId="64391E3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P1, P2, P3</w:t>
            </w:r>
          </w:p>
        </w:tc>
        <w:tc>
          <w:tcPr>
            <w:tcW w:w="2320" w:type="dxa"/>
            <w:tcBorders>
              <w:top w:val="nil"/>
              <w:left w:val="nil"/>
              <w:bottom w:val="nil"/>
              <w:right w:val="nil"/>
            </w:tcBorders>
            <w:hideMark/>
          </w:tcPr>
          <w:p w14:paraId="7E490469"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Stage implementation scale up</w:t>
            </w:r>
          </w:p>
        </w:tc>
        <w:tc>
          <w:tcPr>
            <w:tcW w:w="3155" w:type="dxa"/>
            <w:tcBorders>
              <w:top w:val="nil"/>
              <w:left w:val="nil"/>
              <w:bottom w:val="nil"/>
              <w:right w:val="nil"/>
            </w:tcBorders>
            <w:hideMark/>
          </w:tcPr>
          <w:p w14:paraId="523B2794" w14:textId="6850C79A"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Phase implementation efforts by starting with small pilots or </w:t>
            </w:r>
            <w:r w:rsidR="00006A0A">
              <w:rPr>
                <w:rFonts w:eastAsia="Times New Roman"/>
                <w:color w:val="000000"/>
                <w:lang w:eastAsia="en-US"/>
              </w:rPr>
              <w:t>demonstrations</w:t>
            </w:r>
            <w:r w:rsidRPr="00B76B2E">
              <w:rPr>
                <w:rFonts w:eastAsia="Times New Roman"/>
                <w:color w:val="000000"/>
                <w:lang w:eastAsia="en-US"/>
              </w:rPr>
              <w:br/>
              <w:t xml:space="preserve">projects and gradually move to a </w:t>
            </w:r>
            <w:r w:rsidR="00006A0A">
              <w:rPr>
                <w:rFonts w:eastAsia="Times New Roman"/>
                <w:color w:val="000000"/>
                <w:lang w:eastAsia="en-US"/>
              </w:rPr>
              <w:t>system-wide</w:t>
            </w:r>
            <w:r w:rsidRPr="00B76B2E">
              <w:rPr>
                <w:rFonts w:eastAsia="Times New Roman"/>
                <w:color w:val="000000"/>
                <w:lang w:eastAsia="en-US"/>
              </w:rPr>
              <w:t xml:space="preserve"> rollout</w:t>
            </w:r>
          </w:p>
        </w:tc>
        <w:tc>
          <w:tcPr>
            <w:tcW w:w="3870" w:type="dxa"/>
            <w:tcBorders>
              <w:top w:val="nil"/>
              <w:left w:val="nil"/>
              <w:bottom w:val="nil"/>
              <w:right w:val="nil"/>
            </w:tcBorders>
            <w:hideMark/>
          </w:tcPr>
          <w:p w14:paraId="426A4749" w14:textId="75F42AA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Local and regional human and animal health providers and administrators, policy makers,  community health workers, </w:t>
            </w:r>
            <w:r w:rsidR="00006A0A">
              <w:rPr>
                <w:rFonts w:eastAsia="Times New Roman"/>
                <w:color w:val="000000"/>
                <w:lang w:eastAsia="en-US"/>
              </w:rPr>
              <w:t xml:space="preserve">and </w:t>
            </w:r>
            <w:r w:rsidRPr="00B76B2E">
              <w:rPr>
                <w:rFonts w:eastAsia="Times New Roman"/>
                <w:color w:val="000000"/>
                <w:lang w:eastAsia="en-US"/>
              </w:rPr>
              <w:t>elected officials</w:t>
            </w:r>
          </w:p>
        </w:tc>
        <w:tc>
          <w:tcPr>
            <w:tcW w:w="4950" w:type="dxa"/>
            <w:tcBorders>
              <w:top w:val="nil"/>
              <w:left w:val="nil"/>
              <w:bottom w:val="nil"/>
              <w:right w:val="nil"/>
            </w:tcBorders>
            <w:noWrap/>
            <w:hideMark/>
          </w:tcPr>
          <w:p w14:paraId="023D924A" w14:textId="77777777" w:rsidR="00B76B2E" w:rsidRPr="00B76B2E" w:rsidRDefault="00B76B2E" w:rsidP="00B76B2E">
            <w:pPr>
              <w:spacing w:before="0" w:after="0" w:line="240" w:lineRule="auto"/>
              <w:ind w:firstLine="0"/>
              <w:rPr>
                <w:rFonts w:eastAsia="Times New Roman"/>
                <w:color w:val="000000"/>
                <w:lang w:eastAsia="en-US"/>
              </w:rPr>
            </w:pPr>
          </w:p>
        </w:tc>
      </w:tr>
      <w:tr w:rsidR="00B76B2E" w:rsidRPr="00B76B2E" w14:paraId="61746663" w14:textId="77777777" w:rsidTr="00006A0A">
        <w:trPr>
          <w:trHeight w:val="1160"/>
        </w:trPr>
        <w:tc>
          <w:tcPr>
            <w:tcW w:w="915" w:type="dxa"/>
            <w:tcBorders>
              <w:top w:val="nil"/>
              <w:left w:val="nil"/>
              <w:bottom w:val="nil"/>
              <w:right w:val="nil"/>
            </w:tcBorders>
            <w:noWrap/>
            <w:hideMark/>
          </w:tcPr>
          <w:p w14:paraId="21D0C898"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lastRenderedPageBreak/>
              <w:t>P2, P3</w:t>
            </w:r>
          </w:p>
        </w:tc>
        <w:tc>
          <w:tcPr>
            <w:tcW w:w="2320" w:type="dxa"/>
            <w:tcBorders>
              <w:top w:val="nil"/>
              <w:left w:val="nil"/>
              <w:bottom w:val="nil"/>
              <w:right w:val="nil"/>
            </w:tcBorders>
            <w:hideMark/>
          </w:tcPr>
          <w:p w14:paraId="61AC4516"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Provide consultation for the development of regulatory documents, directives or ordinances</w:t>
            </w:r>
          </w:p>
        </w:tc>
        <w:tc>
          <w:tcPr>
            <w:tcW w:w="3155" w:type="dxa"/>
            <w:tcBorders>
              <w:top w:val="nil"/>
              <w:left w:val="nil"/>
              <w:bottom w:val="nil"/>
              <w:right w:val="nil"/>
            </w:tcBorders>
            <w:hideMark/>
          </w:tcPr>
          <w:p w14:paraId="28E33CFA"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Regional directives and local ordinances informed by RT protocol for community- engaged surveillance</w:t>
            </w:r>
          </w:p>
        </w:tc>
        <w:tc>
          <w:tcPr>
            <w:tcW w:w="3870" w:type="dxa"/>
            <w:tcBorders>
              <w:top w:val="nil"/>
              <w:left w:val="nil"/>
              <w:bottom w:val="nil"/>
              <w:right w:val="nil"/>
            </w:tcBorders>
            <w:hideMark/>
          </w:tcPr>
          <w:p w14:paraId="30A71073"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Regional and local policy makers</w:t>
            </w:r>
          </w:p>
        </w:tc>
        <w:tc>
          <w:tcPr>
            <w:tcW w:w="4950" w:type="dxa"/>
            <w:tcBorders>
              <w:top w:val="nil"/>
              <w:left w:val="nil"/>
              <w:bottom w:val="nil"/>
              <w:right w:val="nil"/>
            </w:tcBorders>
            <w:noWrap/>
            <w:hideMark/>
          </w:tcPr>
          <w:p w14:paraId="142EC626" w14:textId="77777777" w:rsidR="00B76B2E" w:rsidRPr="00B76B2E" w:rsidRDefault="00B76B2E" w:rsidP="00B76B2E">
            <w:pPr>
              <w:spacing w:before="0" w:after="0" w:line="240" w:lineRule="auto"/>
              <w:ind w:firstLine="0"/>
              <w:rPr>
                <w:rFonts w:eastAsia="Times New Roman"/>
                <w:color w:val="000000"/>
                <w:lang w:eastAsia="en-US"/>
              </w:rPr>
            </w:pPr>
          </w:p>
        </w:tc>
      </w:tr>
      <w:tr w:rsidR="00B76B2E" w:rsidRPr="00B76B2E" w14:paraId="71F2D167" w14:textId="77777777" w:rsidTr="00006A0A">
        <w:trPr>
          <w:trHeight w:val="2610"/>
        </w:trPr>
        <w:tc>
          <w:tcPr>
            <w:tcW w:w="915" w:type="dxa"/>
            <w:tcBorders>
              <w:top w:val="nil"/>
              <w:left w:val="nil"/>
              <w:bottom w:val="nil"/>
              <w:right w:val="nil"/>
            </w:tcBorders>
            <w:noWrap/>
            <w:hideMark/>
          </w:tcPr>
          <w:p w14:paraId="4988C1DA"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1E81928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Provide ongoing consultation to human and animals systems</w:t>
            </w:r>
          </w:p>
        </w:tc>
        <w:tc>
          <w:tcPr>
            <w:tcW w:w="3155" w:type="dxa"/>
            <w:tcBorders>
              <w:top w:val="nil"/>
              <w:left w:val="nil"/>
              <w:bottom w:val="nil"/>
              <w:right w:val="nil"/>
            </w:tcBorders>
            <w:hideMark/>
          </w:tcPr>
          <w:p w14:paraId="6BDEFFB6"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Provide ongoing consultation with one or more experts in the strategies used to</w:t>
            </w:r>
            <w:r w:rsidRPr="00B76B2E">
              <w:rPr>
                <w:rFonts w:eastAsia="Times New Roman"/>
                <w:color w:val="000000"/>
                <w:lang w:eastAsia="en-US"/>
              </w:rPr>
              <w:br/>
              <w:t>support implementing the innovation</w:t>
            </w:r>
          </w:p>
        </w:tc>
        <w:tc>
          <w:tcPr>
            <w:tcW w:w="3870" w:type="dxa"/>
            <w:tcBorders>
              <w:top w:val="nil"/>
              <w:left w:val="nil"/>
              <w:bottom w:val="nil"/>
              <w:right w:val="nil"/>
            </w:tcBorders>
            <w:hideMark/>
          </w:tcPr>
          <w:p w14:paraId="6504CB92"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Human and animal health providers, health care administrators, community health care workers</w:t>
            </w:r>
          </w:p>
        </w:tc>
        <w:tc>
          <w:tcPr>
            <w:tcW w:w="4950" w:type="dxa"/>
            <w:tcBorders>
              <w:top w:val="nil"/>
              <w:left w:val="nil"/>
              <w:bottom w:val="nil"/>
              <w:right w:val="nil"/>
            </w:tcBorders>
            <w:hideMark/>
          </w:tcPr>
          <w:p w14:paraId="040293F5"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A training program led by a veterinarian from the Peruvian National Agrarian Health Service was conducted (July - August, 2024), training 12 community slaughterers and 16 CHWs to recognize cysticercosis cysts in pork. This activity was carried out in each participating locality. Educational materials such as posters, brochures, calendars, and videos were also developed by health personnel with the support of the research team. Also, key messages on the transmission and prevention of taeniasis/cysticercosis were broadcast on village radio stations.</w:t>
            </w:r>
          </w:p>
        </w:tc>
      </w:tr>
      <w:tr w:rsidR="00B76B2E" w:rsidRPr="00B76B2E" w14:paraId="7B308478" w14:textId="77777777" w:rsidTr="00006A0A">
        <w:trPr>
          <w:trHeight w:val="940"/>
        </w:trPr>
        <w:tc>
          <w:tcPr>
            <w:tcW w:w="915" w:type="dxa"/>
            <w:tcBorders>
              <w:top w:val="nil"/>
              <w:left w:val="nil"/>
              <w:bottom w:val="nil"/>
              <w:right w:val="nil"/>
            </w:tcBorders>
            <w:noWrap/>
            <w:hideMark/>
          </w:tcPr>
          <w:p w14:paraId="0B584D7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55A16BA2"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Capture share local knowledge</w:t>
            </w:r>
          </w:p>
        </w:tc>
        <w:tc>
          <w:tcPr>
            <w:tcW w:w="3155" w:type="dxa"/>
            <w:tcBorders>
              <w:top w:val="nil"/>
              <w:left w:val="nil"/>
              <w:bottom w:val="nil"/>
              <w:right w:val="nil"/>
            </w:tcBorders>
            <w:hideMark/>
          </w:tcPr>
          <w:p w14:paraId="2CAAFAAC"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 xml:space="preserve">Capture local knowledge for adaptations that could work better in their setting </w:t>
            </w:r>
          </w:p>
        </w:tc>
        <w:tc>
          <w:tcPr>
            <w:tcW w:w="3870" w:type="dxa"/>
            <w:tcBorders>
              <w:top w:val="nil"/>
              <w:left w:val="nil"/>
              <w:bottom w:val="nil"/>
              <w:right w:val="nil"/>
            </w:tcBorders>
            <w:noWrap/>
            <w:hideMark/>
          </w:tcPr>
          <w:p w14:paraId="365F63A3"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Clinicians and community health workers</w:t>
            </w:r>
          </w:p>
        </w:tc>
        <w:tc>
          <w:tcPr>
            <w:tcW w:w="4950" w:type="dxa"/>
            <w:tcBorders>
              <w:top w:val="nil"/>
              <w:left w:val="nil"/>
              <w:bottom w:val="nil"/>
              <w:right w:val="nil"/>
            </w:tcBorders>
            <w:noWrap/>
            <w:hideMark/>
          </w:tcPr>
          <w:p w14:paraId="047E452D"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Meetings and interviews</w:t>
            </w:r>
          </w:p>
        </w:tc>
      </w:tr>
      <w:tr w:rsidR="00B76B2E" w:rsidRPr="00B76B2E" w14:paraId="4D42C240" w14:textId="77777777" w:rsidTr="00006A0A">
        <w:trPr>
          <w:trHeight w:val="650"/>
        </w:trPr>
        <w:tc>
          <w:tcPr>
            <w:tcW w:w="915" w:type="dxa"/>
            <w:tcBorders>
              <w:top w:val="nil"/>
              <w:left w:val="nil"/>
              <w:bottom w:val="nil"/>
              <w:right w:val="nil"/>
            </w:tcBorders>
            <w:noWrap/>
            <w:hideMark/>
          </w:tcPr>
          <w:p w14:paraId="0F56E77B"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13FB2524"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Top-down approach</w:t>
            </w:r>
          </w:p>
        </w:tc>
        <w:tc>
          <w:tcPr>
            <w:tcW w:w="3155" w:type="dxa"/>
            <w:tcBorders>
              <w:top w:val="nil"/>
              <w:left w:val="nil"/>
              <w:bottom w:val="nil"/>
              <w:right w:val="nil"/>
            </w:tcBorders>
            <w:hideMark/>
          </w:tcPr>
          <w:p w14:paraId="24CC862F"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Engagement and dissemination with regional, national, and global health leaders</w:t>
            </w:r>
          </w:p>
        </w:tc>
        <w:tc>
          <w:tcPr>
            <w:tcW w:w="3870" w:type="dxa"/>
            <w:tcBorders>
              <w:top w:val="nil"/>
              <w:left w:val="nil"/>
              <w:bottom w:val="nil"/>
              <w:right w:val="nil"/>
            </w:tcBorders>
            <w:hideMark/>
          </w:tcPr>
          <w:p w14:paraId="55448414"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Zoonoses representatives of the Panamerican Health Organization, national and regional zoonoses from the Ministry of Health</w:t>
            </w:r>
          </w:p>
        </w:tc>
        <w:tc>
          <w:tcPr>
            <w:tcW w:w="4950" w:type="dxa"/>
            <w:tcBorders>
              <w:top w:val="nil"/>
              <w:left w:val="nil"/>
              <w:bottom w:val="nil"/>
              <w:right w:val="nil"/>
            </w:tcBorders>
            <w:noWrap/>
            <w:hideMark/>
          </w:tcPr>
          <w:p w14:paraId="408BC649"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Dissemination meetings</w:t>
            </w:r>
          </w:p>
        </w:tc>
      </w:tr>
      <w:tr w:rsidR="00B76B2E" w:rsidRPr="00B76B2E" w14:paraId="7BA3BD7C" w14:textId="77777777" w:rsidTr="00006A0A">
        <w:trPr>
          <w:trHeight w:val="2040"/>
        </w:trPr>
        <w:tc>
          <w:tcPr>
            <w:tcW w:w="915" w:type="dxa"/>
            <w:tcBorders>
              <w:top w:val="nil"/>
              <w:left w:val="nil"/>
              <w:bottom w:val="nil"/>
              <w:right w:val="nil"/>
            </w:tcBorders>
            <w:noWrap/>
            <w:hideMark/>
          </w:tcPr>
          <w:p w14:paraId="1522E207"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P2, P3</w:t>
            </w:r>
          </w:p>
        </w:tc>
        <w:tc>
          <w:tcPr>
            <w:tcW w:w="2320" w:type="dxa"/>
            <w:tcBorders>
              <w:top w:val="nil"/>
              <w:left w:val="nil"/>
              <w:bottom w:val="nil"/>
              <w:right w:val="nil"/>
            </w:tcBorders>
            <w:hideMark/>
          </w:tcPr>
          <w:p w14:paraId="7645D2AC"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Promote network weaving</w:t>
            </w:r>
          </w:p>
        </w:tc>
        <w:tc>
          <w:tcPr>
            <w:tcW w:w="3155" w:type="dxa"/>
            <w:tcBorders>
              <w:top w:val="nil"/>
              <w:left w:val="nil"/>
              <w:bottom w:val="nil"/>
              <w:right w:val="nil"/>
            </w:tcBorders>
            <w:hideMark/>
          </w:tcPr>
          <w:p w14:paraId="6FB01029"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Identify and build on existing high-quality working relationships and networks</w:t>
            </w:r>
            <w:r w:rsidRPr="00B76B2E">
              <w:rPr>
                <w:rFonts w:eastAsia="Times New Roman"/>
                <w:color w:val="000000"/>
                <w:lang w:eastAsia="en-US"/>
              </w:rPr>
              <w:br/>
              <w:t>within and outside the organization, organizational units, teams, etc. to promote</w:t>
            </w:r>
            <w:r w:rsidRPr="00B76B2E">
              <w:rPr>
                <w:rFonts w:eastAsia="Times New Roman"/>
                <w:color w:val="000000"/>
                <w:lang w:eastAsia="en-US"/>
              </w:rPr>
              <w:br/>
              <w:t>information sharing, collaborative problem-solving, and a shared vision/goal</w:t>
            </w:r>
            <w:r w:rsidRPr="00B76B2E">
              <w:rPr>
                <w:rFonts w:eastAsia="Times New Roman"/>
                <w:color w:val="000000"/>
                <w:lang w:eastAsia="en-US"/>
              </w:rPr>
              <w:br/>
              <w:t>related to implementing the innovation</w:t>
            </w:r>
          </w:p>
        </w:tc>
        <w:tc>
          <w:tcPr>
            <w:tcW w:w="3870" w:type="dxa"/>
            <w:tcBorders>
              <w:top w:val="nil"/>
              <w:left w:val="nil"/>
              <w:bottom w:val="nil"/>
              <w:right w:val="nil"/>
            </w:tcBorders>
            <w:hideMark/>
          </w:tcPr>
          <w:p w14:paraId="5068E284"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Zoonoses representatives of the Panamerican Health Organization, national and regional zoonoses from the Ministry of Health and Agriculture</w:t>
            </w:r>
          </w:p>
        </w:tc>
        <w:tc>
          <w:tcPr>
            <w:tcW w:w="4950" w:type="dxa"/>
            <w:tcBorders>
              <w:top w:val="nil"/>
              <w:left w:val="nil"/>
              <w:bottom w:val="nil"/>
              <w:right w:val="nil"/>
            </w:tcBorders>
            <w:noWrap/>
            <w:hideMark/>
          </w:tcPr>
          <w:p w14:paraId="62C6B1E6" w14:textId="77777777" w:rsidR="00B76B2E" w:rsidRPr="00B76B2E" w:rsidRDefault="00B76B2E" w:rsidP="00B76B2E">
            <w:pPr>
              <w:spacing w:before="0" w:after="0" w:line="240" w:lineRule="auto"/>
              <w:ind w:firstLine="0"/>
              <w:rPr>
                <w:rFonts w:eastAsia="Times New Roman"/>
                <w:color w:val="000000"/>
                <w:lang w:eastAsia="en-US"/>
              </w:rPr>
            </w:pPr>
            <w:r w:rsidRPr="00B76B2E">
              <w:rPr>
                <w:rFonts w:eastAsia="Times New Roman"/>
                <w:color w:val="000000"/>
                <w:lang w:eastAsia="en-US"/>
              </w:rPr>
              <w:t>Dissemination meetings and policy research</w:t>
            </w:r>
          </w:p>
        </w:tc>
      </w:tr>
    </w:tbl>
    <w:p w14:paraId="71817F96" w14:textId="77777777" w:rsidR="00485ED4" w:rsidRDefault="00485ED4" w:rsidP="00485ED4"/>
    <w:p w14:paraId="10089468" w14:textId="77777777" w:rsidR="00485ED4" w:rsidRDefault="00485ED4" w:rsidP="00485ED4">
      <w:r>
        <w:br w:type="page"/>
      </w:r>
    </w:p>
    <w:p w14:paraId="7D78A060" w14:textId="77777777" w:rsidR="001D29CC" w:rsidRDefault="001D29CC"/>
    <w:sectPr w:rsidR="001D29CC" w:rsidSect="00006A0A">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ED4"/>
    <w:rsid w:val="00006A0A"/>
    <w:rsid w:val="00081F3A"/>
    <w:rsid w:val="000D0D09"/>
    <w:rsid w:val="00173640"/>
    <w:rsid w:val="00174AA0"/>
    <w:rsid w:val="001A496C"/>
    <w:rsid w:val="001D29CC"/>
    <w:rsid w:val="002C04EC"/>
    <w:rsid w:val="002E647D"/>
    <w:rsid w:val="0030048D"/>
    <w:rsid w:val="00337CBE"/>
    <w:rsid w:val="00485ED4"/>
    <w:rsid w:val="005951D8"/>
    <w:rsid w:val="005A116E"/>
    <w:rsid w:val="0070143B"/>
    <w:rsid w:val="007819D1"/>
    <w:rsid w:val="00832310"/>
    <w:rsid w:val="008F3BD7"/>
    <w:rsid w:val="009013E3"/>
    <w:rsid w:val="009023AC"/>
    <w:rsid w:val="00AB0560"/>
    <w:rsid w:val="00B76B2E"/>
    <w:rsid w:val="00C15276"/>
    <w:rsid w:val="00CB113E"/>
    <w:rsid w:val="00CF0AD5"/>
    <w:rsid w:val="00DA0152"/>
    <w:rsid w:val="00DD7D46"/>
    <w:rsid w:val="00E251DB"/>
    <w:rsid w:val="00E65D82"/>
    <w:rsid w:val="00E757B6"/>
    <w:rsid w:val="00EA227E"/>
    <w:rsid w:val="00EA33DA"/>
    <w:rsid w:val="00EA795B"/>
    <w:rsid w:val="00F07C9F"/>
    <w:rsid w:val="00F34C4D"/>
    <w:rsid w:val="00F56C74"/>
    <w:rsid w:val="00F9041B"/>
    <w:rsid w:val="00FA54B1"/>
    <w:rsid w:val="00FB018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E9776"/>
  <w15:chartTrackingRefBased/>
  <w15:docId w15:val="{7B5035D0-4E30-43AC-8436-0F64363E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ED4"/>
    <w:pPr>
      <w:spacing w:before="120" w:after="120" w:line="360" w:lineRule="auto"/>
      <w:ind w:firstLine="720"/>
    </w:pPr>
    <w:rPr>
      <w:rFonts w:ascii="Calibri" w:eastAsia="Calibri" w:hAnsi="Calibri" w:cs="Calibri"/>
      <w:lang w:val="en-US" w:eastAsia="es-PE"/>
      <w14:ligatures w14:val="none"/>
    </w:rPr>
  </w:style>
  <w:style w:type="paragraph" w:styleId="Heading1">
    <w:name w:val="heading 1"/>
    <w:basedOn w:val="Normal"/>
    <w:next w:val="Normal"/>
    <w:link w:val="Heading1Char"/>
    <w:uiPriority w:val="9"/>
    <w:qFormat/>
    <w:rsid w:val="00485ED4"/>
    <w:pPr>
      <w:keepNext/>
      <w:keepLines/>
      <w:spacing w:before="360" w:after="80" w:line="259" w:lineRule="auto"/>
      <w:ind w:firstLine="0"/>
      <w:outlineLvl w:val="0"/>
    </w:pPr>
    <w:rPr>
      <w:rFonts w:asciiTheme="majorHAnsi" w:eastAsiaTheme="majorEastAsia" w:hAnsiTheme="majorHAnsi" w:cstheme="majorBidi"/>
      <w:color w:val="0F4761" w:themeColor="accent1" w:themeShade="BF"/>
      <w:sz w:val="40"/>
      <w:szCs w:val="40"/>
      <w:lang w:val="en-GB" w:eastAsia="en-US"/>
      <w14:ligatures w14:val="standardContextual"/>
    </w:rPr>
  </w:style>
  <w:style w:type="paragraph" w:styleId="Heading2">
    <w:name w:val="heading 2"/>
    <w:basedOn w:val="Normal"/>
    <w:next w:val="Normal"/>
    <w:link w:val="Heading2Char"/>
    <w:uiPriority w:val="9"/>
    <w:unhideWhenUsed/>
    <w:qFormat/>
    <w:rsid w:val="00485ED4"/>
    <w:pPr>
      <w:keepNext/>
      <w:keepLines/>
      <w:spacing w:before="160" w:after="80" w:line="259" w:lineRule="auto"/>
      <w:ind w:firstLine="0"/>
      <w:outlineLvl w:val="1"/>
    </w:pPr>
    <w:rPr>
      <w:rFonts w:asciiTheme="majorHAnsi" w:eastAsiaTheme="majorEastAsia" w:hAnsiTheme="majorHAnsi" w:cstheme="majorBidi"/>
      <w:color w:val="0F4761" w:themeColor="accent1" w:themeShade="BF"/>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485ED4"/>
    <w:pPr>
      <w:keepNext/>
      <w:keepLines/>
      <w:spacing w:before="160" w:after="80" w:line="259" w:lineRule="auto"/>
      <w:ind w:firstLine="0"/>
      <w:outlineLvl w:val="2"/>
    </w:pPr>
    <w:rPr>
      <w:rFonts w:asciiTheme="minorHAnsi" w:eastAsiaTheme="majorEastAsia" w:hAnsiTheme="minorHAnsi" w:cstheme="majorBidi"/>
      <w:color w:val="0F4761" w:themeColor="accent1" w:themeShade="BF"/>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485ED4"/>
    <w:pPr>
      <w:keepNext/>
      <w:keepLines/>
      <w:spacing w:before="80" w:after="40" w:line="259" w:lineRule="auto"/>
      <w:ind w:firstLine="0"/>
      <w:outlineLvl w:val="3"/>
    </w:pPr>
    <w:rPr>
      <w:rFonts w:asciiTheme="minorHAnsi" w:eastAsiaTheme="majorEastAsia" w:hAnsiTheme="minorHAnsi" w:cstheme="majorBidi"/>
      <w:i/>
      <w:iCs/>
      <w:color w:val="0F4761" w:themeColor="accent1" w:themeShade="BF"/>
      <w:lang w:val="en-GB" w:eastAsia="en-US"/>
      <w14:ligatures w14:val="standardContextual"/>
    </w:rPr>
  </w:style>
  <w:style w:type="paragraph" w:styleId="Heading5">
    <w:name w:val="heading 5"/>
    <w:basedOn w:val="Normal"/>
    <w:next w:val="Normal"/>
    <w:link w:val="Heading5Char"/>
    <w:uiPriority w:val="9"/>
    <w:semiHidden/>
    <w:unhideWhenUsed/>
    <w:qFormat/>
    <w:rsid w:val="00485ED4"/>
    <w:pPr>
      <w:keepNext/>
      <w:keepLines/>
      <w:spacing w:before="80" w:after="40" w:line="259" w:lineRule="auto"/>
      <w:ind w:firstLine="0"/>
      <w:outlineLvl w:val="4"/>
    </w:pPr>
    <w:rPr>
      <w:rFonts w:asciiTheme="minorHAnsi" w:eastAsiaTheme="majorEastAsia" w:hAnsiTheme="minorHAnsi" w:cstheme="majorBidi"/>
      <w:color w:val="0F4761" w:themeColor="accent1" w:themeShade="BF"/>
      <w:lang w:val="en-GB" w:eastAsia="en-US"/>
      <w14:ligatures w14:val="standardContextual"/>
    </w:rPr>
  </w:style>
  <w:style w:type="paragraph" w:styleId="Heading6">
    <w:name w:val="heading 6"/>
    <w:basedOn w:val="Normal"/>
    <w:next w:val="Normal"/>
    <w:link w:val="Heading6Char"/>
    <w:uiPriority w:val="9"/>
    <w:semiHidden/>
    <w:unhideWhenUsed/>
    <w:qFormat/>
    <w:rsid w:val="00485ED4"/>
    <w:pPr>
      <w:keepNext/>
      <w:keepLines/>
      <w:spacing w:before="40" w:after="0" w:line="259" w:lineRule="auto"/>
      <w:ind w:firstLine="0"/>
      <w:outlineLvl w:val="5"/>
    </w:pPr>
    <w:rPr>
      <w:rFonts w:asciiTheme="minorHAnsi" w:eastAsiaTheme="majorEastAsia" w:hAnsiTheme="minorHAnsi" w:cstheme="majorBidi"/>
      <w:i/>
      <w:iCs/>
      <w:color w:val="595959" w:themeColor="text1" w:themeTint="A6"/>
      <w:lang w:val="en-GB" w:eastAsia="en-US"/>
      <w14:ligatures w14:val="standardContextual"/>
    </w:rPr>
  </w:style>
  <w:style w:type="paragraph" w:styleId="Heading7">
    <w:name w:val="heading 7"/>
    <w:basedOn w:val="Normal"/>
    <w:next w:val="Normal"/>
    <w:link w:val="Heading7Char"/>
    <w:uiPriority w:val="9"/>
    <w:semiHidden/>
    <w:unhideWhenUsed/>
    <w:qFormat/>
    <w:rsid w:val="00485ED4"/>
    <w:pPr>
      <w:keepNext/>
      <w:keepLines/>
      <w:spacing w:before="40" w:after="0" w:line="259" w:lineRule="auto"/>
      <w:ind w:firstLine="0"/>
      <w:outlineLvl w:val="6"/>
    </w:pPr>
    <w:rPr>
      <w:rFonts w:asciiTheme="minorHAnsi" w:eastAsiaTheme="majorEastAsia" w:hAnsiTheme="minorHAnsi" w:cstheme="majorBidi"/>
      <w:color w:val="595959" w:themeColor="text1" w:themeTint="A6"/>
      <w:lang w:val="en-GB" w:eastAsia="en-US"/>
      <w14:ligatures w14:val="standardContextual"/>
    </w:rPr>
  </w:style>
  <w:style w:type="paragraph" w:styleId="Heading8">
    <w:name w:val="heading 8"/>
    <w:basedOn w:val="Normal"/>
    <w:next w:val="Normal"/>
    <w:link w:val="Heading8Char"/>
    <w:uiPriority w:val="9"/>
    <w:semiHidden/>
    <w:unhideWhenUsed/>
    <w:qFormat/>
    <w:rsid w:val="00485ED4"/>
    <w:pPr>
      <w:keepNext/>
      <w:keepLines/>
      <w:spacing w:before="0" w:after="0" w:line="259" w:lineRule="auto"/>
      <w:ind w:firstLine="0"/>
      <w:outlineLvl w:val="7"/>
    </w:pPr>
    <w:rPr>
      <w:rFonts w:asciiTheme="minorHAnsi" w:eastAsiaTheme="majorEastAsia" w:hAnsiTheme="minorHAnsi" w:cstheme="majorBidi"/>
      <w:i/>
      <w:iCs/>
      <w:color w:val="272727" w:themeColor="text1" w:themeTint="D8"/>
      <w:lang w:val="en-GB" w:eastAsia="en-US"/>
      <w14:ligatures w14:val="standardContextual"/>
    </w:rPr>
  </w:style>
  <w:style w:type="paragraph" w:styleId="Heading9">
    <w:name w:val="heading 9"/>
    <w:basedOn w:val="Normal"/>
    <w:next w:val="Normal"/>
    <w:link w:val="Heading9Char"/>
    <w:uiPriority w:val="9"/>
    <w:semiHidden/>
    <w:unhideWhenUsed/>
    <w:qFormat/>
    <w:rsid w:val="00485ED4"/>
    <w:pPr>
      <w:keepNext/>
      <w:keepLines/>
      <w:spacing w:before="0" w:after="0" w:line="259" w:lineRule="auto"/>
      <w:ind w:firstLine="0"/>
      <w:outlineLvl w:val="8"/>
    </w:pPr>
    <w:rPr>
      <w:rFonts w:asciiTheme="minorHAnsi" w:eastAsiaTheme="majorEastAsia" w:hAnsiTheme="minorHAnsi" w:cstheme="majorBidi"/>
      <w:color w:val="272727" w:themeColor="text1" w:themeTint="D8"/>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5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5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5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5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5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ED4"/>
    <w:rPr>
      <w:rFonts w:eastAsiaTheme="majorEastAsia" w:cstheme="majorBidi"/>
      <w:color w:val="272727" w:themeColor="text1" w:themeTint="D8"/>
    </w:rPr>
  </w:style>
  <w:style w:type="paragraph" w:styleId="Title">
    <w:name w:val="Title"/>
    <w:basedOn w:val="Normal"/>
    <w:next w:val="Normal"/>
    <w:link w:val="TitleChar"/>
    <w:uiPriority w:val="10"/>
    <w:qFormat/>
    <w:rsid w:val="00485ED4"/>
    <w:pPr>
      <w:spacing w:before="0" w:after="80" w:line="240" w:lineRule="auto"/>
      <w:ind w:firstLine="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485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ED4"/>
    <w:pPr>
      <w:numPr>
        <w:ilvl w:val="1"/>
      </w:numPr>
      <w:spacing w:before="0" w:after="160" w:line="259" w:lineRule="auto"/>
      <w:ind w:firstLine="720"/>
    </w:pPr>
    <w:rPr>
      <w:rFonts w:asciiTheme="minorHAnsi" w:eastAsiaTheme="majorEastAsia" w:hAnsiTheme="minorHAnsi" w:cstheme="majorBidi"/>
      <w:color w:val="595959" w:themeColor="text1" w:themeTint="A6"/>
      <w:spacing w:val="15"/>
      <w:sz w:val="28"/>
      <w:szCs w:val="28"/>
      <w:lang w:val="en-GB" w:eastAsia="en-US"/>
      <w14:ligatures w14:val="standardContextual"/>
    </w:rPr>
  </w:style>
  <w:style w:type="character" w:customStyle="1" w:styleId="SubtitleChar">
    <w:name w:val="Subtitle Char"/>
    <w:basedOn w:val="DefaultParagraphFont"/>
    <w:link w:val="Subtitle"/>
    <w:uiPriority w:val="11"/>
    <w:rsid w:val="00485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ED4"/>
    <w:pPr>
      <w:spacing w:before="160" w:after="160" w:line="259" w:lineRule="auto"/>
      <w:ind w:firstLine="0"/>
      <w:jc w:val="center"/>
    </w:pPr>
    <w:rPr>
      <w:rFonts w:asciiTheme="minorHAnsi" w:eastAsiaTheme="minorHAnsi" w:hAnsiTheme="minorHAnsi" w:cstheme="minorBidi"/>
      <w:i/>
      <w:iCs/>
      <w:color w:val="404040" w:themeColor="text1" w:themeTint="BF"/>
      <w:lang w:val="en-GB" w:eastAsia="en-US"/>
      <w14:ligatures w14:val="standardContextual"/>
    </w:rPr>
  </w:style>
  <w:style w:type="character" w:customStyle="1" w:styleId="QuoteChar">
    <w:name w:val="Quote Char"/>
    <w:basedOn w:val="DefaultParagraphFont"/>
    <w:link w:val="Quote"/>
    <w:uiPriority w:val="29"/>
    <w:rsid w:val="00485ED4"/>
    <w:rPr>
      <w:i/>
      <w:iCs/>
      <w:color w:val="404040" w:themeColor="text1" w:themeTint="BF"/>
    </w:rPr>
  </w:style>
  <w:style w:type="paragraph" w:styleId="ListParagraph">
    <w:name w:val="List Paragraph"/>
    <w:basedOn w:val="Normal"/>
    <w:uiPriority w:val="34"/>
    <w:qFormat/>
    <w:rsid w:val="00485ED4"/>
    <w:pPr>
      <w:spacing w:before="0" w:after="160" w:line="259" w:lineRule="auto"/>
      <w:ind w:left="720" w:firstLine="0"/>
      <w:contextualSpacing/>
    </w:pPr>
    <w:rPr>
      <w:rFonts w:asciiTheme="minorHAnsi" w:eastAsiaTheme="minorHAnsi" w:hAnsiTheme="minorHAnsi" w:cstheme="minorBidi"/>
      <w:lang w:val="en-GB" w:eastAsia="en-US"/>
      <w14:ligatures w14:val="standardContextual"/>
    </w:rPr>
  </w:style>
  <w:style w:type="character" w:styleId="IntenseEmphasis">
    <w:name w:val="Intense Emphasis"/>
    <w:basedOn w:val="DefaultParagraphFont"/>
    <w:uiPriority w:val="21"/>
    <w:qFormat/>
    <w:rsid w:val="00485ED4"/>
    <w:rPr>
      <w:i/>
      <w:iCs/>
      <w:color w:val="0F4761" w:themeColor="accent1" w:themeShade="BF"/>
    </w:rPr>
  </w:style>
  <w:style w:type="paragraph" w:styleId="IntenseQuote">
    <w:name w:val="Intense Quote"/>
    <w:basedOn w:val="Normal"/>
    <w:next w:val="Normal"/>
    <w:link w:val="IntenseQuoteChar"/>
    <w:uiPriority w:val="30"/>
    <w:qFormat/>
    <w:rsid w:val="00485ED4"/>
    <w:pPr>
      <w:pBdr>
        <w:top w:val="single" w:sz="4" w:space="10" w:color="0F4761" w:themeColor="accent1" w:themeShade="BF"/>
        <w:bottom w:val="single" w:sz="4" w:space="10" w:color="0F4761" w:themeColor="accent1" w:themeShade="BF"/>
      </w:pBdr>
      <w:spacing w:before="360" w:after="360" w:line="259" w:lineRule="auto"/>
      <w:ind w:left="864" w:right="864" w:firstLine="0"/>
      <w:jc w:val="center"/>
    </w:pPr>
    <w:rPr>
      <w:rFonts w:asciiTheme="minorHAnsi" w:eastAsiaTheme="minorHAnsi" w:hAnsiTheme="minorHAnsi" w:cstheme="minorBidi"/>
      <w:i/>
      <w:iCs/>
      <w:color w:val="0F4761" w:themeColor="accent1" w:themeShade="BF"/>
      <w:lang w:val="en-GB" w:eastAsia="en-US"/>
      <w14:ligatures w14:val="standardContextual"/>
    </w:rPr>
  </w:style>
  <w:style w:type="character" w:customStyle="1" w:styleId="IntenseQuoteChar">
    <w:name w:val="Intense Quote Char"/>
    <w:basedOn w:val="DefaultParagraphFont"/>
    <w:link w:val="IntenseQuote"/>
    <w:uiPriority w:val="30"/>
    <w:rsid w:val="00485ED4"/>
    <w:rPr>
      <w:i/>
      <w:iCs/>
      <w:color w:val="0F4761" w:themeColor="accent1" w:themeShade="BF"/>
    </w:rPr>
  </w:style>
  <w:style w:type="character" w:styleId="IntenseReference">
    <w:name w:val="Intense Reference"/>
    <w:basedOn w:val="DefaultParagraphFont"/>
    <w:uiPriority w:val="32"/>
    <w:qFormat/>
    <w:rsid w:val="00485ED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985</Words>
  <Characters>5618</Characters>
  <Application>Microsoft Office Word</Application>
  <DocSecurity>0</DocSecurity>
  <Lines>46</Lines>
  <Paragraphs>13</Paragraphs>
  <ScaleCrop>false</ScaleCrop>
  <Company/>
  <LinksUpToDate>false</LinksUpToDate>
  <CharactersWithSpaces>6590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Lisset M. Dumet Poma</dc:creator>
  <cp:keywords/>
  <dc:description/>
  <cp:lastModifiedBy>Lisset M. Dumet Poma</cp:lastModifiedBy>
  <cp:revision>28</cp:revision>
  <dcterms:created xsi:type="dcterms:W3CDTF">2026-03-31T22:22:00Z</dcterms:created>
  <dcterms:modified xsi:type="dcterms:W3CDTF">2026-04-28T21:08:00Z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db91f012-a4a1-4dc9-b3f8-d7d5dfd91df5</vt:lpwstr>
  </property>
</Properties>
</file>