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341"/>
        <w:tblOverlap w:val="never"/>
        <w:tblW w:w="864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201"/>
        <w:gridCol w:w="2027"/>
        <w:gridCol w:w="17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201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No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/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Mild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S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welling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 xml:space="preserve"> Group</w:t>
            </w:r>
          </w:p>
        </w:tc>
        <w:tc>
          <w:tcPr>
            <w:tcW w:w="2027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M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oderate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/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S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evere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S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welling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 xml:space="preserve"> G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roup</w:t>
            </w:r>
          </w:p>
        </w:tc>
        <w:tc>
          <w:tcPr>
            <w:tcW w:w="1755" w:type="dxa"/>
            <w:tcBorders>
              <w:bottom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n=47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n=51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Age</w:t>
            </w:r>
            <w:r>
              <w:rPr>
                <w:rFonts w:ascii="等线" w:eastAsia="等线" w:cs="等线"/>
                <w:color w:val="000000"/>
                <w:kern w:val="0"/>
                <w:sz w:val="22"/>
                <w:vertAlign w:val="superscript"/>
              </w:rPr>
              <w:t>*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(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mean</w:t>
            </w:r>
            <m:oMath>
              <m:r>
                <m:rPr/>
                <w:rPr>
                  <w:rFonts w:ascii="Cambria Math" w:hAnsi="Cambria Math" w:eastAsia="等线" w:cs="等线"/>
                  <w:color w:val="000000"/>
                  <w:kern w:val="0"/>
                  <w:sz w:val="22"/>
                </w:rPr>
                <m:t>±</m:t>
              </m:r>
            </m:oMath>
            <w:r>
              <w:rPr>
                <w:rFonts w:ascii="等线" w:eastAsia="等线" w:cs="等线"/>
                <w:color w:val="000000"/>
                <w:kern w:val="0"/>
                <w:sz w:val="22"/>
              </w:rPr>
              <w:t>SD)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39.51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±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11.08</w:t>
            </w:r>
          </w:p>
        </w:tc>
        <w:tc>
          <w:tcPr>
            <w:tcW w:w="202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33.16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±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10.84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Sex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M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ale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31.9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23.5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F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emale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32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68.1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39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76.5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0.353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Teeth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S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ingle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37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78.7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40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78.4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M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ultiple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10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21.3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21.6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0.972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S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hadow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 xml:space="preserve"> V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olume</w:t>
            </w:r>
            <w:r>
              <w:rPr>
                <w:rFonts w:ascii="等线" w:eastAsia="等线" w:cs="等线"/>
                <w:color w:val="000000"/>
                <w:kern w:val="0"/>
                <w:sz w:val="22"/>
                <w:vertAlign w:val="superscript"/>
              </w:rPr>
              <w:t>*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(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mean</w:t>
            </w:r>
            <m:oMath>
              <m:r>
                <m:rPr/>
                <w:rPr>
                  <w:rFonts w:ascii="Cambria Math" w:hAnsi="Cambria Math" w:eastAsia="等线" w:cs="等线"/>
                  <w:color w:val="000000"/>
                  <w:kern w:val="0"/>
                  <w:sz w:val="22"/>
                </w:rPr>
                <m:t>±</m:t>
              </m:r>
            </m:oMath>
            <w:r>
              <w:rPr>
                <w:rFonts w:ascii="等线" w:eastAsia="等线" w:cs="等线"/>
                <w:color w:val="000000"/>
                <w:kern w:val="0"/>
                <w:sz w:val="22"/>
              </w:rPr>
              <w:t>SD)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113.94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±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235.52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220.02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±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197.24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Fistula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No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36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76.6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40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78.4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23.4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21.6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0.828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Bone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 xml:space="preserve"> D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ensity</w:t>
            </w:r>
            <w:r>
              <w:rPr>
                <w:rFonts w:ascii="等线" w:eastAsia="等线" w:cs="等线"/>
                <w:color w:val="000000"/>
                <w:kern w:val="0"/>
                <w:sz w:val="22"/>
                <w:vertAlign w:val="superscript"/>
              </w:rPr>
              <w:t>*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(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mean</w:t>
            </w:r>
            <m:oMath>
              <m:r>
                <m:rPr/>
                <w:rPr>
                  <w:rFonts w:ascii="Cambria Math" w:hAnsi="Cambria Math" w:eastAsia="等线" w:cs="等线"/>
                  <w:color w:val="000000"/>
                  <w:kern w:val="0"/>
                  <w:sz w:val="22"/>
                </w:rPr>
                <m:t>±</m:t>
              </m:r>
            </m:oMath>
            <w:r>
              <w:rPr>
                <w:rFonts w:ascii="等线" w:eastAsia="等线" w:cs="等线"/>
                <w:color w:val="000000"/>
                <w:kern w:val="0"/>
                <w:sz w:val="22"/>
              </w:rPr>
              <w:t>SD)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1521.15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±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384.62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1664.39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±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277.03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0.039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Swelling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(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pre-operation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N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o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27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57.4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30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58.8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Y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es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20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42.6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21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41.2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Medication (post-operation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N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o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32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68.1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33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64.7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Y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es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31.9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18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35.3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0.724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Endodontic S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urgery</w:t>
            </w:r>
          </w:p>
          <w:p>
            <w:pPr>
              <w:autoSpaceDE w:val="0"/>
              <w:autoSpaceDN w:val="0"/>
              <w:adjustRightInd w:val="0"/>
              <w:ind w:firstLine="220" w:firstLineChars="100"/>
              <w:jc w:val="left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(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pre-operation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)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N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o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7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14.9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12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23.5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Y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es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40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85.1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39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（</w:t>
            </w:r>
            <w:r>
              <w:rPr>
                <w:rFonts w:ascii="等线" w:eastAsia="等线" w:cs="等线"/>
                <w:color w:val="000000"/>
                <w:kern w:val="0"/>
                <w:sz w:val="22"/>
              </w:rPr>
              <w:t>76.5</w:t>
            </w:r>
            <w:r>
              <w:rPr>
                <w:rFonts w:hint="eastAsia" w:ascii="等线" w:eastAsia="等线" w:cs="等线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等线" w:eastAsia="等线" w:cs="等线"/>
                <w:color w:val="000000"/>
                <w:kern w:val="0"/>
                <w:sz w:val="22"/>
              </w:rPr>
            </w:pPr>
            <w:r>
              <w:rPr>
                <w:rFonts w:ascii="等线" w:eastAsia="等线" w:cs="等线"/>
                <w:color w:val="000000"/>
                <w:kern w:val="0"/>
                <w:sz w:val="22"/>
              </w:rPr>
              <w:t>0.28</w:t>
            </w:r>
          </w:p>
        </w:tc>
      </w:tr>
    </w:tbl>
    <w:p>
      <w:pPr>
        <w:widowControl/>
        <w:spacing w:line="360" w:lineRule="auto"/>
        <w:jc w:val="left"/>
        <w:rPr>
          <w:rFonts w:ascii="Times New Roman" w:hAnsi="Times New Roman"/>
          <w:bCs/>
          <w:sz w:val="24"/>
          <w:szCs w:val="24"/>
        </w:rPr>
      </w:pPr>
    </w:p>
    <w:p>
      <w:pPr>
        <w:widowControl/>
        <w:spacing w:line="360" w:lineRule="auto"/>
        <w:ind w:firstLine="482" w:firstLineChars="200"/>
        <w:jc w:val="left"/>
        <w:rPr>
          <w:rFonts w:ascii="Times New Roman" w:hAnsi="Times New Roman"/>
          <w:b/>
          <w:bCs w:val="0"/>
          <w:kern w:val="0"/>
          <w:sz w:val="24"/>
          <w:szCs w:val="24"/>
        </w:rPr>
      </w:pPr>
      <w:r>
        <w:rPr>
          <w:rFonts w:hint="eastAsia" w:ascii="Times New Roman" w:hAnsi="Times New Roman"/>
          <w:b/>
          <w:bCs w:val="0"/>
          <w:kern w:val="0"/>
          <w:sz w:val="24"/>
          <w:szCs w:val="24"/>
        </w:rPr>
        <w:t>T</w:t>
      </w:r>
      <w:r>
        <w:rPr>
          <w:rFonts w:ascii="Times New Roman" w:hAnsi="Times New Roman"/>
          <w:b/>
          <w:bCs w:val="0"/>
          <w:kern w:val="0"/>
          <w:sz w:val="24"/>
          <w:szCs w:val="24"/>
        </w:rPr>
        <w:t>able 1</w:t>
      </w:r>
      <w:r>
        <w:rPr>
          <w:rFonts w:hint="eastAsia" w:ascii="Times New Roman" w:hAnsi="Times New Roman"/>
          <w:b/>
          <w:bCs w:val="0"/>
          <w:kern w:val="0"/>
          <w:sz w:val="24"/>
          <w:szCs w:val="24"/>
        </w:rPr>
        <w:t>.</w:t>
      </w:r>
      <w:r>
        <w:rPr>
          <w:rFonts w:hint="eastAsia" w:ascii="Times New Roman" w:hAnsi="Times New Roman"/>
          <w:b/>
          <w:bCs w:val="0"/>
          <w:kern w:val="0"/>
          <w:sz w:val="24"/>
          <w:szCs w:val="24"/>
          <w:lang w:val="en-US" w:eastAsia="zh-CN"/>
        </w:rPr>
        <w:t xml:space="preserve"> </w:t>
      </w:r>
      <w:bookmarkStart w:id="1" w:name="_GoBack"/>
      <w:bookmarkEnd w:id="1"/>
      <w:r>
        <w:rPr>
          <w:rFonts w:ascii="Times New Roman" w:hAnsi="Times New Roman"/>
          <w:b/>
          <w:bCs w:val="0"/>
          <w:kern w:val="0"/>
          <w:sz w:val="24"/>
          <w:szCs w:val="24"/>
        </w:rPr>
        <w:t>Descriptive Analysis of Patients in Both Groups</w:t>
      </w:r>
      <w:bookmarkStart w:id="0" w:name="_Hlk73472701"/>
      <w:r>
        <w:rPr>
          <w:rFonts w:hint="eastAsia" w:ascii="Times New Roman" w:hAnsi="Times New Roman"/>
          <w:b/>
          <w:bCs w:val="0"/>
          <w:kern w:val="0"/>
          <w:sz w:val="24"/>
          <w:szCs w:val="24"/>
        </w:rPr>
        <w:t xml:space="preserve">. </w:t>
      </w:r>
    </w:p>
    <w:p>
      <w:pPr>
        <w:widowControl/>
        <w:spacing w:line="360" w:lineRule="auto"/>
        <w:ind w:firstLine="480" w:firstLineChars="200"/>
        <w:jc w:val="left"/>
        <w:rPr>
          <w:rFonts w:ascii="Times New Roman" w:hAnsi="Times New Roman"/>
          <w:bCs/>
          <w:kern w:val="0"/>
          <w:sz w:val="24"/>
          <w:szCs w:val="24"/>
        </w:rPr>
      </w:pPr>
      <w:r>
        <w:rPr>
          <w:rFonts w:ascii="Times New Roman" w:hAnsi="Times New Roman"/>
          <w:bCs/>
          <w:kern w:val="0"/>
          <w:sz w:val="24"/>
          <w:szCs w:val="24"/>
        </w:rPr>
        <w:t>Continuous variable</w:t>
      </w:r>
      <w:bookmarkEnd w:id="0"/>
      <w:r>
        <w:rPr>
          <w:rFonts w:ascii="Times New Roman" w:hAnsi="Times New Roman"/>
          <w:bCs/>
          <w:kern w:val="0"/>
          <w:sz w:val="24"/>
          <w:szCs w:val="24"/>
        </w:rPr>
        <w:t>s such as a</w:t>
      </w:r>
      <w:r>
        <w:rPr>
          <w:rFonts w:hint="eastAsia" w:ascii="Times New Roman" w:hAnsi="Times New Roman"/>
          <w:bCs/>
          <w:kern w:val="0"/>
          <w:sz w:val="24"/>
          <w:szCs w:val="24"/>
        </w:rPr>
        <w:t>g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e, shadow volume and bone density’s </w:t>
      </w:r>
      <w:r>
        <w:rPr>
          <w:rFonts w:hint="eastAsia" w:ascii="Times New Roman" w:hAnsi="Times New Roman"/>
          <w:bCs/>
          <w:kern w:val="0"/>
          <w:sz w:val="24"/>
          <w:szCs w:val="24"/>
        </w:rPr>
        <w:t>P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/>
          <w:bCs/>
          <w:kern w:val="0"/>
          <w:sz w:val="24"/>
          <w:szCs w:val="24"/>
        </w:rPr>
        <w:t>v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alues are </w:t>
      </w:r>
      <w:r>
        <w:rPr>
          <w:rFonts w:hint="eastAsia" w:ascii="Times New Roman" w:hAnsi="Times New Roman"/>
          <w:bCs/>
          <w:kern w:val="0"/>
          <w:sz w:val="24"/>
          <w:szCs w:val="24"/>
        </w:rPr>
        <w:t>0</w:t>
      </w:r>
      <w:r>
        <w:rPr>
          <w:rFonts w:ascii="Times New Roman" w:hAnsi="Times New Roman"/>
          <w:bCs/>
          <w:kern w:val="0"/>
          <w:sz w:val="24"/>
          <w:szCs w:val="24"/>
        </w:rPr>
        <w:t>.002, 0 and 0.039, which means these</w:t>
      </w:r>
      <w:r>
        <w:rPr>
          <w:rFonts w:hint="eastAsia" w:ascii="Times New Roman" w:hAnsi="Times New Roman"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  <w:szCs w:val="24"/>
        </w:rPr>
        <w:t>intervening factors have statistical significance. Other discontinuous variables such as sex, fistula, swelling (pre-operation), medication (post-operation) and endodontic s</w:t>
      </w:r>
      <w:r>
        <w:rPr>
          <w:rFonts w:hint="eastAsia" w:ascii="Times New Roman" w:hAnsi="Times New Roman"/>
          <w:bCs/>
          <w:kern w:val="0"/>
          <w:sz w:val="24"/>
          <w:szCs w:val="24"/>
        </w:rPr>
        <w:t>urgery</w:t>
      </w:r>
      <w:r>
        <w:rPr>
          <w:rFonts w:ascii="Times New Roman" w:hAnsi="Times New Roman"/>
          <w:bCs/>
          <w:kern w:val="0"/>
          <w:sz w:val="24"/>
          <w:szCs w:val="24"/>
        </w:rPr>
        <w:t xml:space="preserve"> have no differences between pre-operation and post-operation.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85674"/>
    <w:rsid w:val="21E8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2021-11-02T04:26:00Z</dcterms:created>
  <dc:creator>1</dc:creator>
  <cp:lastModifiedBy>1</cp:lastModifiedBy>
  <dcterms:modified xsi:type="dcterms:W3CDTF">2021-11-02T04:26:57Z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9132E6CD5C4445DDAB36EDABEB163909</vt:lpwstr>
  </property>
</Properties>
</file>