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E072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4"/>
          <w:szCs w:val="24"/>
        </w:rPr>
      </w:pPr>
      <w:bookmarkStart w:id="0" w:name="_GoBack"/>
      <w:bookmarkEnd w:id="0"/>
      <w:r>
        <w:rPr>
          <w:rFonts w:hint="default" w:ascii="Times New Roman" w:hAnsi="Times New Roman" w:eastAsia="仿宋" w:cs="Times New Roman"/>
          <w:b/>
          <w:bCs/>
          <w:sz w:val="24"/>
          <w:szCs w:val="24"/>
        </w:rPr>
        <w:t>Effects of Proprioceptive Neuromuscular Facilitation Training on Postoperative Rehabilitation Following Medial Collateral Ligament Reconstruction: A Clinical Study Protocol</w:t>
      </w:r>
    </w:p>
    <w:p w14:paraId="189B46F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Participants:</w:t>
      </w:r>
      <w:r>
        <w:rPr>
          <w:rFonts w:hint="default" w:ascii="Times New Roman" w:hAnsi="Times New Roman" w:eastAsia="仿宋" w:cs="Times New Roman"/>
          <w:sz w:val="24"/>
          <w:szCs w:val="24"/>
        </w:rPr>
        <w:t xml:space="preserve"> Patients who have undergone medial collateral ligament (MCL) reconstruction, aged 18–45 years, with a disease duration of ≤6 months.</w:t>
      </w:r>
    </w:p>
    <w:p w14:paraId="5C11832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 xml:space="preserve">Objective: </w:t>
      </w:r>
      <w:r>
        <w:rPr>
          <w:rFonts w:hint="default" w:ascii="Times New Roman" w:hAnsi="Times New Roman" w:eastAsia="仿宋" w:cs="Times New Roman"/>
          <w:sz w:val="24"/>
          <w:szCs w:val="24"/>
        </w:rPr>
        <w:t>To evaluate the effects of proprioceptive neuromuscular facilitation (PNF) training on postoperative recovery of knee joint function, including range of motion (ROM), pain, muscle strength, and functional performance, in patients undergoing MCL reconstruction.</w:t>
      </w:r>
    </w:p>
    <w:p w14:paraId="35F3A51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1. Participant Eligibility Criteria</w:t>
      </w:r>
    </w:p>
    <w:p w14:paraId="51C44A7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1.1 Inclusion Criteria</w:t>
      </w:r>
    </w:p>
    <w:p w14:paraId="5D78AD7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(1)</w:t>
      </w:r>
      <w:r>
        <w:rPr>
          <w:rFonts w:hint="default" w:ascii="Times New Roman" w:hAnsi="Times New Roman" w:eastAsia="仿宋" w:cs="Times New Roman"/>
          <w:sz w:val="24"/>
          <w:szCs w:val="24"/>
        </w:rPr>
        <w:t>Participants were eligible for inclusion if they met all of the following criteria:</w:t>
      </w:r>
    </w:p>
    <w:p w14:paraId="337B8000">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Aged 18–45 years and had undergone medial collateral ligament (MCL) reconstruction within the previous 6 months;</w:t>
      </w:r>
      <w:r>
        <w:rPr>
          <w:rFonts w:hint="eastAsia" w:ascii="Times New Roman" w:hAnsi="Times New Roman" w:eastAsia="仿宋" w:cs="Times New Roman"/>
          <w:sz w:val="24"/>
          <w:szCs w:val="24"/>
          <w:lang w:val="en-US" w:eastAsia="zh-CN"/>
        </w:rPr>
        <w:t xml:space="preserve"> </w:t>
      </w:r>
    </w:p>
    <w:p w14:paraId="4F7B1CDA">
      <w:pPr>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No concomitant severe injuries to other knee ligaments or fractures involving the knee joint;</w:t>
      </w:r>
      <w:r>
        <w:rPr>
          <w:rFonts w:hint="eastAsia" w:ascii="Times New Roman" w:hAnsi="Times New Roman" w:eastAsia="仿宋" w:cs="Times New Roman"/>
          <w:sz w:val="24"/>
          <w:szCs w:val="24"/>
          <w:lang w:val="en-US" w:eastAsia="zh-CN"/>
        </w:rPr>
        <w:t xml:space="preserve"> </w:t>
      </w:r>
    </w:p>
    <w:p w14:paraId="175CFD00">
      <w:pPr>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No major cardiovascular, pulmonary, hepatic, or renal diseases, or neurological disorders.</w:t>
      </w:r>
    </w:p>
    <w:p w14:paraId="2541274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1.2 Exclusion Criteria</w:t>
      </w:r>
    </w:p>
    <w:p w14:paraId="009F00C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Participants were excluded if they met any of the following criteria:</w:t>
      </w:r>
    </w:p>
    <w:p w14:paraId="6AB1117B">
      <w:pPr>
        <w:keepNext w:val="0"/>
        <w:keepLines w:val="0"/>
        <w:pageBreakBefore w:val="0"/>
        <w:numPr>
          <w:ilvl w:val="0"/>
          <w:numId w:val="2"/>
        </w:numP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Patients undergoing revision MCL reconstruction or with a history of previous MCL reconstruction were excluded;</w:t>
      </w:r>
    </w:p>
    <w:p w14:paraId="7D9940BB">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Concomitant cervical spondylosis or other chronic conditions that could interfere </w:t>
      </w:r>
      <w:r>
        <w:rPr>
          <w:rFonts w:hint="eastAsia" w:ascii="Times New Roman" w:hAnsi="Times New Roman" w:eastAsia="仿宋" w:cs="Times New Roman"/>
          <w:sz w:val="24"/>
          <w:szCs w:val="24"/>
          <w:lang w:val="en-US" w:eastAsia="zh-CN"/>
        </w:rPr>
        <w:t xml:space="preserve">(3) </w:t>
      </w:r>
      <w:r>
        <w:rPr>
          <w:rFonts w:hint="default" w:ascii="Times New Roman" w:hAnsi="Times New Roman" w:eastAsia="仿宋" w:cs="Times New Roman"/>
          <w:sz w:val="24"/>
          <w:szCs w:val="24"/>
        </w:rPr>
        <w:t>with physical activity or rehabilitation training;</w:t>
      </w:r>
    </w:p>
    <w:p w14:paraId="406B16A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Severe postoperative complications, such as infection or thrombosis.</w:t>
      </w:r>
    </w:p>
    <w:p w14:paraId="25EA71A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3. Randomization and Group Allocation</w:t>
      </w:r>
    </w:p>
    <w:p w14:paraId="34ED2E39">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eastAsia="zh-CN"/>
        </w:rPr>
      </w:pPr>
      <w:r>
        <w:rPr>
          <w:rFonts w:hint="default" w:ascii="Times New Roman" w:hAnsi="Times New Roman" w:eastAsia="仿宋" w:cs="Times New Roman"/>
          <w:sz w:val="24"/>
          <w:szCs w:val="24"/>
        </w:rPr>
        <w:t>Participants were randomly assigned to the experimental group or control group in a 1:1 ratio.</w:t>
      </w:r>
      <w:r>
        <w:rPr>
          <w:rFonts w:hint="eastAsia" w:ascii="Times New Roman" w:hAnsi="Times New Roman" w:eastAsia="仿宋" w:cs="Times New Roman"/>
          <w:sz w:val="24"/>
          <w:szCs w:val="24"/>
          <w:lang w:eastAsia="zh-CN"/>
        </w:rPr>
        <w:t>：</w:t>
      </w:r>
    </w:p>
    <w:p w14:paraId="06D69201">
      <w:pPr>
        <w:keepNext w:val="0"/>
        <w:keepLines w:val="0"/>
        <w:pageBreakBefore w:val="0"/>
        <w:numPr>
          <w:ilvl w:val="0"/>
          <w:numId w:val="3"/>
        </w:numP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Experimental group (n = 30): Participants received conventional postoperative rehabilitation combined with proprioceptive neuromuscular facilitation (PNF) training.</w:t>
      </w:r>
    </w:p>
    <w:p w14:paraId="1A156E22">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Control group (n = 30): Participants received conventional postoperative rehabilitation only.</w:t>
      </w:r>
      <w:r>
        <w:rPr>
          <w:rFonts w:hint="eastAsia" w:ascii="Times New Roman" w:hAnsi="Times New Roman" w:eastAsia="仿宋" w:cs="Times New Roman"/>
          <w:sz w:val="24"/>
          <w:szCs w:val="24"/>
          <w:lang w:val="en-US" w:eastAsia="zh-CN"/>
        </w:rPr>
        <w:t xml:space="preserve">   </w:t>
      </w:r>
    </w:p>
    <w:p w14:paraId="339A856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 Outcome Measures and Assessment Procedures</w:t>
      </w:r>
    </w:p>
    <w:p w14:paraId="580CA68F">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2.1 Knee Joint Range of Motion (ROM)</w:t>
      </w:r>
    </w:p>
    <w:p w14:paraId="653265A4">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Instrument:</w:t>
      </w:r>
      <w:r>
        <w:rPr>
          <w:rFonts w:hint="eastAsia" w:ascii="Times New Roman" w:hAnsi="Times New Roman" w:eastAsia="仿宋" w:cs="Times New Roman"/>
          <w:sz w:val="24"/>
          <w:szCs w:val="24"/>
          <w:lang w:val="en-US" w:eastAsia="zh-CN"/>
        </w:rPr>
        <w:t xml:space="preserve"> A universal goniometer was used to assess knee joint range of motion.</w:t>
      </w:r>
    </w:p>
    <w:p w14:paraId="01DB1EC9">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Assessment procedure:</w:t>
      </w:r>
    </w:p>
    <w:p w14:paraId="3CFC1D75">
      <w:pPr>
        <w:keepNext w:val="0"/>
        <w:keepLines w:val="0"/>
        <w:pageBreakBefore w:val="0"/>
        <w:numPr>
          <w:ilvl w:val="0"/>
          <w:numId w:val="4"/>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Knee flexion and extension ROM were measured. Each measurement was performed three times, and the mean value was used for subsequent analysis.</w:t>
      </w:r>
    </w:p>
    <w:p w14:paraId="0B6C5739">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(2)Assessments were conducted at 4, 8, and 12 weeks postoperatively.</w:t>
      </w:r>
    </w:p>
    <w:p w14:paraId="2DA2FD93">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2.2 Pain Assessment</w:t>
      </w:r>
    </w:p>
    <w:p w14:paraId="0FAD7EAE">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Instrument:</w:t>
      </w:r>
      <w:r>
        <w:rPr>
          <w:rFonts w:hint="eastAsia" w:ascii="Times New Roman" w:hAnsi="Times New Roman" w:eastAsia="仿宋" w:cs="Times New Roman"/>
          <w:sz w:val="24"/>
          <w:szCs w:val="24"/>
          <w:lang w:val="en-US" w:eastAsia="zh-CN"/>
        </w:rPr>
        <w:t xml:space="preserve"> Pain intensity was assessed using the Visual Analog Scale (VAS), ranging from 0 to 10, where 0 indicated no pain and 10 indicated the most severe pain.</w:t>
      </w:r>
    </w:p>
    <w:p w14:paraId="633C8F2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Assessment procedure:</w:t>
      </w:r>
    </w:p>
    <w:p w14:paraId="7346EFEF">
      <w:pPr>
        <w:keepNext w:val="0"/>
        <w:keepLines w:val="0"/>
        <w:pageBreakBefore w:val="0"/>
        <w:numPr>
          <w:ilvl w:val="0"/>
          <w:numId w:val="5"/>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Participants were instructed to indicate a score corresponding to their perceived level of pain.</w:t>
      </w:r>
    </w:p>
    <w:p w14:paraId="29BEBA41">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Assessments were conducted at 4, 8, and 12 weeks postoperatively.</w:t>
      </w:r>
    </w:p>
    <w:p w14:paraId="2F28E07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2.3 Knee Function Assessment</w:t>
      </w:r>
    </w:p>
    <w:p w14:paraId="3F9BE38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Instrument:</w:t>
      </w:r>
      <w:r>
        <w:rPr>
          <w:rFonts w:hint="eastAsia" w:ascii="Times New Roman" w:hAnsi="Times New Roman" w:eastAsia="仿宋" w:cs="Times New Roman"/>
          <w:sz w:val="24"/>
          <w:szCs w:val="24"/>
          <w:lang w:val="en-US" w:eastAsia="zh-CN"/>
        </w:rPr>
        <w:t xml:space="preserve"> Knee function was evaluated using the Lysholm Knee Scoring Scale, which consists of eight domains, including limp, support, pain, swelling, and other functional symptoms. The total score ranges from 0 to 100, with higher scores indicating better knee function.</w:t>
      </w:r>
    </w:p>
    <w:p w14:paraId="50B51D73">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Assessment procedure:</w:t>
      </w:r>
    </w:p>
    <w:p w14:paraId="2AF538B2">
      <w:pPr>
        <w:keepNext w:val="0"/>
        <w:keepLines w:val="0"/>
        <w:pageBreakBefore w:val="0"/>
        <w:numPr>
          <w:ilvl w:val="0"/>
          <w:numId w:val="6"/>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The Lysholm score was determined by a rehabilitation physician based on questionnaire responses and clinical observation.</w:t>
      </w:r>
    </w:p>
    <w:p w14:paraId="5F19EE92">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Assessments were conducted at 4, 8, and 12 weeks postoperatively.</w:t>
      </w:r>
    </w:p>
    <w:p w14:paraId="43D134A8">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2.4 Muscle Strength Assessment</w:t>
      </w:r>
    </w:p>
    <w:p w14:paraId="2956CAD9">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b/>
          <w:bCs/>
          <w:sz w:val="24"/>
          <w:szCs w:val="24"/>
          <w:lang w:val="en-US" w:eastAsia="zh-CN"/>
        </w:rPr>
        <w:t>Instrument</w:t>
      </w:r>
      <w:r>
        <w:rPr>
          <w:rFonts w:hint="eastAsia" w:ascii="Times New Roman" w:hAnsi="Times New Roman" w:eastAsia="仿宋" w:cs="Times New Roman"/>
          <w:sz w:val="24"/>
          <w:szCs w:val="24"/>
          <w:lang w:val="en-US" w:eastAsia="zh-CN"/>
        </w:rPr>
        <w:t>: An isokinetic dynamometer (Biodex or an equivalent system) was used to assess knee muscle strength.</w:t>
      </w:r>
    </w:p>
    <w:p w14:paraId="0D245DE4">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Assessment procedure:</w:t>
      </w:r>
    </w:p>
    <w:p w14:paraId="33F7D98A">
      <w:pPr>
        <w:keepNext w:val="0"/>
        <w:keepLines w:val="0"/>
        <w:pageBreakBefore w:val="0"/>
        <w:numPr>
          <w:ilvl w:val="0"/>
          <w:numId w:val="7"/>
        </w:numPr>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Peak torque of the quadriceps and hamstring muscles was measured and recorded in newton-metres (N·m).</w:t>
      </w:r>
    </w:p>
    <w:p w14:paraId="0ED3D159">
      <w:pPr>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Muscle strength assessments were performed at 4 and 12 weeks postoperatively.</w:t>
      </w:r>
    </w:p>
    <w:p w14:paraId="4516D62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Times New Roman"/>
          <w:sz w:val="24"/>
          <w:szCs w:val="24"/>
          <w:lang w:val="en-US" w:eastAsia="zh-CN"/>
        </w:rPr>
      </w:pPr>
    </w:p>
    <w:p w14:paraId="4EFA3AF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3. Proprioceptive Neuromuscular Facilitation Training Protocol</w:t>
      </w:r>
    </w:p>
    <w:p w14:paraId="7C0105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3.1 Training Principles</w:t>
      </w:r>
    </w:p>
    <w:p w14:paraId="1E2CACB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(1) </w:t>
      </w:r>
      <w:r>
        <w:rPr>
          <w:rFonts w:hint="default" w:ascii="Times New Roman" w:hAnsi="Times New Roman" w:eastAsia="仿宋" w:cs="Times New Roman"/>
          <w:sz w:val="24"/>
          <w:szCs w:val="24"/>
          <w:lang w:val="en-US" w:eastAsia="zh-CN"/>
        </w:rPr>
        <w:t>Exercise selection: Training primarily consisted of multi-joint coordinated movement patterns involving the hip, knee, and ankle joints.</w:t>
      </w:r>
    </w:p>
    <w:p w14:paraId="2584E6E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(2) </w:t>
      </w:r>
      <w:r>
        <w:rPr>
          <w:rFonts w:hint="default" w:ascii="Times New Roman" w:hAnsi="Times New Roman" w:eastAsia="仿宋" w:cs="Times New Roman"/>
          <w:sz w:val="24"/>
          <w:szCs w:val="24"/>
          <w:lang w:val="en-US" w:eastAsia="zh-CN"/>
        </w:rPr>
        <w:t>Exercise intensity: Training intensity was progressively increased according to individual tolerance, with a target rating of perceived exertion (RPE) of 4–6 on a 0–10 scale.</w:t>
      </w:r>
    </w:p>
    <w:p w14:paraId="5307E68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(3) </w:t>
      </w:r>
      <w:r>
        <w:rPr>
          <w:rFonts w:hint="default" w:ascii="Times New Roman" w:hAnsi="Times New Roman" w:eastAsia="仿宋" w:cs="Times New Roman"/>
          <w:sz w:val="24"/>
          <w:szCs w:val="24"/>
          <w:lang w:val="en-US" w:eastAsia="zh-CN"/>
        </w:rPr>
        <w:t>Training frequency and duration: Participants performed one 60-min training session per day for 12 consecutive weeks.</w:t>
      </w:r>
    </w:p>
    <w:p w14:paraId="2F81B2C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3.2 Specific Training Program</w:t>
      </w:r>
    </w:p>
    <w:p w14:paraId="130B50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Phase 1: Postoperative Weeks 0–4</w:t>
      </w:r>
    </w:p>
    <w:p w14:paraId="2A6C53D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Goal</w:t>
      </w:r>
      <w:r>
        <w:rPr>
          <w:rFonts w:hint="default" w:ascii="Times New Roman" w:hAnsi="Times New Roman" w:eastAsia="仿宋" w:cs="Times New Roman"/>
          <w:sz w:val="24"/>
          <w:szCs w:val="24"/>
          <w:lang w:val="en-US" w:eastAsia="zh-CN"/>
        </w:rPr>
        <w:t>: To reduce pain and facilitate neuromuscular control.</w:t>
      </w:r>
    </w:p>
    <w:p w14:paraId="557450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Training methods:</w:t>
      </w:r>
    </w:p>
    <w:p w14:paraId="14C1DE21">
      <w:pPr>
        <w:keepNext w:val="0"/>
        <w:keepLines w:val="0"/>
        <w:pageBreakBefore w:val="0"/>
        <w:widowControl w:val="0"/>
        <w:numPr>
          <w:ilvl w:val="0"/>
          <w:numId w:val="8"/>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Contract–Relax (CR) technique:</w:t>
      </w:r>
    </w:p>
    <w:p w14:paraId="10737D2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The knee was passively flexed within the pain-free range of motion. Participants then performed an isometric contraction against resistance, followed by relaxation and further movement within the tolerated range.</w:t>
      </w:r>
    </w:p>
    <w:p w14:paraId="2F2E3ECF">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Rhythmic Stabilization (RS) technique:</w:t>
      </w:r>
    </w:p>
    <w:p w14:paraId="4937DDB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Alternating isometric contractions were applied to facilitate coordinated activation and improve neuromuscular control of the muscles surrounding the knee, with emphasis on the hip adductor and hamstring muscle groups.</w:t>
      </w:r>
    </w:p>
    <w:p w14:paraId="20732F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Phase 2: Postoperative Weeks 5–8</w:t>
      </w:r>
    </w:p>
    <w:p w14:paraId="4C0AC1A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Goal</w:t>
      </w:r>
      <w:r>
        <w:rPr>
          <w:rFonts w:hint="default" w:ascii="Times New Roman" w:hAnsi="Times New Roman" w:eastAsia="仿宋" w:cs="Times New Roman"/>
          <w:sz w:val="24"/>
          <w:szCs w:val="24"/>
          <w:lang w:val="en-US" w:eastAsia="zh-CN"/>
        </w:rPr>
        <w:t>: To improve muscle strength and dynamic knee stability.</w:t>
      </w:r>
    </w:p>
    <w:p w14:paraId="1F49F9E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Training methods:</w:t>
      </w:r>
    </w:p>
    <w:p w14:paraId="2E782B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kern w:val="2"/>
          <w:sz w:val="24"/>
          <w:szCs w:val="24"/>
          <w:lang w:val="en-US" w:eastAsia="zh-CN" w:bidi="ar-SA"/>
        </w:rPr>
        <w:t>(1)</w:t>
      </w:r>
      <w:r>
        <w:rPr>
          <w:rFonts w:hint="default" w:ascii="Times New Roman" w:hAnsi="Times New Roman" w:eastAsia="仿宋" w:cs="Times New Roman"/>
          <w:sz w:val="24"/>
          <w:szCs w:val="24"/>
          <w:lang w:val="en-US" w:eastAsia="zh-CN"/>
        </w:rPr>
        <w:t>Dynamic Reversal (DR) technique:</w:t>
      </w:r>
    </w:p>
    <w:p w14:paraId="6D261BA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Participants performed alternating resisted knee flexion and extension movements, with resistance adjusted according to individual tolerance.</w:t>
      </w:r>
    </w:p>
    <w:p w14:paraId="4FE603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kern w:val="2"/>
          <w:sz w:val="24"/>
          <w:szCs w:val="24"/>
          <w:lang w:val="en-US" w:eastAsia="zh-CN" w:bidi="ar-SA"/>
        </w:rPr>
        <w:t>(2)</w:t>
      </w:r>
      <w:r>
        <w:rPr>
          <w:rFonts w:hint="default" w:ascii="Times New Roman" w:hAnsi="Times New Roman" w:eastAsia="仿宋" w:cs="Times New Roman"/>
          <w:sz w:val="24"/>
          <w:szCs w:val="24"/>
          <w:lang w:val="en-US" w:eastAsia="zh-CN"/>
        </w:rPr>
        <w:t>Combination of Isotonics (COI) technique:</w:t>
      </w:r>
    </w:p>
    <w:p w14:paraId="014A67F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Concentric and eccentric muscle contractions were performed sequentially against resistance to improve muscular strength and movement control.</w:t>
      </w:r>
    </w:p>
    <w:p w14:paraId="51BE45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Phase 3: Postoperative Weeks 9–12</w:t>
      </w:r>
    </w:p>
    <w:p w14:paraId="0A6DA03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Goal</w:t>
      </w:r>
      <w:r>
        <w:rPr>
          <w:rFonts w:hint="default" w:ascii="Times New Roman" w:hAnsi="Times New Roman" w:eastAsia="仿宋" w:cs="Times New Roman"/>
          <w:sz w:val="24"/>
          <w:szCs w:val="24"/>
          <w:lang w:val="en-US" w:eastAsia="zh-CN"/>
        </w:rPr>
        <w:t>: To restore functional performance and re-establish normal movement patterns.</w:t>
      </w:r>
    </w:p>
    <w:p w14:paraId="3C4C13E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Training methods:</w:t>
      </w:r>
    </w:p>
    <w:p w14:paraId="1B50FAA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kern w:val="2"/>
          <w:sz w:val="24"/>
          <w:szCs w:val="24"/>
          <w:lang w:val="en-US" w:eastAsia="zh-CN" w:bidi="ar-SA"/>
        </w:rPr>
        <w:t>(1)</w:t>
      </w:r>
      <w:r>
        <w:rPr>
          <w:rFonts w:hint="default" w:ascii="Times New Roman" w:hAnsi="Times New Roman" w:eastAsia="仿宋" w:cs="Times New Roman"/>
          <w:sz w:val="24"/>
          <w:szCs w:val="24"/>
          <w:lang w:val="en-US" w:eastAsia="zh-CN"/>
        </w:rPr>
        <w:t>Gait training:</w:t>
      </w:r>
    </w:p>
    <w:p w14:paraId="437684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Lower-extremity PNF diagonal patterns, particularly the D2 flexion–extension pattern, were incorporated into gait-related functional training to facilitate coordinated movement of the hip, knee, and ankle joints.</w:t>
      </w:r>
    </w:p>
    <w:p w14:paraId="3FA432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kern w:val="2"/>
          <w:sz w:val="24"/>
          <w:szCs w:val="24"/>
          <w:lang w:val="en-US" w:eastAsia="zh-CN" w:bidi="ar-SA"/>
        </w:rPr>
        <w:t>(2)</w:t>
      </w:r>
      <w:r>
        <w:rPr>
          <w:rFonts w:hint="default" w:ascii="Times New Roman" w:hAnsi="Times New Roman" w:eastAsia="仿宋" w:cs="Times New Roman"/>
          <w:sz w:val="24"/>
          <w:szCs w:val="24"/>
          <w:lang w:val="en-US" w:eastAsia="zh-CN"/>
        </w:rPr>
        <w:t>Balance training:</w:t>
      </w:r>
    </w:p>
    <w:p w14:paraId="5C7776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Single-leg stance exercises were combined with PNF-based manual resistance to improve postural control, proprioception, and dynamic stability.</w:t>
      </w:r>
    </w:p>
    <w:p w14:paraId="77EB93D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b/>
          <w:bCs/>
          <w:sz w:val="24"/>
          <w:szCs w:val="24"/>
          <w:lang w:val="en-US" w:eastAsia="zh-CN"/>
        </w:rPr>
        <w:t>4. Statistical Analysis</w:t>
      </w:r>
    </w:p>
    <w:p w14:paraId="2D036A0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(1) </w:t>
      </w:r>
      <w:r>
        <w:rPr>
          <w:rFonts w:hint="default" w:ascii="Times New Roman" w:hAnsi="Times New Roman" w:eastAsia="仿宋" w:cs="Times New Roman"/>
          <w:sz w:val="24"/>
          <w:szCs w:val="24"/>
          <w:lang w:val="en-US" w:eastAsia="zh-CN"/>
        </w:rPr>
        <w:t>Statistical software:</w:t>
      </w:r>
    </w:p>
    <w:p w14:paraId="163E3F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Statistical analyses were performed using SPSS Statistics version 23.0.</w:t>
      </w:r>
    </w:p>
    <w:p w14:paraId="6ED99B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kern w:val="2"/>
          <w:sz w:val="24"/>
          <w:szCs w:val="24"/>
          <w:lang w:val="en-US" w:eastAsia="zh-CN" w:bidi="ar-SA"/>
        </w:rPr>
        <w:t>(</w:t>
      </w:r>
      <w:r>
        <w:rPr>
          <w:rFonts w:hint="eastAsia" w:ascii="Times New Roman" w:hAnsi="Times New Roman" w:eastAsia="仿宋" w:cs="Times New Roman"/>
          <w:kern w:val="2"/>
          <w:sz w:val="24"/>
          <w:szCs w:val="24"/>
          <w:lang w:val="en-US" w:eastAsia="zh-CN" w:bidi="ar-SA"/>
        </w:rPr>
        <w:t>2</w:t>
      </w:r>
      <w:r>
        <w:rPr>
          <w:rFonts w:hint="default" w:ascii="Times New Roman" w:hAnsi="Times New Roman" w:eastAsia="仿宋" w:cs="Times New Roman"/>
          <w:kern w:val="2"/>
          <w:sz w:val="24"/>
          <w:szCs w:val="24"/>
          <w:lang w:val="en-US" w:eastAsia="zh-CN" w:bidi="ar-SA"/>
        </w:rPr>
        <w:t>)</w:t>
      </w:r>
      <w:r>
        <w:rPr>
          <w:rFonts w:hint="default" w:ascii="Times New Roman" w:hAnsi="Times New Roman" w:eastAsia="仿宋" w:cs="Times New Roman"/>
          <w:sz w:val="24"/>
          <w:szCs w:val="24"/>
          <w:lang w:val="en-US" w:eastAsia="zh-CN"/>
        </w:rPr>
        <w:t>Statistical methods:</w:t>
      </w:r>
    </w:p>
    <w:p w14:paraId="57C9D42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 Within-group differences between assessment time points were analyzed using paired-samples t tests.</w:t>
      </w:r>
    </w:p>
    <w:p w14:paraId="0732803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b. Between-group differences were analyzed using independent-samples t tests.</w:t>
      </w:r>
    </w:p>
    <w:p w14:paraId="4156778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c. A two-sided P value &lt; 0.05 was considered statistically significant.</w:t>
      </w:r>
    </w:p>
    <w:p w14:paraId="53C312D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default" w:ascii="Times New Roman" w:hAnsi="Times New Roman" w:eastAsia="仿宋" w:cs="Times New Roman"/>
          <w:b/>
          <w:bCs/>
          <w:kern w:val="2"/>
          <w:sz w:val="24"/>
          <w:szCs w:val="24"/>
          <w:lang w:val="en-US" w:eastAsia="zh-CN" w:bidi="ar-SA"/>
        </w:rPr>
        <w:t>5. Quality Control</w:t>
      </w:r>
    </w:p>
    <w:p w14:paraId="49B4F41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eastAsia" w:ascii="Times New Roman" w:hAnsi="Times New Roman" w:eastAsia="仿宋" w:cs="Times New Roman"/>
          <w:b w:val="0"/>
          <w:bCs w:val="0"/>
          <w:kern w:val="2"/>
          <w:sz w:val="24"/>
          <w:szCs w:val="24"/>
          <w:lang w:val="en-US" w:eastAsia="zh-CN" w:bidi="ar-SA"/>
        </w:rPr>
        <w:t xml:space="preserve">(1) </w:t>
      </w:r>
      <w:r>
        <w:rPr>
          <w:rFonts w:hint="default" w:ascii="Times New Roman" w:hAnsi="Times New Roman" w:eastAsia="仿宋" w:cs="Times New Roman"/>
          <w:b w:val="0"/>
          <w:bCs w:val="0"/>
          <w:kern w:val="2"/>
          <w:sz w:val="24"/>
          <w:szCs w:val="24"/>
          <w:lang w:val="en-US" w:eastAsia="zh-CN" w:bidi="ar-SA"/>
        </w:rPr>
        <w:t>Personnel training: All PNF interventions were administered by licensed physical therapists who had received standardized training in the study protocol.</w:t>
      </w:r>
    </w:p>
    <w:p w14:paraId="69C449EE">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eastAsia" w:ascii="Times New Roman" w:hAnsi="Times New Roman" w:eastAsia="仿宋" w:cs="Times New Roman"/>
          <w:b w:val="0"/>
          <w:bCs w:val="0"/>
          <w:kern w:val="2"/>
          <w:sz w:val="24"/>
          <w:szCs w:val="24"/>
          <w:lang w:val="en-US" w:eastAsia="zh-CN" w:bidi="ar-SA"/>
        </w:rPr>
        <w:t xml:space="preserve">(2) </w:t>
      </w:r>
      <w:r>
        <w:rPr>
          <w:rFonts w:hint="default" w:ascii="Times New Roman" w:hAnsi="Times New Roman" w:eastAsia="仿宋" w:cs="Times New Roman"/>
          <w:b w:val="0"/>
          <w:bCs w:val="0"/>
          <w:kern w:val="2"/>
          <w:sz w:val="24"/>
          <w:szCs w:val="24"/>
          <w:lang w:val="en-US" w:eastAsia="zh-CN" w:bidi="ar-SA"/>
        </w:rPr>
        <w:t>Equipment calibration: The universal goniometer and isokinetic dynamometer were regularly calibrated in accordance with the manufacturers’ recommendations to ensure measurement accuracy and reliability.</w:t>
      </w:r>
    </w:p>
    <w:p w14:paraId="61F9C03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eastAsia" w:ascii="Times New Roman" w:hAnsi="Times New Roman" w:eastAsia="仿宋" w:cs="Times New Roman"/>
          <w:b w:val="0"/>
          <w:bCs w:val="0"/>
          <w:kern w:val="2"/>
          <w:sz w:val="24"/>
          <w:szCs w:val="24"/>
          <w:lang w:val="en-US" w:eastAsia="zh-CN" w:bidi="ar-SA"/>
        </w:rPr>
        <w:t xml:space="preserve">(3) </w:t>
      </w:r>
      <w:r>
        <w:rPr>
          <w:rFonts w:hint="default" w:ascii="Times New Roman" w:hAnsi="Times New Roman" w:eastAsia="仿宋" w:cs="Times New Roman"/>
          <w:b w:val="0"/>
          <w:bCs w:val="0"/>
          <w:kern w:val="2"/>
          <w:sz w:val="24"/>
          <w:szCs w:val="24"/>
          <w:lang w:val="en-US" w:eastAsia="zh-CN" w:bidi="ar-SA"/>
        </w:rPr>
        <w:t>Data recording and verification: All study data were independently checked by two researchers to minimize recording errors and ensure data accuracy and integrity.</w:t>
      </w:r>
    </w:p>
    <w:p w14:paraId="41A8882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default" w:ascii="Times New Roman" w:hAnsi="Times New Roman" w:eastAsia="仿宋" w:cs="Times New Roman"/>
          <w:b/>
          <w:bCs/>
          <w:kern w:val="2"/>
          <w:sz w:val="24"/>
          <w:szCs w:val="24"/>
          <w:lang w:val="en-US" w:eastAsia="zh-CN" w:bidi="ar-SA"/>
        </w:rPr>
        <w:t>6. Funding and Project Support</w:t>
      </w:r>
    </w:p>
    <w:p w14:paraId="247A755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kern w:val="2"/>
          <w:sz w:val="24"/>
          <w:szCs w:val="24"/>
          <w:lang w:val="en-US" w:eastAsia="zh-CN" w:bidi="ar-SA"/>
        </w:rPr>
      </w:pPr>
      <w:r>
        <w:rPr>
          <w:rFonts w:hint="default" w:ascii="Times New Roman" w:hAnsi="Times New Roman" w:eastAsia="仿宋" w:cs="Times New Roman"/>
          <w:b w:val="0"/>
          <w:bCs w:val="0"/>
          <w:kern w:val="2"/>
          <w:sz w:val="24"/>
          <w:szCs w:val="24"/>
          <w:lang w:val="en-US" w:eastAsia="zh-CN" w:bidi="ar-SA"/>
        </w:rPr>
        <w:t xml:space="preserve">This study was supported by the Key Project of the Natural Science Research Program for Higher Education Institutions in Anhui Province </w:t>
      </w:r>
      <w:r>
        <w:rPr>
          <w:rFonts w:hint="eastAsia" w:ascii="Times New Roman" w:hAnsi="Times New Roman" w:eastAsia="仿宋" w:cs="Times New Roman"/>
          <w:b w:val="0"/>
          <w:bCs w:val="0"/>
          <w:kern w:val="2"/>
          <w:sz w:val="24"/>
          <w:szCs w:val="24"/>
          <w:lang w:val="en-US" w:eastAsia="zh-CN" w:bidi="ar-SA"/>
        </w:rPr>
        <w:t>(</w:t>
      </w:r>
      <w:r>
        <w:rPr>
          <w:rFonts w:hint="default" w:ascii="Times New Roman" w:hAnsi="Times New Roman" w:eastAsia="仿宋" w:cs="Times New Roman"/>
          <w:b w:val="0"/>
          <w:bCs w:val="0"/>
          <w:kern w:val="2"/>
          <w:sz w:val="24"/>
          <w:szCs w:val="24"/>
          <w:lang w:val="en-US" w:eastAsia="zh-CN" w:bidi="ar-SA"/>
        </w:rPr>
        <w:t>grant number: 2024AH051616</w:t>
      </w:r>
      <w:r>
        <w:rPr>
          <w:rFonts w:hint="eastAsia" w:ascii="Times New Roman" w:hAnsi="Times New Roman" w:eastAsia="仿宋" w:cs="Times New Roman"/>
          <w:b w:val="0"/>
          <w:bCs w:val="0"/>
          <w:kern w:val="2"/>
          <w:sz w:val="24"/>
          <w:szCs w:val="24"/>
          <w:lang w:val="en-US" w:eastAsia="zh-CN" w:bidi="ar-SA"/>
        </w:rPr>
        <w:t>)</w:t>
      </w:r>
      <w:r>
        <w:rPr>
          <w:rFonts w:hint="default" w:ascii="Times New Roman" w:hAnsi="Times New Roman" w:eastAsia="仿宋" w:cs="Times New Roman"/>
          <w:b w:val="0"/>
          <w:bCs w:val="0"/>
          <w:kern w:val="2"/>
          <w:sz w:val="24"/>
          <w:szCs w:val="24"/>
          <w:lang w:val="en-US" w:eastAsia="zh-CN" w:bidi="ar-SA"/>
        </w:rPr>
        <w:t>, entitled “Screening and Exercise Intervention for Idiopathic Scoliosis in Children and Adolescents.”</w:t>
      </w:r>
      <w:r>
        <w:rPr>
          <w:rFonts w:hint="eastAsia" w:ascii="Times New Roman" w:hAnsi="Times New Roman" w:eastAsia="仿宋" w:cs="Times New Roman"/>
          <w:b w:val="0"/>
          <w:bCs w:val="0"/>
          <w:kern w:val="2"/>
          <w:sz w:val="24"/>
          <w:szCs w:val="24"/>
          <w:lang w:val="en-US" w:eastAsia="zh-CN" w:bidi="ar-SA"/>
        </w:rPr>
        <w:t xml:space="preserve"> </w:t>
      </w:r>
      <w:r>
        <w:rPr>
          <w:rFonts w:hint="default" w:ascii="Times New Roman" w:hAnsi="Times New Roman" w:eastAsia="仿宋" w:cs="Times New Roman"/>
          <w:b w:val="0"/>
          <w:bCs w:val="0"/>
          <w:kern w:val="2"/>
          <w:sz w:val="24"/>
          <w:szCs w:val="24"/>
          <w:lang w:val="en-US" w:eastAsia="zh-CN" w:bidi="ar-SA"/>
        </w:rPr>
        <w:t>Mingming Li, the first author of the present study, participated as a member of the funded research project, and Xiang Zhang, the corresponding author, served as the principal investigator of the project.</w:t>
      </w:r>
    </w:p>
    <w:p w14:paraId="4642DFB7">
      <w:pPr>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A7F68"/>
    <w:multiLevelType w:val="singleLevel"/>
    <w:tmpl w:val="968A7F68"/>
    <w:lvl w:ilvl="0" w:tentative="0">
      <w:start w:val="1"/>
      <w:numFmt w:val="decimal"/>
      <w:suff w:val="space"/>
      <w:lvlText w:val="(%1)"/>
      <w:lvlJc w:val="left"/>
    </w:lvl>
  </w:abstractNum>
  <w:abstractNum w:abstractNumId="1">
    <w:nsid w:val="A6914E23"/>
    <w:multiLevelType w:val="singleLevel"/>
    <w:tmpl w:val="A6914E23"/>
    <w:lvl w:ilvl="0" w:tentative="0">
      <w:start w:val="1"/>
      <w:numFmt w:val="decimal"/>
      <w:suff w:val="space"/>
      <w:lvlText w:val="(%1)"/>
      <w:lvlJc w:val="left"/>
    </w:lvl>
  </w:abstractNum>
  <w:abstractNum w:abstractNumId="2">
    <w:nsid w:val="A8DCD1A1"/>
    <w:multiLevelType w:val="singleLevel"/>
    <w:tmpl w:val="A8DCD1A1"/>
    <w:lvl w:ilvl="0" w:tentative="0">
      <w:start w:val="1"/>
      <w:numFmt w:val="decimal"/>
      <w:suff w:val="space"/>
      <w:lvlText w:val="(%1)"/>
      <w:lvlJc w:val="left"/>
    </w:lvl>
  </w:abstractNum>
  <w:abstractNum w:abstractNumId="3">
    <w:nsid w:val="DD7C3A55"/>
    <w:multiLevelType w:val="singleLevel"/>
    <w:tmpl w:val="DD7C3A55"/>
    <w:lvl w:ilvl="0" w:tentative="0">
      <w:start w:val="1"/>
      <w:numFmt w:val="decimal"/>
      <w:suff w:val="space"/>
      <w:lvlText w:val="(%1)"/>
      <w:lvlJc w:val="left"/>
    </w:lvl>
  </w:abstractNum>
  <w:abstractNum w:abstractNumId="4">
    <w:nsid w:val="2E7D161C"/>
    <w:multiLevelType w:val="singleLevel"/>
    <w:tmpl w:val="2E7D161C"/>
    <w:lvl w:ilvl="0" w:tentative="0">
      <w:start w:val="1"/>
      <w:numFmt w:val="decimal"/>
      <w:suff w:val="space"/>
      <w:lvlText w:val="(%1)"/>
      <w:lvlJc w:val="left"/>
    </w:lvl>
  </w:abstractNum>
  <w:abstractNum w:abstractNumId="5">
    <w:nsid w:val="4A24749B"/>
    <w:multiLevelType w:val="singleLevel"/>
    <w:tmpl w:val="4A24749B"/>
    <w:lvl w:ilvl="0" w:tentative="0">
      <w:start w:val="2"/>
      <w:numFmt w:val="decimal"/>
      <w:lvlText w:val="(%1)"/>
      <w:lvlJc w:val="left"/>
      <w:pPr>
        <w:tabs>
          <w:tab w:val="left" w:pos="312"/>
        </w:tabs>
      </w:pPr>
    </w:lvl>
  </w:abstractNum>
  <w:abstractNum w:abstractNumId="6">
    <w:nsid w:val="520AE86E"/>
    <w:multiLevelType w:val="singleLevel"/>
    <w:tmpl w:val="520AE86E"/>
    <w:lvl w:ilvl="0" w:tentative="0">
      <w:start w:val="1"/>
      <w:numFmt w:val="decimal"/>
      <w:suff w:val="space"/>
      <w:lvlText w:val="(%1)"/>
      <w:lvlJc w:val="left"/>
    </w:lvl>
  </w:abstractNum>
  <w:abstractNum w:abstractNumId="7">
    <w:nsid w:val="68CA041D"/>
    <w:multiLevelType w:val="singleLevel"/>
    <w:tmpl w:val="68CA041D"/>
    <w:lvl w:ilvl="0" w:tentative="0">
      <w:start w:val="1"/>
      <w:numFmt w:val="decimal"/>
      <w:suff w:val="space"/>
      <w:lvlText w:val="(%1)"/>
      <w:lvlJc w:val="left"/>
    </w:lvl>
  </w:abstractNum>
  <w:num w:numId="1">
    <w:abstractNumId w:val="5"/>
  </w:num>
  <w:num w:numId="2">
    <w:abstractNumId w:val="6"/>
  </w:num>
  <w:num w:numId="3">
    <w:abstractNumId w:val="2"/>
  </w:num>
  <w:num w:numId="4">
    <w:abstractNumId w:val="1"/>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E1D2C"/>
    <w:rsid w:val="05564406"/>
    <w:rsid w:val="097865C4"/>
    <w:rsid w:val="1D862CA8"/>
    <w:rsid w:val="1FD7404C"/>
    <w:rsid w:val="305504A8"/>
    <w:rsid w:val="6766208E"/>
    <w:rsid w:val="679E1D2C"/>
    <w:rsid w:val="7FEB4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946</Words>
  <Characters>6154</Characters>
  <Lines>0</Lines>
  <Paragraphs>0</Paragraphs>
  <TotalTime>1</TotalTime>
  <ScaleCrop>false</ScaleCrop>
  <LinksUpToDate>false</LinksUpToDate>
  <CharactersWithSpaces>7023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2025-05-29T05:46:00Z</dcterms:created>
  <dc:creator>褚瑞！</dc:creator>
  <cp:lastModifiedBy>褚瑞！</cp:lastModifiedBy>
  <dcterms:modified xsi:type="dcterms:W3CDTF">2026-07-28T10:30:33Z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F183FA603E014BC4A9EE9C4FDEAE24A0_13</vt:lpwstr>
  </property>
  <property fmtid="{D5CDD505-2E9C-101B-9397-08002B2CF9AE}" pid="4" name="KSOTemplateDocerSaveRecord">
    <vt:lpwstr>eyJoZGlkIjoiOGRmZjY2YjhmN2Y1MmM2MGFiYTUwZjQ3ODhhZjI5MGIiLCJ1c2VySWQiOiIxNjY1MzA3NDMwIn0=</vt:lpwstr>
  </property>
</Properties>
</file>