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A00" w:rsidRPr="000978EE" w:rsidRDefault="00705A00" w:rsidP="00705A00">
      <w:pPr>
        <w:tabs>
          <w:tab w:val="left" w:pos="270"/>
        </w:tabs>
        <w:spacing w:before="60" w:after="60" w:line="240" w:lineRule="auto"/>
        <w:jc w:val="both"/>
        <w:rPr>
          <w:rFonts w:ascii="Times New Roman" w:hAnsi="Times New Roman"/>
          <w:b/>
          <w:sz w:val="20"/>
          <w:szCs w:val="24"/>
        </w:rPr>
      </w:pPr>
      <w:r w:rsidRPr="000978EE">
        <w:rPr>
          <w:rFonts w:ascii="Times New Roman" w:hAnsi="Times New Roman"/>
          <w:b/>
          <w:sz w:val="20"/>
          <w:szCs w:val="24"/>
        </w:rPr>
        <w:t>Table A.1</w:t>
      </w:r>
    </w:p>
    <w:p w:rsidR="00705A00" w:rsidRPr="000978EE" w:rsidRDefault="00705A00" w:rsidP="00705A00">
      <w:pPr>
        <w:spacing w:before="60" w:after="60" w:line="240" w:lineRule="auto"/>
        <w:rPr>
          <w:rFonts w:ascii="Times New Roman" w:hAnsi="Times New Roman"/>
          <w:sz w:val="20"/>
          <w:szCs w:val="24"/>
        </w:rPr>
      </w:pPr>
      <w:r w:rsidRPr="000978EE">
        <w:rPr>
          <w:rFonts w:ascii="Times New Roman" w:hAnsi="Times New Roman"/>
          <w:sz w:val="20"/>
          <w:szCs w:val="24"/>
        </w:rPr>
        <w:t>Summary of empirical research on the EKC in Vietnam.</w:t>
      </w:r>
    </w:p>
    <w:tbl>
      <w:tblPr>
        <w:tblStyle w:val="TableGrid"/>
        <w:tblpPr w:leftFromText="180" w:rightFromText="180" w:vertAnchor="page" w:horzAnchor="margin" w:tblpY="2208"/>
        <w:tblW w:w="918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053"/>
        <w:gridCol w:w="2127"/>
        <w:gridCol w:w="870"/>
        <w:gridCol w:w="2012"/>
        <w:gridCol w:w="1847"/>
      </w:tblGrid>
      <w:tr w:rsidR="00705A00" w:rsidRPr="000978EE" w:rsidTr="00944397">
        <w:tc>
          <w:tcPr>
            <w:tcW w:w="1271" w:type="dxa"/>
            <w:tcBorders>
              <w:top w:val="single" w:sz="4" w:space="0" w:color="auto"/>
              <w:bottom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Author(s)</w:t>
            </w:r>
          </w:p>
        </w:tc>
        <w:tc>
          <w:tcPr>
            <w:tcW w:w="1053" w:type="dxa"/>
            <w:tcBorders>
              <w:top w:val="single" w:sz="4" w:space="0" w:color="auto"/>
              <w:bottom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Pollution indicator</w:t>
            </w:r>
          </w:p>
        </w:tc>
        <w:tc>
          <w:tcPr>
            <w:tcW w:w="2127" w:type="dxa"/>
            <w:tcBorders>
              <w:top w:val="single" w:sz="4" w:space="0" w:color="auto"/>
              <w:bottom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Independent variables</w:t>
            </w:r>
          </w:p>
        </w:tc>
        <w:tc>
          <w:tcPr>
            <w:tcW w:w="870" w:type="dxa"/>
            <w:tcBorders>
              <w:top w:val="single" w:sz="4" w:space="0" w:color="auto"/>
              <w:bottom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Period</w:t>
            </w:r>
          </w:p>
        </w:tc>
        <w:tc>
          <w:tcPr>
            <w:tcW w:w="2012" w:type="dxa"/>
            <w:tcBorders>
              <w:top w:val="single" w:sz="4" w:space="0" w:color="auto"/>
              <w:bottom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Method</w:t>
            </w:r>
          </w:p>
        </w:tc>
        <w:tc>
          <w:tcPr>
            <w:tcW w:w="1847" w:type="dxa"/>
            <w:tcBorders>
              <w:top w:val="single" w:sz="4" w:space="0" w:color="auto"/>
              <w:bottom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Income-environment nexus</w:t>
            </w:r>
          </w:p>
        </w:tc>
      </w:tr>
      <w:tr w:rsidR="00705A00" w:rsidRPr="000978EE" w:rsidTr="00944397">
        <w:tc>
          <w:tcPr>
            <w:tcW w:w="1271" w:type="dxa"/>
            <w:tcBorders>
              <w:top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{"citationItems":[{"id":"ITEM-1","itemData":{"DOI":"10.1016/j.enpol.2014.11.019","ISSN":"03014215","abstract":"This study investigates the existence of the environmental Kuznets curve (EKC) hypothesis in Vietnam during the period 1981-2011. To realize the goals of this study, a pollution model was established applying the Autoregressive Distributed Lag (ARDL) methodology. The results revealed that the pollution haven hypothesis does exist in Vietnam because capital increases pollution. In addition, imports also increase pollution which indicates that most of Vietnam's imported products are energy intensive and highly polluted. However, exports have no effect on pollution which indicates that the level of exports is not significant enough to affect pollution. Moreover, fossil fuel energy consumption increases pollution while renewable energy consumption has no significant effect in reducing pollution. Furthermore, labor force reduces pollution since most of Vietnam's labor force is in the agricultural and services sectors which are less energy intensive than the industrial sector. Based on the obtained results, the EKC hypothesis does not exist because the relationship between GDP and pollution is positive in both the short and long run.","author":[{"dropping-particle":"","family":"Al-Mulali","given":"Usama","non-dropping-particle":"","parse-names":false,"suffix":""},{"dropping-particle":"","family":"Saboori","given":"Behnaz","non-dropping-particle":"","parse-names":false,"suffix":""},{"dropping-particle":"","family":"Ozturk","given":"Ilhan","non-dropping-particle":"","parse-names":false,"suffix":""}],"container-title":"Energy Policy","id":"ITEM-1","issued":{"date-parts":[["2015"]]},"page":"123-131","publisher":"Elsevier","title":"Investigating the environmental Kuznets curve hypothesis in Vietnam","type":"article-journal","volume":"76"},"uris":["http://www.mendeley.com/documents/?uuid=fb2ba730-a7ea-4348-a7dd-8cace91b616e"]}],"mendeley":{"formattedCitation":"(Al-Mulali et al., 2015)","manualFormatting":"Al-Mulali et al. (2015)","plainTextFormattedCitation":"(Al-Mulali et al., 2015)","previouslyFormattedCitation":"(Al-Mulali et al., 2015)"},"properties":{"noteIndex":0},"schema":"https://github.com/citation-style-language/schema/raw/master/csl-citation.json"}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Al-Mulali et al. (2015)</w:t>
            </w:r>
            <w:r w:rsidRPr="000978EE">
              <w:rPr>
                <w:rFonts w:ascii="Times New Roman" w:hAnsi="Times New Roman"/>
                <w:sz w:val="20"/>
                <w:szCs w:val="24"/>
              </w:rPr>
              <w:fldChar w:fldCharType="end"/>
            </w:r>
          </w:p>
        </w:tc>
        <w:tc>
          <w:tcPr>
            <w:tcW w:w="1053" w:type="dxa"/>
            <w:tcBorders>
              <w:top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Carbon dioxide emissions</w:t>
            </w:r>
          </w:p>
        </w:tc>
        <w:tc>
          <w:tcPr>
            <w:tcW w:w="2127" w:type="dxa"/>
            <w:tcBorders>
              <w:top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 xml:space="preserve">GDP, capital, labor force, export, import, and  fossil fuel consumption/renewable energy consumption </w:t>
            </w:r>
          </w:p>
        </w:tc>
        <w:tc>
          <w:tcPr>
            <w:tcW w:w="870" w:type="dxa"/>
            <w:tcBorders>
              <w:top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1981–2011</w:t>
            </w:r>
          </w:p>
        </w:tc>
        <w:tc>
          <w:tcPr>
            <w:tcW w:w="2012" w:type="dxa"/>
            <w:tcBorders>
              <w:top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ARDL approach</w:t>
            </w:r>
          </w:p>
        </w:tc>
        <w:tc>
          <w:tcPr>
            <w:tcW w:w="1847" w:type="dxa"/>
            <w:tcBorders>
              <w:top w:val="single" w:sz="4"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Linear</w:t>
            </w:r>
          </w:p>
        </w:tc>
      </w:tr>
      <w:tr w:rsidR="00705A00" w:rsidRPr="000978EE" w:rsidTr="00944397">
        <w:tc>
          <w:tcPr>
            <w:tcW w:w="1271"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10.1007/s11356-020-10996-6","author":[{"dropping-particle":"","family":"Ali","given":"Kishwar","non-dropping-particle":"","parse-names":false,"suffix":""},{"dropping-particle":"","family":"Bakhsh","given":"Satar","non-dropping-particle":"","parse-names":false,"suffix":""},{"dropping-particle":"","family":"Ullah","given":"Saif","non-dropping-particle":"","parse-names":false,"suffix":""},{"dropping-particle":"","family":"Ullah","given":"Atta","non-dropping-particle":"","parse-names":false,"suffix":""},{"dropping-particle":"","family":"Ullah","given":"Sami","non-dropping-particle":"","parse-names":false,"suffix":""}],"container-title":"Environmental Science and Pollution Research","id":"ITEM-1","issued":{"date-parts":[["2020"]]},"page":"7515–7527","publisher":"Environmental Science and Pollution Research","title":"Industrial growth and CO2 emissions in Vietnam: The key role of financial development and fossil fuel consumption","type":"article-journal","volume":"28"},"uris":["http://www.mendeley.com/documents/?uuid=bb7b2fb0-5229-47b9-825c-234bbe365ef2"]}],"mendeley":{"formattedCitation":"(Ali et al., 2020)","manualFormatting":"Ali et al. (2020)","plainTextFormattedCitation":"(Ali et al., 2020)","previouslyFormattedCitation":"(Ali et al., 2020)"},"properties":{"noteIndex":0},"schema":"https://github.com/citation-style-language/schema/raw/master/csl-citation.json"}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Ali et al. (2020)</w:t>
            </w:r>
            <w:r w:rsidRPr="000978EE">
              <w:rPr>
                <w:rFonts w:ascii="Times New Roman" w:hAnsi="Times New Roman"/>
                <w:sz w:val="20"/>
                <w:szCs w:val="24"/>
              </w:rPr>
              <w:fldChar w:fldCharType="end"/>
            </w:r>
          </w:p>
        </w:tc>
        <w:tc>
          <w:tcPr>
            <w:tcW w:w="1053"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Carbon dioxide emissions</w:t>
            </w:r>
          </w:p>
        </w:tc>
        <w:tc>
          <w:tcPr>
            <w:tcW w:w="21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Industrial growth,  Industrial growth squared, fossil fuel consumption, and financial development</w:t>
            </w:r>
          </w:p>
        </w:tc>
        <w:tc>
          <w:tcPr>
            <w:tcW w:w="87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1970-2019</w:t>
            </w:r>
          </w:p>
        </w:tc>
        <w:tc>
          <w:tcPr>
            <w:tcW w:w="201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Bayer-Hanck cointegration test, ARDL approach,  Granger causality test</w:t>
            </w:r>
          </w:p>
        </w:tc>
        <w:tc>
          <w:tcPr>
            <w:tcW w:w="184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 xml:space="preserve">U-shaped </w:t>
            </w:r>
          </w:p>
        </w:tc>
      </w:tr>
      <w:tr w:rsidR="00705A00" w:rsidRPr="000978EE" w:rsidTr="00944397">
        <w:tc>
          <w:tcPr>
            <w:tcW w:w="1271"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{"citationItems":[{"id":"ITEM-1","itemData":{"author":[{"dropping-particle":"","family":"Linh","given":"Dinh Hong","non-dropping-particle":"","parse-names":false,"suffix":""},{"dropping-particle":"","family":"Lin","given":"Shih-Mo","non-dropping-particle":"","parse-names":false,"suffix":""}],"container-title":"Managing Global Transitions: International Research Journal","id":"ITEM-1","issue":"3","issued":{"date-parts":[["2014"]]},"page":"219–232","title":"CO2 emissions, energy consumption, economic growth and FDI in Vietnam","type":"article-journal","volume":"12"},"uris":["http://www.mendeley.com/documents/?uuid=5e28fe02-0423-4e42-9565-a3c97df2e03b"]}],"mendeley":{"formattedCitation":"(Linh &amp; Lin, 2014)","manualFormatting":"Linh and Lin, (2014)","plainTextFormattedCitation":"(Linh &amp; Lin, 2014)","previouslyFormattedCitation":"(Linh &amp; Lin, 2014)"},"properties":{"noteIndex":0},"schema":"https://github.com/citation-style-language/schema/raw/master/csl-citation.json"}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Linh and Lin (2014)</w:t>
            </w:r>
            <w:r w:rsidRPr="000978EE">
              <w:rPr>
                <w:rFonts w:ascii="Times New Roman" w:hAnsi="Times New Roman"/>
                <w:sz w:val="20"/>
                <w:szCs w:val="24"/>
              </w:rPr>
              <w:fldChar w:fldCharType="end"/>
            </w:r>
          </w:p>
        </w:tc>
        <w:tc>
          <w:tcPr>
            <w:tcW w:w="1053"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Carbon dioxide emissions</w:t>
            </w:r>
          </w:p>
        </w:tc>
        <w:tc>
          <w:tcPr>
            <w:tcW w:w="21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GDP, GDP squared, energy consumption, and direct foreign investment</w:t>
            </w:r>
          </w:p>
        </w:tc>
        <w:tc>
          <w:tcPr>
            <w:tcW w:w="87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1980-2010</w:t>
            </w:r>
          </w:p>
        </w:tc>
        <w:tc>
          <w:tcPr>
            <w:tcW w:w="201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Johansen cointegration Test, Vector error- correction model (VECM)</w:t>
            </w:r>
          </w:p>
        </w:tc>
        <w:tc>
          <w:tcPr>
            <w:tcW w:w="184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Insignificant</w:t>
            </w:r>
          </w:p>
        </w:tc>
      </w:tr>
      <w:tr w:rsidR="00705A00" w:rsidRPr="000978EE" w:rsidTr="00944397">
        <w:tc>
          <w:tcPr>
            <w:tcW w:w="1271"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{"citationItems":[{"id":"ITEM-1","itemData":{"DOI":"10.1016/j.ememar.2018.12.006","ISSN":"18736173","abstract":"Based on a sample of 1974–2016 annual data of Vietnam, we show that the EKC does not exist in the short run but only in the long run. However, the N-shape describes better the long-run income-pollution relationship. This implies that Vietnam can expect a temporary reduction in CO2 emissions at a given stage of economic growth. However, this will be followed by a further increase of CO2 emissions after reaching another income turning point. The Vietnamese government should thus focus on long-term economic and environmental strategies. A robustness check shows that these results are not impacted by the variables’ selection.","author":[{"dropping-particle":"","family":"Shahbaz","given":"Muhammad","non-dropping-particle":"","parse-names":false,"suffix":""},{"dropping-particle":"","family":"Haouas","given":"Ilham","non-dropping-particle":"","parse-names":false,"suffix":""},{"dropping-particle":"Van","family":"Hoang","given":"Thi Hong","non-dropping-particle":"","parse-names":false,"suffix":""}],"container-title":"Emerging Markets Review","id":"ITEM-1","issued":{"date-parts":[["2019"]]},"page":"197-218","publisher":"Elsevier","title":"Economic growth and environmental degradation in Vietnam: Is the environmental Kuznets curve a complete picture?","type":"article-journal","volume":"38"},"uris":["http://www.mendeley.com/documents/?uuid=39d07903-db47-45de-8e99-d57d7bdeb919"]}],"mendeley":{"formattedCitation":"(Shahbaz et al., 2019)","manualFormatting":"Shahbaz et al., (2019)","plainTextFormattedCitation":"(Shahbaz et al., 2019)","previouslyFormattedCitation":"(Shahbaz et al., 2019)"},"properties":{"noteIndex":0},"schema":"https://github.com/citation-style-language/schema/raw/master/csl-citation.json"}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Shahbaz et al. (2019)</w:t>
            </w:r>
            <w:r w:rsidRPr="000978EE">
              <w:rPr>
                <w:rFonts w:ascii="Times New Roman" w:hAnsi="Times New Roman"/>
                <w:sz w:val="20"/>
                <w:szCs w:val="24"/>
              </w:rPr>
              <w:fldChar w:fldCharType="end"/>
            </w:r>
          </w:p>
        </w:tc>
        <w:tc>
          <w:tcPr>
            <w:tcW w:w="1053"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Carbon dioxide emissions</w:t>
            </w:r>
          </w:p>
        </w:tc>
        <w:tc>
          <w:tcPr>
            <w:tcW w:w="21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GDP, GDP squared, GDP cubic, energy consumption, industry and agriculture value added, direct foreign investment, and urbanization</w:t>
            </w:r>
          </w:p>
        </w:tc>
        <w:tc>
          <w:tcPr>
            <w:tcW w:w="87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 xml:space="preserve">1974–2016 </w:t>
            </w:r>
          </w:p>
        </w:tc>
        <w:tc>
          <w:tcPr>
            <w:tcW w:w="201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ARDL approach, Granger causality test</w:t>
            </w:r>
          </w:p>
        </w:tc>
        <w:tc>
          <w:tcPr>
            <w:tcW w:w="184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Both inverted U-shaped and N-shaped</w:t>
            </w:r>
          </w:p>
        </w:tc>
      </w:tr>
      <w:tr w:rsidR="00705A00" w:rsidRPr="000978EE" w:rsidTr="00944397">
        <w:tc>
          <w:tcPr>
            <w:tcW w:w="1271"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{"citationItems":[{"id":"ITEM-1","itemData":{"DOI":"10.1016/j.energy.2014.11.033","ISSN":"0360-5442","author":[{"dropping-particle":"","family":"Tang","given":"Chor Foon","non-dropping-particle":"","parse-names":false,"suffix":""},{"dropping-particle":"","family":"Tan","given":"Bee Wah","non-dropping-particle":"","parse-names":false,"suffix":""}],"container-title":"Energy","id":"ITEM-1","issued":{"date-parts":[["2015"]]},"page":"447-454","publisher":"Elsevier Ltd","title":"The impact of energy consumption, income and foreign direct investment on carbon dioxide emissions in Vietnam","type":"article-journal","volume":"79"},"uris":["http://www.mendeley.com/documents/?uuid=ab7ff140-e079-40ef-ac3e-6ac06b377271"]}],"mendeley":{"formattedCitation":"(Tang &amp; Tan, 2015)","manualFormatting":"Tang and Tan (2015)","plainTextFormattedCitation":"(Tang &amp; Tan, 2015)","previouslyFormattedCitation":"(Tang &amp; Tan, 2015)"},"properties":{"noteIndex":0},"schema":"https://github.com/citation-style-language/schema/raw/master/csl-citation.json"}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Tang and Tan (2015)</w:t>
            </w:r>
            <w:r w:rsidRPr="000978EE">
              <w:rPr>
                <w:rFonts w:ascii="Times New Roman" w:hAnsi="Times New Roman"/>
                <w:sz w:val="20"/>
                <w:szCs w:val="24"/>
              </w:rPr>
              <w:fldChar w:fldCharType="end"/>
            </w:r>
          </w:p>
        </w:tc>
        <w:tc>
          <w:tcPr>
            <w:tcW w:w="1053"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Carbon dioxide emissions</w:t>
            </w:r>
          </w:p>
        </w:tc>
        <w:tc>
          <w:tcPr>
            <w:tcW w:w="21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GDP, GDP squared, energy consumption, and direct foreign investment</w:t>
            </w:r>
          </w:p>
        </w:tc>
        <w:tc>
          <w:tcPr>
            <w:tcW w:w="87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1976-2009</w:t>
            </w:r>
          </w:p>
        </w:tc>
        <w:tc>
          <w:tcPr>
            <w:tcW w:w="201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Johansen cointegration test, Vector error- correction model (VECM)</w:t>
            </w:r>
          </w:p>
        </w:tc>
        <w:tc>
          <w:tcPr>
            <w:tcW w:w="184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Inverted U-shaped</w:t>
            </w:r>
          </w:p>
        </w:tc>
      </w:tr>
      <w:tr w:rsidR="00705A00" w:rsidRPr="000978EE" w:rsidTr="00944397">
        <w:tc>
          <w:tcPr>
            <w:tcW w:w="1271"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{"citationItems":[{"id":"ITEM-1","itemData":{"DOI":"10.1007/s11356-021-12838-5","ISSN":"16147499","abstract":"Vietnam has achieved impressive economic growth principally supported by foreign direct investment (FDI) in the last three decades. However, environmental deterioration is observed. No studies have ever been conducted to examine the link between economic growth and environmental degradation, focusing on the important role of the FDI, in Vietnam in both short run and long run. Using the ARDL and the threshold regression techniques for 35 years from 1986, Vietnam’s “Doi Moi” (economic renovation), the U-shaped relationship between economic growth and the environmental quality is found in the long run and at the upper threshold of economic growth. FDI in the long run and at the upper threshold of economic growth also leads to further deterioration of the environmental quality. Also, consumption of fossil fuel energy deteriorates the environment in the long run, and at any level of economic growth. These findings simply mean that Vietnam has to adopt a new growth model with the focus on the quality FDI projects and clean energy sources to achieve the dual objectives: (i) sustained economic growth and (ii) improved environmental quality.","author":[{"dropping-particle":"","family":"Vo","given":"Duc Hong","non-dropping-particle":"","parse-names":false,"suffix":""},{"dropping-particle":"","family":"Ho","given":"Chi Minh","non-dropping-particle":"","parse-names":false,"suffix":""}],"container-title":"Environmental Science and Pollution Research","id":"ITEM-1","issued":{"date-parts":[["2021"]]},"publisher":"Environmental Science and Pollution Research","title":"Foreign investment, economic growth, and environmental degradation since the 1986 “Economic Renovation” in Vietnam","type":"article-journal"},"uris":["http://www.mendeley.com/documents/?uuid=9a6de4dc-2396-42e6-8d08-f3e1ea34dd17"]}],"mendeley":{"formattedCitation":"(Vo &amp; Ho, 2021)","manualFormatting":"Vo and Ho (2021)","plainTextFormattedCitation":"(Vo &amp; Ho, 2021)","previouslyFormattedCitation":"(Vo &amp; Ho, 2021)"},"properties":{"noteIndex":0},"schema":"https://github.com/citation-style-language/schema/raw/master/csl-citation.json"}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Vo and Ho (2021)</w:t>
            </w:r>
            <w:r w:rsidRPr="000978EE">
              <w:rPr>
                <w:rFonts w:ascii="Times New Roman" w:hAnsi="Times New Roman"/>
                <w:sz w:val="20"/>
                <w:szCs w:val="24"/>
              </w:rPr>
              <w:fldChar w:fldCharType="end"/>
            </w:r>
          </w:p>
        </w:tc>
        <w:tc>
          <w:tcPr>
            <w:tcW w:w="1053"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Carbon dioxide emissions</w:t>
            </w:r>
          </w:p>
        </w:tc>
        <w:tc>
          <w:tcPr>
            <w:tcW w:w="21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GDP, GDP squared, fossil fuel consumption, renewable energy consumption, and direct foreign investment</w:t>
            </w:r>
          </w:p>
        </w:tc>
        <w:tc>
          <w:tcPr>
            <w:tcW w:w="87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1986-2018</w:t>
            </w:r>
          </w:p>
        </w:tc>
        <w:tc>
          <w:tcPr>
            <w:tcW w:w="201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ARDL approach, Threshold regression techniques, Granger causality test</w:t>
            </w:r>
          </w:p>
        </w:tc>
        <w:tc>
          <w:tcPr>
            <w:tcW w:w="184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U-shaped</w:t>
            </w:r>
          </w:p>
        </w:tc>
      </w:tr>
    </w:tbl>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spacing w:before="60" w:after="60" w:line="240" w:lineRule="auto"/>
        <w:rPr>
          <w:rFonts w:ascii="Times New Roman" w:hAnsi="Times New Roman"/>
          <w:sz w:val="20"/>
          <w:szCs w:val="24"/>
        </w:rPr>
      </w:pPr>
      <w:r w:rsidRPr="000978EE">
        <w:rPr>
          <w:rFonts w:ascii="Times New Roman" w:hAnsi="Times New Roman"/>
          <w:b/>
          <w:sz w:val="20"/>
          <w:szCs w:val="24"/>
        </w:rPr>
        <w:lastRenderedPageBreak/>
        <w:t>Table A.2</w:t>
      </w:r>
      <w:r w:rsidRPr="000978EE">
        <w:rPr>
          <w:rFonts w:ascii="Times New Roman" w:hAnsi="Times New Roman"/>
          <w:sz w:val="20"/>
          <w:szCs w:val="24"/>
        </w:rPr>
        <w:t xml:space="preserve"> </w:t>
      </w:r>
    </w:p>
    <w:p w:rsidR="00705A00" w:rsidRPr="000978EE" w:rsidRDefault="00705A00" w:rsidP="00705A00">
      <w:pPr>
        <w:spacing w:before="60" w:after="60" w:line="240" w:lineRule="auto"/>
        <w:rPr>
          <w:rFonts w:ascii="Times New Roman" w:hAnsi="Times New Roman"/>
          <w:sz w:val="20"/>
          <w:szCs w:val="24"/>
        </w:rPr>
      </w:pPr>
      <w:r w:rsidRPr="000978EE">
        <w:rPr>
          <w:rFonts w:ascii="Times New Roman" w:hAnsi="Times New Roman"/>
          <w:sz w:val="20"/>
          <w:szCs w:val="24"/>
        </w:rPr>
        <w:t>Data sources.</w:t>
      </w:r>
    </w:p>
    <w:tbl>
      <w:tblPr>
        <w:tblStyle w:val="TableGrid"/>
        <w:tblW w:w="927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975"/>
        <w:gridCol w:w="2085"/>
        <w:gridCol w:w="3527"/>
        <w:gridCol w:w="2692"/>
      </w:tblGrid>
      <w:tr w:rsidR="00705A00" w:rsidRPr="000978EE" w:rsidTr="00944397">
        <w:tc>
          <w:tcPr>
            <w:tcW w:w="975" w:type="dxa"/>
            <w:tcBorders>
              <w:top w:val="single" w:sz="6" w:space="0" w:color="auto"/>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Variable</w:t>
            </w:r>
          </w:p>
        </w:tc>
        <w:tc>
          <w:tcPr>
            <w:tcW w:w="2085" w:type="dxa"/>
            <w:tcBorders>
              <w:top w:val="single" w:sz="6" w:space="0" w:color="auto"/>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Description</w:t>
            </w:r>
          </w:p>
        </w:tc>
        <w:tc>
          <w:tcPr>
            <w:tcW w:w="3527" w:type="dxa"/>
            <w:tcBorders>
              <w:top w:val="single" w:sz="6" w:space="0" w:color="auto"/>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Details</w:t>
            </w:r>
          </w:p>
        </w:tc>
        <w:tc>
          <w:tcPr>
            <w:tcW w:w="2692" w:type="dxa"/>
            <w:tcBorders>
              <w:top w:val="single" w:sz="6" w:space="0" w:color="auto"/>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Source</w:t>
            </w:r>
          </w:p>
        </w:tc>
      </w:tr>
      <w:tr w:rsidR="00705A00" w:rsidRPr="000978EE" w:rsidTr="00944397">
        <w:tc>
          <w:tcPr>
            <w:tcW w:w="975" w:type="dxa"/>
            <w:tcBorders>
              <w:top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COAL</w:t>
            </w:r>
          </w:p>
        </w:tc>
        <w:tc>
          <w:tcPr>
            <w:tcW w:w="2085" w:type="dxa"/>
            <w:tcBorders>
              <w:top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 xml:space="preserve">Coal consumption </w:t>
            </w:r>
          </w:p>
        </w:tc>
        <w:tc>
          <w:tcPr>
            <w:tcW w:w="3527" w:type="dxa"/>
            <w:tcBorders>
              <w:top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Per capita coal consumption in gigajoules</w:t>
            </w:r>
          </w:p>
        </w:tc>
        <w:tc>
          <w:tcPr>
            <w:tcW w:w="2692" w:type="dxa"/>
            <w:tcBorders>
              <w:top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BP Statistical Review of World Energy</w:t>
            </w:r>
          </w:p>
        </w:tc>
      </w:tr>
      <w:tr w:rsidR="00705A00" w:rsidRPr="000978EE" w:rsidTr="00944397">
        <w:tc>
          <w:tcPr>
            <w:tcW w:w="975"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GDP</w:t>
            </w:r>
          </w:p>
        </w:tc>
        <w:tc>
          <w:tcPr>
            <w:tcW w:w="2085"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Gross Domestic Products</w:t>
            </w:r>
          </w:p>
        </w:tc>
        <w:tc>
          <w:tcPr>
            <w:tcW w:w="35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Per capita GDP in US dollars (constant 2010)</w:t>
            </w:r>
          </w:p>
        </w:tc>
        <w:tc>
          <w:tcPr>
            <w:tcW w:w="269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World Development Indicators</w:t>
            </w:r>
          </w:p>
        </w:tc>
      </w:tr>
      <w:tr w:rsidR="00705A00" w:rsidRPr="000978EE" w:rsidTr="00944397">
        <w:tc>
          <w:tcPr>
            <w:tcW w:w="975"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GDP</w:t>
            </w:r>
            <w:r w:rsidRPr="000978EE">
              <w:rPr>
                <w:rFonts w:ascii="Times New Roman" w:hAnsi="Times New Roman"/>
                <w:sz w:val="20"/>
                <w:szCs w:val="24"/>
                <w:vertAlign w:val="superscript"/>
              </w:rPr>
              <w:t>2</w:t>
            </w:r>
          </w:p>
        </w:tc>
        <w:tc>
          <w:tcPr>
            <w:tcW w:w="2085"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Square of GDP</w:t>
            </w:r>
          </w:p>
        </w:tc>
        <w:tc>
          <w:tcPr>
            <w:tcW w:w="3527"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Square of per capita GDP in US dollars (constant 2010)</w:t>
            </w:r>
          </w:p>
        </w:tc>
        <w:tc>
          <w:tcPr>
            <w:tcW w:w="2692"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World Development Indicators</w:t>
            </w:r>
          </w:p>
        </w:tc>
      </w:tr>
      <w:tr w:rsidR="00705A00" w:rsidRPr="000978EE" w:rsidTr="00944397">
        <w:tc>
          <w:tcPr>
            <w:tcW w:w="975" w:type="dxa"/>
            <w:tcBorders>
              <w:bottom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REN</w:t>
            </w:r>
          </w:p>
        </w:tc>
        <w:tc>
          <w:tcPr>
            <w:tcW w:w="2085" w:type="dxa"/>
            <w:tcBorders>
              <w:bottom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Renewable energy consumption</w:t>
            </w:r>
          </w:p>
        </w:tc>
        <w:tc>
          <w:tcPr>
            <w:tcW w:w="3527" w:type="dxa"/>
            <w:tcBorders>
              <w:bottom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Its share in the primary energy consumption</w:t>
            </w:r>
          </w:p>
        </w:tc>
        <w:tc>
          <w:tcPr>
            <w:tcW w:w="2692" w:type="dxa"/>
            <w:tcBorders>
              <w:bottom w:val="nil"/>
            </w:tcBorders>
            <w:shd w:val="clear" w:color="auto" w:fill="auto"/>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BP Statistical Review of World Energy</w:t>
            </w:r>
          </w:p>
        </w:tc>
      </w:tr>
      <w:tr w:rsidR="00705A00" w:rsidRPr="000978EE" w:rsidTr="00944397">
        <w:tc>
          <w:tcPr>
            <w:tcW w:w="975" w:type="dxa"/>
            <w:tcBorders>
              <w:top w:val="nil"/>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OP</w:t>
            </w:r>
          </w:p>
        </w:tc>
        <w:tc>
          <w:tcPr>
            <w:tcW w:w="2085" w:type="dxa"/>
            <w:tcBorders>
              <w:top w:val="nil"/>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Oil prices</w:t>
            </w:r>
          </w:p>
        </w:tc>
        <w:tc>
          <w:tcPr>
            <w:tcW w:w="3527" w:type="dxa"/>
            <w:tcBorders>
              <w:top w:val="nil"/>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bookmarkStart w:id="0" w:name="OLE_LINK508"/>
            <w:bookmarkStart w:id="1" w:name="OLE_LINK509"/>
            <w:r w:rsidRPr="000978EE">
              <w:rPr>
                <w:rFonts w:ascii="Times New Roman" w:hAnsi="Times New Roman"/>
                <w:sz w:val="20"/>
                <w:szCs w:val="24"/>
              </w:rPr>
              <w:t xml:space="preserve">Crude oil prices in US dollars per barrel </w:t>
            </w:r>
            <w:bookmarkEnd w:id="0"/>
            <w:bookmarkEnd w:id="1"/>
            <w:r w:rsidRPr="000978EE">
              <w:rPr>
                <w:rFonts w:ascii="Times New Roman" w:hAnsi="Times New Roman"/>
                <w:sz w:val="20"/>
                <w:szCs w:val="24"/>
              </w:rPr>
              <w:t>(West Texas Intermediate)</w:t>
            </w:r>
          </w:p>
        </w:tc>
        <w:tc>
          <w:tcPr>
            <w:tcW w:w="2692" w:type="dxa"/>
            <w:tcBorders>
              <w:top w:val="nil"/>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BP Statistical Review of World Energy</w:t>
            </w:r>
          </w:p>
        </w:tc>
      </w:tr>
    </w:tbl>
    <w:p w:rsidR="00705A00" w:rsidRPr="000978EE" w:rsidRDefault="00705A00" w:rsidP="00705A00">
      <w:pPr>
        <w:spacing w:before="60" w:after="60" w:line="240" w:lineRule="auto"/>
        <w:rPr>
          <w:rFonts w:ascii="Times New Roman" w:hAnsi="Times New Roman"/>
          <w:b/>
          <w:sz w:val="20"/>
          <w:szCs w:val="24"/>
        </w:rPr>
      </w:pPr>
    </w:p>
    <w:p w:rsidR="00705A00" w:rsidRPr="000978EE" w:rsidRDefault="00705A00" w:rsidP="00705A00">
      <w:pPr>
        <w:spacing w:before="60" w:after="60" w:line="240" w:lineRule="auto"/>
        <w:rPr>
          <w:rFonts w:ascii="Times New Roman" w:hAnsi="Times New Roman"/>
          <w:b/>
          <w:sz w:val="20"/>
          <w:szCs w:val="24"/>
        </w:rPr>
      </w:pPr>
    </w:p>
    <w:p w:rsidR="00705A00" w:rsidRPr="000978EE" w:rsidRDefault="00705A00" w:rsidP="00705A00">
      <w:pPr>
        <w:spacing w:before="60" w:after="60" w:line="240" w:lineRule="auto"/>
        <w:rPr>
          <w:rFonts w:ascii="Times New Roman" w:hAnsi="Times New Roman"/>
          <w:b/>
          <w:sz w:val="20"/>
          <w:szCs w:val="24"/>
        </w:rPr>
      </w:pPr>
      <w:r w:rsidRPr="000978EE">
        <w:rPr>
          <w:rFonts w:ascii="Times New Roman" w:hAnsi="Times New Roman"/>
          <w:b/>
          <w:sz w:val="20"/>
          <w:szCs w:val="24"/>
        </w:rPr>
        <w:t>Table A.3</w:t>
      </w:r>
    </w:p>
    <w:p w:rsidR="00705A00" w:rsidRPr="000978EE" w:rsidRDefault="00705A00" w:rsidP="00705A00">
      <w:pPr>
        <w:spacing w:before="60" w:after="60" w:line="240" w:lineRule="auto"/>
        <w:rPr>
          <w:rFonts w:ascii="Times New Roman" w:hAnsi="Times New Roman"/>
          <w:sz w:val="20"/>
          <w:szCs w:val="24"/>
        </w:rPr>
      </w:pPr>
      <w:r w:rsidRPr="000978EE">
        <w:rPr>
          <w:rFonts w:ascii="Times New Roman" w:hAnsi="Times New Roman"/>
          <w:sz w:val="20"/>
          <w:szCs w:val="24"/>
        </w:rPr>
        <w:t>Summary statistics.</w:t>
      </w:r>
    </w:p>
    <w:tbl>
      <w:tblPr>
        <w:tblStyle w:val="TableGrid"/>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226"/>
        <w:gridCol w:w="1226"/>
        <w:gridCol w:w="1226"/>
        <w:gridCol w:w="1226"/>
        <w:gridCol w:w="1226"/>
      </w:tblGrid>
      <w:tr w:rsidR="00705A00" w:rsidRPr="000978EE" w:rsidTr="00944397">
        <w:trPr>
          <w:trHeight w:val="184"/>
        </w:trPr>
        <w:tc>
          <w:tcPr>
            <w:tcW w:w="1530" w:type="dxa"/>
            <w:tcBorders>
              <w:top w:val="single" w:sz="6" w:space="0" w:color="auto"/>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p>
        </w:tc>
        <w:tc>
          <w:tcPr>
            <w:tcW w:w="1226" w:type="dxa"/>
            <w:tcBorders>
              <w:top w:val="single" w:sz="6" w:space="0" w:color="auto"/>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COAL</w:t>
            </w:r>
          </w:p>
        </w:tc>
        <w:tc>
          <w:tcPr>
            <w:tcW w:w="1226" w:type="dxa"/>
            <w:tcBorders>
              <w:top w:val="single" w:sz="6" w:space="0" w:color="auto"/>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GDP</w:t>
            </w:r>
          </w:p>
        </w:tc>
        <w:tc>
          <w:tcPr>
            <w:tcW w:w="1226" w:type="dxa"/>
            <w:tcBorders>
              <w:top w:val="single" w:sz="6" w:space="0" w:color="auto"/>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GDP</w:t>
            </w:r>
            <w:r w:rsidRPr="000978EE">
              <w:rPr>
                <w:rFonts w:ascii="Times New Roman" w:hAnsi="Times New Roman"/>
                <w:sz w:val="20"/>
                <w:szCs w:val="24"/>
                <w:vertAlign w:val="superscript"/>
                <w:lang w:eastAsia="en-GB"/>
              </w:rPr>
              <w:t>2</w:t>
            </w:r>
          </w:p>
        </w:tc>
        <w:tc>
          <w:tcPr>
            <w:tcW w:w="1226" w:type="dxa"/>
            <w:tcBorders>
              <w:top w:val="single" w:sz="6" w:space="0" w:color="auto"/>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REN</w:t>
            </w:r>
          </w:p>
        </w:tc>
        <w:tc>
          <w:tcPr>
            <w:tcW w:w="1226" w:type="dxa"/>
            <w:tcBorders>
              <w:top w:val="single" w:sz="6" w:space="0" w:color="auto"/>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OP</w:t>
            </w:r>
          </w:p>
        </w:tc>
      </w:tr>
      <w:tr w:rsidR="00705A00" w:rsidRPr="000978EE" w:rsidTr="00944397">
        <w:trPr>
          <w:trHeight w:val="184"/>
        </w:trPr>
        <w:tc>
          <w:tcPr>
            <w:tcW w:w="1530" w:type="dxa"/>
            <w:tcBorders>
              <w:top w:val="single" w:sz="6" w:space="0" w:color="auto"/>
            </w:tcBorders>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Mean</w:t>
            </w:r>
          </w:p>
        </w:tc>
        <w:tc>
          <w:tcPr>
            <w:tcW w:w="1226" w:type="dxa"/>
            <w:tcBorders>
              <w:top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1.269</w:t>
            </w:r>
          </w:p>
        </w:tc>
        <w:tc>
          <w:tcPr>
            <w:tcW w:w="1226" w:type="dxa"/>
            <w:tcBorders>
              <w:top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6.724</w:t>
            </w:r>
          </w:p>
        </w:tc>
        <w:tc>
          <w:tcPr>
            <w:tcW w:w="1226" w:type="dxa"/>
            <w:tcBorders>
              <w:top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45.512</w:t>
            </w:r>
          </w:p>
        </w:tc>
        <w:tc>
          <w:tcPr>
            <w:tcW w:w="1226" w:type="dxa"/>
            <w:tcBorders>
              <w:top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2.792</w:t>
            </w:r>
          </w:p>
        </w:tc>
        <w:tc>
          <w:tcPr>
            <w:tcW w:w="1226" w:type="dxa"/>
            <w:tcBorders>
              <w:top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3.572</w:t>
            </w:r>
          </w:p>
        </w:tc>
      </w:tr>
      <w:tr w:rsidR="00705A00" w:rsidRPr="000978EE" w:rsidTr="00944397">
        <w:trPr>
          <w:trHeight w:val="184"/>
        </w:trPr>
        <w:tc>
          <w:tcPr>
            <w:tcW w:w="1530" w:type="dxa"/>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w:t>
            </w:r>
            <w:bookmarkStart w:id="2" w:name="OLE_LINK26"/>
            <w:r w:rsidRPr="000978EE">
              <w:rPr>
                <w:rFonts w:ascii="Times New Roman" w:hAnsi="Times New Roman"/>
                <w:sz w:val="20"/>
                <w:szCs w:val="24"/>
                <w:lang w:eastAsia="en-GB"/>
              </w:rPr>
              <w:t>Max.</w:t>
            </w:r>
            <w:bookmarkEnd w:id="2"/>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3.066</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7.641</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58.388</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3.185</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4.606</w:t>
            </w:r>
          </w:p>
        </w:tc>
      </w:tr>
      <w:tr w:rsidR="00705A00" w:rsidRPr="000978EE" w:rsidTr="00944397">
        <w:trPr>
          <w:trHeight w:val="184"/>
        </w:trPr>
        <w:tc>
          <w:tcPr>
            <w:tcW w:w="1530" w:type="dxa"/>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Min.</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0.188</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5.934</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35.208</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1.638</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2.666</w:t>
            </w:r>
          </w:p>
        </w:tc>
      </w:tr>
      <w:tr w:rsidR="00705A00" w:rsidRPr="000978EE" w:rsidTr="00944397">
        <w:trPr>
          <w:trHeight w:val="184"/>
        </w:trPr>
        <w:tc>
          <w:tcPr>
            <w:tcW w:w="1530" w:type="dxa"/>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Std. Dev.</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0.815</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0.550</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7.405</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0.425</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0.635</w:t>
            </w:r>
          </w:p>
        </w:tc>
      </w:tr>
      <w:tr w:rsidR="00705A00" w:rsidRPr="000978EE" w:rsidTr="00944397">
        <w:trPr>
          <w:trHeight w:val="184"/>
        </w:trPr>
        <w:tc>
          <w:tcPr>
            <w:tcW w:w="1530" w:type="dxa"/>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Skewness</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0.568</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0.030</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0.113</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-1.520</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0.283</w:t>
            </w:r>
          </w:p>
        </w:tc>
      </w:tr>
      <w:tr w:rsidR="00705A00" w:rsidRPr="000978EE" w:rsidTr="00944397">
        <w:trPr>
          <w:trHeight w:val="184"/>
        </w:trPr>
        <w:tc>
          <w:tcPr>
            <w:tcW w:w="1530" w:type="dxa"/>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Kurtosis</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2.169</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1.687</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1.713</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4.220</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1.642</w:t>
            </w:r>
          </w:p>
        </w:tc>
      </w:tr>
      <w:tr w:rsidR="00705A00" w:rsidRPr="000978EE" w:rsidTr="00944397">
        <w:trPr>
          <w:trHeight w:val="184"/>
        </w:trPr>
        <w:tc>
          <w:tcPr>
            <w:tcW w:w="1530" w:type="dxa"/>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Jarque-Bera</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2.973</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2.593</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2.561</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16.100</w:t>
            </w:r>
            <w:r w:rsidRPr="000978EE">
              <w:rPr>
                <w:rFonts w:ascii="Times New Roman" w:hAnsi="Times New Roman"/>
                <w:sz w:val="20"/>
                <w:szCs w:val="24"/>
                <w:vertAlign w:val="superscript"/>
                <w:lang w:eastAsia="en-GB"/>
              </w:rPr>
              <w:t>a</w:t>
            </w:r>
          </w:p>
        </w:tc>
        <w:tc>
          <w:tcPr>
            <w:tcW w:w="1226" w:type="dxa"/>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3.245</w:t>
            </w:r>
          </w:p>
        </w:tc>
      </w:tr>
      <w:tr w:rsidR="00705A00" w:rsidRPr="000978EE" w:rsidTr="00944397">
        <w:trPr>
          <w:trHeight w:val="184"/>
        </w:trPr>
        <w:tc>
          <w:tcPr>
            <w:tcW w:w="1530" w:type="dxa"/>
            <w:tcBorders>
              <w:bottom w:val="single" w:sz="6" w:space="0" w:color="auto"/>
            </w:tcBorders>
            <w:vAlign w:val="bottom"/>
          </w:tcPr>
          <w:p w:rsidR="00705A00" w:rsidRPr="000978EE" w:rsidRDefault="00705A00" w:rsidP="00944397">
            <w:pPr>
              <w:spacing w:before="60" w:after="60" w:line="240" w:lineRule="auto"/>
              <w:rPr>
                <w:rFonts w:ascii="Times New Roman" w:hAnsi="Times New Roman"/>
                <w:sz w:val="20"/>
                <w:szCs w:val="24"/>
                <w:lang w:eastAsia="en-GB"/>
              </w:rPr>
            </w:pPr>
            <w:r w:rsidRPr="000978EE">
              <w:rPr>
                <w:rFonts w:ascii="Times New Roman" w:hAnsi="Times New Roman"/>
                <w:sz w:val="20"/>
                <w:szCs w:val="24"/>
                <w:lang w:eastAsia="en-GB"/>
              </w:rPr>
              <w:t xml:space="preserve"> Obs.</w:t>
            </w:r>
          </w:p>
        </w:tc>
        <w:tc>
          <w:tcPr>
            <w:tcW w:w="1226" w:type="dxa"/>
            <w:tcBorders>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36</w:t>
            </w:r>
          </w:p>
        </w:tc>
        <w:tc>
          <w:tcPr>
            <w:tcW w:w="1226" w:type="dxa"/>
            <w:tcBorders>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36</w:t>
            </w:r>
          </w:p>
        </w:tc>
        <w:tc>
          <w:tcPr>
            <w:tcW w:w="1226" w:type="dxa"/>
            <w:tcBorders>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36</w:t>
            </w:r>
          </w:p>
        </w:tc>
        <w:tc>
          <w:tcPr>
            <w:tcW w:w="1226" w:type="dxa"/>
            <w:tcBorders>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36</w:t>
            </w:r>
          </w:p>
        </w:tc>
        <w:tc>
          <w:tcPr>
            <w:tcW w:w="1226" w:type="dxa"/>
            <w:tcBorders>
              <w:bottom w:val="single" w:sz="6" w:space="0" w:color="auto"/>
            </w:tcBorders>
            <w:vAlign w:val="bottom"/>
          </w:tcPr>
          <w:p w:rsidR="00705A00" w:rsidRPr="000978EE" w:rsidRDefault="00705A00" w:rsidP="00944397">
            <w:pPr>
              <w:spacing w:before="60" w:after="60" w:line="240" w:lineRule="auto"/>
              <w:jc w:val="center"/>
              <w:rPr>
                <w:rFonts w:ascii="Times New Roman" w:hAnsi="Times New Roman"/>
                <w:sz w:val="20"/>
                <w:szCs w:val="24"/>
                <w:lang w:eastAsia="en-GB"/>
              </w:rPr>
            </w:pPr>
            <w:r w:rsidRPr="000978EE">
              <w:rPr>
                <w:rFonts w:ascii="Times New Roman" w:hAnsi="Times New Roman"/>
                <w:sz w:val="20"/>
                <w:szCs w:val="24"/>
                <w:lang w:eastAsia="en-GB"/>
              </w:rPr>
              <w:t>36</w:t>
            </w:r>
          </w:p>
        </w:tc>
      </w:tr>
    </w:tbl>
    <w:p w:rsidR="00705A00" w:rsidRPr="000978EE" w:rsidRDefault="00705A00" w:rsidP="00705A00">
      <w:pPr>
        <w:spacing w:before="60" w:after="60" w:line="240" w:lineRule="auto"/>
        <w:rPr>
          <w:rFonts w:ascii="Times New Roman" w:hAnsi="Times New Roman"/>
          <w:sz w:val="20"/>
          <w:szCs w:val="24"/>
        </w:rPr>
      </w:pPr>
      <w:r w:rsidRPr="000978EE">
        <w:rPr>
          <w:rFonts w:ascii="Times New Roman" w:hAnsi="Times New Roman"/>
          <w:sz w:val="20"/>
          <w:szCs w:val="24"/>
        </w:rPr>
        <w:t xml:space="preserve">Note: </w:t>
      </w:r>
      <w:r w:rsidRPr="000978EE">
        <w:rPr>
          <w:rFonts w:ascii="Times New Roman" w:hAnsi="Times New Roman"/>
          <w:sz w:val="20"/>
          <w:szCs w:val="24"/>
          <w:vertAlign w:val="superscript"/>
        </w:rPr>
        <w:t xml:space="preserve">a </w:t>
      </w:r>
      <w:r w:rsidRPr="000978EE">
        <w:rPr>
          <w:rFonts w:ascii="Times New Roman" w:hAnsi="Times New Roman"/>
          <w:sz w:val="20"/>
          <w:szCs w:val="24"/>
        </w:rPr>
        <w:t>represents significance at the 1% level.</w:t>
      </w:r>
    </w:p>
    <w:p w:rsidR="00705A00" w:rsidRPr="000978EE" w:rsidRDefault="00705A00" w:rsidP="00705A00">
      <w:pPr>
        <w:spacing w:before="60" w:after="60" w:line="240" w:lineRule="auto"/>
        <w:rPr>
          <w:rFonts w:ascii="Times New Roman" w:hAnsi="Times New Roman"/>
          <w:sz w:val="20"/>
          <w:szCs w:val="24"/>
        </w:rPr>
      </w:pPr>
    </w:p>
    <w:p w:rsidR="00705A00" w:rsidRPr="000978EE" w:rsidRDefault="00705A00" w:rsidP="00705A00">
      <w:pPr>
        <w:tabs>
          <w:tab w:val="left" w:pos="270"/>
        </w:tabs>
        <w:spacing w:before="60" w:after="60" w:line="240" w:lineRule="auto"/>
        <w:jc w:val="both"/>
        <w:rPr>
          <w:rFonts w:ascii="Times New Roman" w:hAnsi="Times New Roman"/>
          <w:b/>
          <w:sz w:val="20"/>
          <w:szCs w:val="24"/>
        </w:rPr>
      </w:pPr>
    </w:p>
    <w:p w:rsidR="00705A00" w:rsidRPr="000978EE" w:rsidRDefault="00705A00" w:rsidP="00705A00">
      <w:pPr>
        <w:tabs>
          <w:tab w:val="left" w:pos="270"/>
        </w:tabs>
        <w:spacing w:before="60" w:after="60" w:line="240" w:lineRule="auto"/>
        <w:jc w:val="both"/>
        <w:rPr>
          <w:rFonts w:ascii="Times New Roman" w:hAnsi="Times New Roman"/>
          <w:b/>
          <w:sz w:val="20"/>
          <w:szCs w:val="24"/>
        </w:rPr>
      </w:pPr>
      <w:r w:rsidRPr="000978EE">
        <w:rPr>
          <w:rFonts w:ascii="Times New Roman" w:hAnsi="Times New Roman"/>
          <w:b/>
          <w:sz w:val="20"/>
          <w:szCs w:val="24"/>
        </w:rPr>
        <w:t>Table A.4</w:t>
      </w:r>
    </w:p>
    <w:p w:rsidR="00705A00" w:rsidRPr="000978EE" w:rsidRDefault="00705A00" w:rsidP="00705A00">
      <w:pPr>
        <w:tabs>
          <w:tab w:val="left" w:pos="270"/>
        </w:tabs>
        <w:spacing w:before="60" w:after="60" w:line="240" w:lineRule="auto"/>
        <w:jc w:val="both"/>
        <w:rPr>
          <w:rFonts w:ascii="Times New Roman" w:hAnsi="Times New Roman"/>
          <w:sz w:val="20"/>
          <w:szCs w:val="24"/>
        </w:rPr>
      </w:pPr>
      <w:r w:rsidRPr="000978EE">
        <w:rPr>
          <w:rFonts w:ascii="Times New Roman" w:hAnsi="Times New Roman"/>
          <w:sz w:val="20"/>
          <w:szCs w:val="24"/>
        </w:rPr>
        <w:t>Critical values bounds.</w:t>
      </w:r>
    </w:p>
    <w:tbl>
      <w:tblPr>
        <w:tblStyle w:val="TableGrid"/>
        <w:tblW w:w="9027" w:type="dxa"/>
        <w:tblBorders>
          <w:top w:val="single" w:sz="6" w:space="0" w:color="auto"/>
          <w:left w:val="none" w:sz="0" w:space="0" w:color="auto"/>
          <w:bottom w:val="single" w:sz="6"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8"/>
        <w:gridCol w:w="1128"/>
        <w:gridCol w:w="1128"/>
        <w:gridCol w:w="1128"/>
        <w:gridCol w:w="1127"/>
        <w:gridCol w:w="1128"/>
        <w:gridCol w:w="1128"/>
        <w:gridCol w:w="1132"/>
      </w:tblGrid>
      <w:tr w:rsidR="00705A00" w:rsidRPr="000978EE" w:rsidTr="00944397">
        <w:tc>
          <w:tcPr>
            <w:tcW w:w="1128"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p>
        </w:tc>
        <w:tc>
          <w:tcPr>
            <w:tcW w:w="1128"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1% lower bound</w:t>
            </w:r>
          </w:p>
        </w:tc>
        <w:tc>
          <w:tcPr>
            <w:tcW w:w="1128"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1% upper bound</w:t>
            </w:r>
          </w:p>
        </w:tc>
        <w:tc>
          <w:tcPr>
            <w:tcW w:w="1128"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5% lower bound</w:t>
            </w:r>
          </w:p>
        </w:tc>
        <w:tc>
          <w:tcPr>
            <w:tcW w:w="1127"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5% upper bound</w:t>
            </w:r>
          </w:p>
        </w:tc>
        <w:tc>
          <w:tcPr>
            <w:tcW w:w="1128"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10% lower bound</w:t>
            </w:r>
          </w:p>
        </w:tc>
        <w:tc>
          <w:tcPr>
            <w:tcW w:w="1128" w:type="dxa"/>
            <w:tcBorders>
              <w:top w:val="single" w:sz="6" w:space="0" w:color="auto"/>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10% upper bound</w:t>
            </w:r>
          </w:p>
        </w:tc>
        <w:tc>
          <w:tcPr>
            <w:tcW w:w="1132" w:type="dxa"/>
            <w:tcBorders>
              <w:top w:val="single" w:sz="6" w:space="0" w:color="auto"/>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p>
        </w:tc>
      </w:tr>
      <w:tr w:rsidR="00705A00" w:rsidRPr="000978EE" w:rsidTr="00944397">
        <w:tc>
          <w:tcPr>
            <w:tcW w:w="1128" w:type="dxa"/>
            <w:tcBorders>
              <w:top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F</w:t>
            </w:r>
            <w:r w:rsidRPr="000978EE">
              <w:rPr>
                <w:rFonts w:ascii="Times New Roman" w:hAnsi="Times New Roman"/>
                <w:sz w:val="20"/>
                <w:szCs w:val="24"/>
                <w:vertAlign w:val="subscript"/>
              </w:rPr>
              <w:t>overall</w:t>
            </w:r>
          </w:p>
        </w:tc>
        <w:tc>
          <w:tcPr>
            <w:tcW w:w="1128"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4.09</w:t>
            </w:r>
          </w:p>
        </w:tc>
        <w:tc>
          <w:tcPr>
            <w:tcW w:w="1128"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5.53</w:t>
            </w:r>
          </w:p>
        </w:tc>
        <w:tc>
          <w:tcPr>
            <w:tcW w:w="1128"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2.95</w:t>
            </w:r>
          </w:p>
        </w:tc>
        <w:tc>
          <w:tcPr>
            <w:tcW w:w="1127"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4.09</w:t>
            </w:r>
          </w:p>
        </w:tc>
        <w:tc>
          <w:tcPr>
            <w:tcW w:w="1128"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2.46</w:t>
            </w:r>
          </w:p>
        </w:tc>
        <w:tc>
          <w:tcPr>
            <w:tcW w:w="1128"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3.46</w:t>
            </w:r>
          </w:p>
        </w:tc>
        <w:tc>
          <w:tcPr>
            <w:tcW w:w="1132" w:type="dxa"/>
            <w:vMerge w:val="restart"/>
            <w:tcBorders>
              <w:top w:val="single" w:sz="6" w:space="0" w:color="auto"/>
            </w:tcBorders>
          </w:tcPr>
          <w:p w:rsidR="00705A00" w:rsidRPr="000978EE" w:rsidRDefault="00705A00" w:rsidP="00944397">
            <w:pPr>
              <w:spacing w:before="60" w:after="60" w:line="240" w:lineRule="auto"/>
              <w:rPr>
                <w:rFonts w:ascii="Times New Roman" w:hAnsi="Times New Roman"/>
                <w:sz w:val="20"/>
                <w:szCs w:val="24"/>
              </w:rPr>
            </w:pPr>
          </w:p>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 xml:space="preserve">For </w:t>
            </w:r>
            <w:r w:rsidRPr="000978EE">
              <w:rPr>
                <w:rFonts w:ascii="Times New Roman" w:hAnsi="Times New Roman"/>
                <w:i/>
                <w:sz w:val="20"/>
                <w:szCs w:val="24"/>
              </w:rPr>
              <w:t>k</w:t>
            </w:r>
            <w:r w:rsidRPr="000978EE">
              <w:rPr>
                <w:rFonts w:ascii="Times New Roman" w:hAnsi="Times New Roman"/>
                <w:sz w:val="20"/>
                <w:szCs w:val="24"/>
              </w:rPr>
              <w:t xml:space="preserve"> = 4</w:t>
            </w:r>
          </w:p>
        </w:tc>
      </w:tr>
      <w:tr w:rsidR="00705A00" w:rsidRPr="000978EE" w:rsidTr="00944397">
        <w:tc>
          <w:tcPr>
            <w:tcW w:w="1128"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t</w:t>
            </w:r>
            <w:r w:rsidRPr="000978EE">
              <w:rPr>
                <w:rFonts w:ascii="Times New Roman" w:hAnsi="Times New Roman"/>
                <w:sz w:val="20"/>
                <w:szCs w:val="24"/>
                <w:vertAlign w:val="subscript"/>
              </w:rPr>
              <w:t>DV</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-3.43</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-4.60</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-2.86</w:t>
            </w:r>
          </w:p>
        </w:tc>
        <w:tc>
          <w:tcPr>
            <w:tcW w:w="1127"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-3.99</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-2.57</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-3.66</w:t>
            </w:r>
          </w:p>
        </w:tc>
        <w:tc>
          <w:tcPr>
            <w:tcW w:w="1132" w:type="dxa"/>
            <w:vMerge/>
          </w:tcPr>
          <w:p w:rsidR="00705A00" w:rsidRPr="000978EE" w:rsidRDefault="00705A00" w:rsidP="00944397">
            <w:pPr>
              <w:spacing w:before="60" w:after="60" w:line="240" w:lineRule="auto"/>
              <w:rPr>
                <w:rFonts w:ascii="Times New Roman" w:hAnsi="Times New Roman"/>
                <w:sz w:val="20"/>
                <w:szCs w:val="24"/>
              </w:rPr>
            </w:pPr>
          </w:p>
        </w:tc>
      </w:tr>
      <w:tr w:rsidR="00705A00" w:rsidRPr="000978EE" w:rsidTr="00944397">
        <w:tc>
          <w:tcPr>
            <w:tcW w:w="1128" w:type="dxa"/>
            <w:tcBorders>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F</w:t>
            </w:r>
            <w:r w:rsidRPr="000978EE">
              <w:rPr>
                <w:rFonts w:ascii="Times New Roman" w:hAnsi="Times New Roman"/>
                <w:sz w:val="20"/>
                <w:szCs w:val="24"/>
                <w:vertAlign w:val="subscript"/>
              </w:rPr>
              <w:t>IDV</w:t>
            </w:r>
          </w:p>
        </w:tc>
        <w:tc>
          <w:tcPr>
            <w:tcW w:w="1128" w:type="dxa"/>
            <w:tcBorders>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4.03</w:t>
            </w:r>
          </w:p>
        </w:tc>
        <w:tc>
          <w:tcPr>
            <w:tcW w:w="1128" w:type="dxa"/>
            <w:tcBorders>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6.63</w:t>
            </w:r>
          </w:p>
        </w:tc>
        <w:tc>
          <w:tcPr>
            <w:tcW w:w="1128" w:type="dxa"/>
            <w:tcBorders>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2.70</w:t>
            </w:r>
          </w:p>
        </w:tc>
        <w:tc>
          <w:tcPr>
            <w:tcW w:w="1127" w:type="dxa"/>
            <w:tcBorders>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4.67</w:t>
            </w:r>
          </w:p>
        </w:tc>
        <w:tc>
          <w:tcPr>
            <w:tcW w:w="1128" w:type="dxa"/>
            <w:tcBorders>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2.14</w:t>
            </w:r>
          </w:p>
        </w:tc>
        <w:tc>
          <w:tcPr>
            <w:tcW w:w="1128" w:type="dxa"/>
            <w:tcBorders>
              <w:bottom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3.82</w:t>
            </w:r>
          </w:p>
        </w:tc>
        <w:tc>
          <w:tcPr>
            <w:tcW w:w="1132" w:type="dxa"/>
            <w:vMerge/>
            <w:tcBorders>
              <w:bottom w:val="single" w:sz="6" w:space="0" w:color="auto"/>
            </w:tcBorders>
          </w:tcPr>
          <w:p w:rsidR="00705A00" w:rsidRPr="000978EE" w:rsidRDefault="00705A00" w:rsidP="00944397">
            <w:pPr>
              <w:spacing w:before="60" w:after="60" w:line="240" w:lineRule="auto"/>
              <w:rPr>
                <w:rFonts w:ascii="Times New Roman" w:hAnsi="Times New Roman"/>
                <w:sz w:val="20"/>
                <w:szCs w:val="24"/>
              </w:rPr>
            </w:pPr>
          </w:p>
        </w:tc>
      </w:tr>
      <w:tr w:rsidR="00705A00" w:rsidRPr="000978EE" w:rsidTr="00944397">
        <w:tc>
          <w:tcPr>
            <w:tcW w:w="1128" w:type="dxa"/>
            <w:tcBorders>
              <w:top w:val="single" w:sz="6" w:space="0" w:color="auto"/>
              <w:bottom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F</w:t>
            </w:r>
            <w:r w:rsidRPr="000978EE">
              <w:rPr>
                <w:rFonts w:ascii="Times New Roman" w:hAnsi="Times New Roman"/>
                <w:sz w:val="20"/>
                <w:szCs w:val="24"/>
                <w:vertAlign w:val="subscript"/>
              </w:rPr>
              <w:t>overall</w:t>
            </w:r>
          </w:p>
        </w:tc>
        <w:tc>
          <w:tcPr>
            <w:tcW w:w="1128" w:type="dxa"/>
            <w:tcBorders>
              <w:top w:val="single" w:sz="6" w:space="0" w:color="auto"/>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3.71</w:t>
            </w:r>
          </w:p>
        </w:tc>
        <w:tc>
          <w:tcPr>
            <w:tcW w:w="1128" w:type="dxa"/>
            <w:tcBorders>
              <w:top w:val="single" w:sz="6" w:space="0" w:color="auto"/>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5.33</w:t>
            </w:r>
          </w:p>
        </w:tc>
        <w:tc>
          <w:tcPr>
            <w:tcW w:w="1128" w:type="dxa"/>
            <w:tcBorders>
              <w:top w:val="single" w:sz="6" w:space="0" w:color="auto"/>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2.68</w:t>
            </w:r>
          </w:p>
        </w:tc>
        <w:tc>
          <w:tcPr>
            <w:tcW w:w="1127" w:type="dxa"/>
            <w:tcBorders>
              <w:top w:val="single" w:sz="6" w:space="0" w:color="auto"/>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3.96</w:t>
            </w:r>
          </w:p>
        </w:tc>
        <w:tc>
          <w:tcPr>
            <w:tcW w:w="1128" w:type="dxa"/>
            <w:tcBorders>
              <w:top w:val="single" w:sz="6" w:space="0" w:color="auto"/>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2.25</w:t>
            </w:r>
          </w:p>
        </w:tc>
        <w:tc>
          <w:tcPr>
            <w:tcW w:w="1128" w:type="dxa"/>
            <w:tcBorders>
              <w:top w:val="single" w:sz="6" w:space="0" w:color="auto"/>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3.39</w:t>
            </w:r>
          </w:p>
        </w:tc>
        <w:tc>
          <w:tcPr>
            <w:tcW w:w="1132" w:type="dxa"/>
            <w:vMerge w:val="restart"/>
            <w:tcBorders>
              <w:top w:val="single" w:sz="6" w:space="0" w:color="auto"/>
              <w:bottom w:val="nil"/>
            </w:tcBorders>
          </w:tcPr>
          <w:p w:rsidR="00705A00" w:rsidRPr="000978EE" w:rsidRDefault="00705A00" w:rsidP="00944397">
            <w:pPr>
              <w:spacing w:before="60" w:after="60" w:line="240" w:lineRule="auto"/>
              <w:rPr>
                <w:rFonts w:ascii="Times New Roman" w:hAnsi="Times New Roman"/>
                <w:sz w:val="20"/>
                <w:szCs w:val="24"/>
              </w:rPr>
            </w:pPr>
          </w:p>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 xml:space="preserve">For </w:t>
            </w:r>
            <w:r w:rsidRPr="000978EE">
              <w:rPr>
                <w:rFonts w:ascii="Times New Roman" w:hAnsi="Times New Roman"/>
                <w:i/>
                <w:sz w:val="20"/>
                <w:szCs w:val="24"/>
              </w:rPr>
              <w:t>k</w:t>
            </w:r>
            <w:r w:rsidRPr="000978EE">
              <w:rPr>
                <w:rFonts w:ascii="Times New Roman" w:hAnsi="Times New Roman"/>
                <w:sz w:val="20"/>
                <w:szCs w:val="24"/>
              </w:rPr>
              <w:t xml:space="preserve"> = 6</w:t>
            </w:r>
          </w:p>
        </w:tc>
      </w:tr>
      <w:tr w:rsidR="00705A00" w:rsidRPr="000978EE" w:rsidTr="00944397">
        <w:tc>
          <w:tcPr>
            <w:tcW w:w="1128" w:type="dxa"/>
            <w:tcBorders>
              <w:top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t</w:t>
            </w:r>
            <w:r w:rsidRPr="000978EE">
              <w:rPr>
                <w:rFonts w:ascii="Times New Roman" w:hAnsi="Times New Roman"/>
                <w:sz w:val="20"/>
                <w:szCs w:val="24"/>
                <w:vertAlign w:val="subscript"/>
              </w:rPr>
              <w:t>DV</w:t>
            </w:r>
          </w:p>
        </w:tc>
        <w:tc>
          <w:tcPr>
            <w:tcW w:w="1128" w:type="dxa"/>
            <w:tcBorders>
              <w:top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-3.43</w:t>
            </w:r>
          </w:p>
        </w:tc>
        <w:tc>
          <w:tcPr>
            <w:tcW w:w="1128" w:type="dxa"/>
            <w:tcBorders>
              <w:top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-4.99</w:t>
            </w:r>
          </w:p>
        </w:tc>
        <w:tc>
          <w:tcPr>
            <w:tcW w:w="1128" w:type="dxa"/>
            <w:tcBorders>
              <w:top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-2.86</w:t>
            </w:r>
          </w:p>
        </w:tc>
        <w:tc>
          <w:tcPr>
            <w:tcW w:w="1127" w:type="dxa"/>
            <w:tcBorders>
              <w:top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-4.38</w:t>
            </w:r>
          </w:p>
        </w:tc>
        <w:tc>
          <w:tcPr>
            <w:tcW w:w="1128" w:type="dxa"/>
            <w:tcBorders>
              <w:top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-2.57</w:t>
            </w:r>
          </w:p>
        </w:tc>
        <w:tc>
          <w:tcPr>
            <w:tcW w:w="1128" w:type="dxa"/>
            <w:tcBorders>
              <w:top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-4.04</w:t>
            </w:r>
          </w:p>
        </w:tc>
        <w:tc>
          <w:tcPr>
            <w:tcW w:w="1132" w:type="dxa"/>
            <w:vMerge/>
            <w:tcBorders>
              <w:top w:val="nil"/>
            </w:tcBorders>
          </w:tcPr>
          <w:p w:rsidR="00705A00" w:rsidRPr="000978EE" w:rsidRDefault="00705A00" w:rsidP="00944397">
            <w:pPr>
              <w:spacing w:before="60" w:after="60" w:line="240" w:lineRule="auto"/>
              <w:rPr>
                <w:rFonts w:ascii="Times New Roman" w:hAnsi="Times New Roman"/>
                <w:sz w:val="20"/>
                <w:szCs w:val="24"/>
              </w:rPr>
            </w:pPr>
          </w:p>
        </w:tc>
      </w:tr>
      <w:tr w:rsidR="00705A00" w:rsidRPr="000978EE" w:rsidTr="00944397">
        <w:tc>
          <w:tcPr>
            <w:tcW w:w="1128"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F</w:t>
            </w:r>
            <w:r w:rsidRPr="000978EE">
              <w:rPr>
                <w:rFonts w:ascii="Times New Roman" w:hAnsi="Times New Roman"/>
                <w:sz w:val="20"/>
                <w:szCs w:val="24"/>
                <w:vertAlign w:val="subscript"/>
              </w:rPr>
              <w:t>IDV</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3.58</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5.82</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2.47</w:t>
            </w:r>
          </w:p>
        </w:tc>
        <w:tc>
          <w:tcPr>
            <w:tcW w:w="1127"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4.22</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2.00</w:t>
            </w:r>
          </w:p>
        </w:tc>
        <w:tc>
          <w:tcPr>
            <w:tcW w:w="1128"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3.52</w:t>
            </w:r>
          </w:p>
        </w:tc>
        <w:tc>
          <w:tcPr>
            <w:tcW w:w="1132" w:type="dxa"/>
            <w:vMerge/>
          </w:tcPr>
          <w:p w:rsidR="00705A00" w:rsidRPr="000978EE" w:rsidRDefault="00705A00" w:rsidP="00944397">
            <w:pPr>
              <w:spacing w:before="60" w:after="60" w:line="240" w:lineRule="auto"/>
              <w:rPr>
                <w:rFonts w:ascii="Times New Roman" w:hAnsi="Times New Roman"/>
                <w:sz w:val="20"/>
                <w:szCs w:val="24"/>
              </w:rPr>
            </w:pPr>
          </w:p>
        </w:tc>
      </w:tr>
    </w:tbl>
    <w:p w:rsidR="00705A00" w:rsidRPr="000978EE" w:rsidRDefault="00705A00" w:rsidP="00705A00">
      <w:pPr>
        <w:tabs>
          <w:tab w:val="left" w:pos="270"/>
        </w:tabs>
        <w:spacing w:before="60" w:after="60" w:line="240" w:lineRule="auto"/>
        <w:ind w:right="512"/>
        <w:jc w:val="both"/>
        <w:rPr>
          <w:rFonts w:ascii="Times New Roman" w:hAnsi="Times New Roman"/>
          <w:b/>
          <w:sz w:val="20"/>
          <w:szCs w:val="24"/>
        </w:rPr>
      </w:pPr>
      <w:bookmarkStart w:id="3" w:name="OLE_LINK550"/>
      <w:r w:rsidRPr="000978EE">
        <w:rPr>
          <w:rFonts w:ascii="Times New Roman" w:hAnsi="Times New Roman"/>
          <w:sz w:val="20"/>
          <w:szCs w:val="24"/>
        </w:rPr>
        <w:t xml:space="preserve">Note: The critical </w:t>
      </w:r>
      <w:bookmarkStart w:id="4" w:name="OLE_LINK209"/>
      <w:r w:rsidRPr="000978EE">
        <w:rPr>
          <w:rFonts w:ascii="Times New Roman" w:hAnsi="Times New Roman"/>
          <w:sz w:val="20"/>
          <w:szCs w:val="24"/>
        </w:rPr>
        <w:t xml:space="preserve">values are </w:t>
      </w:r>
      <w:bookmarkStart w:id="5" w:name="OLE_LINK125"/>
      <w:r w:rsidRPr="000978EE">
        <w:rPr>
          <w:rFonts w:ascii="Times New Roman" w:hAnsi="Times New Roman"/>
          <w:sz w:val="20"/>
          <w:szCs w:val="24"/>
        </w:rPr>
        <w:t>extracted</w:t>
      </w:r>
      <w:bookmarkEnd w:id="5"/>
      <w:r w:rsidRPr="000978EE">
        <w:rPr>
          <w:rFonts w:ascii="Times New Roman" w:hAnsi="Times New Roman"/>
          <w:sz w:val="20"/>
          <w:szCs w:val="24"/>
        </w:rPr>
        <w:t xml:space="preserve"> from </w:t>
      </w:r>
      <w:bookmarkEnd w:id="4"/>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{"citationItems":[{"id":"ITEM-1","itemData":{"DOI":"10.1080/00036840500278103","ISSN":"00036846","abstract":"The saving and investment nexus as postulated by Feldstein and Horioka (FH) (1980) is revisited. The saving investment correlation for China is estimated over the periods 1952-1998 and 1952-1994, the latter culminating in a period of fixed exchange rate regime. Amongst the key results, it is found that saving and investment are correlated for China for both the period of the fixed exchange rate and the entire sample period. With high saving-investment correlation, the results suggest that the Chinese economy is in conformity with the FH hypothesis. This is a valid outcome, for in China capital mobility was fairly restricted over the 1952-1994 period as indicated by the relatively low foreign direct investment. © 2005 Taylor &amp; Francis.","author":[{"dropping-particle":"","family":"Narayan","given":"Paresh Kumar","non-dropping-particle":"","parse-names":false,"suffix":""}],"container-title":"Applied Economics","id":"ITEM-1","issue":"17","issued":{"date-parts":[["2005"]]},"page":"1979-1990","title":"The saving and investment nexus for China: Evidence from cointegration tests","type":"article-journal","volume":"37"},"uris":["http://www.mendeley.com/documents/?uuid=70e4e8da-7a32-436e-bb9f-ccc9a08ed755"]}],"mendeley":{"formattedCitation":"(Narayan, 2005)","manualFormatting":"Narayan (2005)","plainTextFormattedCitation":"(Narayan, 2005)","previouslyFormattedCitation":"(Narayan, 2005)"},"properties":{"noteIndex":0},"schema":"https://github.com/citation-style-language/schema/raw/master/csl-citation.json"}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Narayan (2005)</w:t>
      </w:r>
      <w:r w:rsidRPr="000978EE">
        <w:rPr>
          <w:rFonts w:ascii="Times New Roman" w:hAnsi="Times New Roman"/>
          <w:sz w:val="20"/>
          <w:szCs w:val="24"/>
        </w:rPr>
        <w:fldChar w:fldCharType="end"/>
      </w:r>
      <w:r w:rsidRPr="000978EE">
        <w:rPr>
          <w:rFonts w:ascii="Times New Roman" w:hAnsi="Times New Roman"/>
          <w:sz w:val="20"/>
          <w:szCs w:val="24"/>
        </w:rPr>
        <w:t xml:space="preserve"> </w:t>
      </w:r>
      <w:r w:rsidRPr="000978EE">
        <w:rPr>
          <w:rFonts w:ascii="Times New Roman" w:hAnsi="Times New Roman"/>
          <w:noProof/>
          <w:sz w:val="20"/>
          <w:szCs w:val="24"/>
        </w:rPr>
        <w:t xml:space="preserve">for </w:t>
      </w:r>
      <w:r w:rsidRPr="000978EE">
        <w:rPr>
          <w:rFonts w:ascii="Times New Roman" w:hAnsi="Times New Roman"/>
          <w:sz w:val="20"/>
          <w:szCs w:val="24"/>
        </w:rPr>
        <w:t>overall F-test (F</w:t>
      </w:r>
      <w:r w:rsidRPr="000978EE">
        <w:rPr>
          <w:rFonts w:ascii="Times New Roman" w:hAnsi="Times New Roman"/>
          <w:sz w:val="20"/>
          <w:szCs w:val="24"/>
          <w:vertAlign w:val="subscript"/>
        </w:rPr>
        <w:t>overall</w:t>
      </w:r>
      <w:r w:rsidRPr="000978EE">
        <w:rPr>
          <w:rFonts w:ascii="Times New Roman" w:hAnsi="Times New Roman"/>
          <w:sz w:val="20"/>
          <w:szCs w:val="24"/>
        </w:rPr>
        <w:t xml:space="preserve">), </w:t>
      </w:r>
      <w:r w:rsidRPr="000978EE">
        <w:rPr>
          <w:rFonts w:ascii="Times New Roman" w:hAnsi="Times New Roman"/>
          <w:sz w:val="20"/>
          <w:szCs w:val="24"/>
        </w:rPr>
        <w:fldChar w:fldCharType="begin" w:fldLock="1"/>
      </w:r>
      <w:r w:rsidRPr="000978EE">
        <w:rPr>
          <w:rFonts w:ascii="Times New Roman" w:hAnsi="Times New Roman"/>
          <w:sz w:val="20"/>
          <w:szCs w:val="24"/>
        </w:rPr>
        <w:instrText>ADDIN CSL_CITATION {"citationItems":[{"id":"ITEM-1","itemData":{"DOI":"10.1002/jae.616","ISSN":"08837252","abstract":"This paper develops a new approach to the problem of testing the existence of a level relationship between a dependent variable and a set of regressors, when it is not known with certainty whether the underlying regressors are trend-or first-difference stationary. The proposed tests are based on standard F-and t-statistics used to test the significance of the lagged levels of the variables in a univariate equilibrium correction mechanism. The asymptotic distributions of these statistics are non-standard under the null hypothesis that there exists no level relationship, irrespective of whether the regressors are I(0) or I(1). Two sets of asymptotic critical values are provided: one when all regressors are purely I(1) and the other if they are all purely I(0). These two sets of critical values provide a band covering all possible classifications of the regressors into purely I(0), purely I(1) or mutually cointegrated. Accordingly, various bounds testing procedures are proposed. It is shown that the proposed tests are consistent, and their asymptotic distribution under the null and suitably defined local alternatives are derived. The empirical relevance of the bounds procedures is demonstrated by a re-examination of the earnings equation included in the UK Treasury macroeconometric model. Copyright © 2001 John Wiley &amp; Sons, Ltd.","author":[{"dropping-particle":"","family":"Pesaran","given":"M. Hashem","non-dropping-particle":"","parse-names":false,"suffix":""},{"dropping-particle":"","family":"Shin","given":"Yongcheol","non-dropping-particle":"","parse-names":false,"suffix":""},{"dropping-particle":"","family":"Smith","given":"Richard J.","non-dropping-particle":"","parse-names":false,"suffix":""}],"container-title":"Journal of Applied Econometrics","id":"ITEM-1","issue":"3","issued":{"date-parts":[["2001"]]},"page":"289-326","title":"Bounds testing approaches to the analysis of level relationships","type":"article-journal","volume":"16"},"uris":["http://www.mendeley.com/documents/?uuid=334f943b-e060-4869-b75d-8dde9fd269e4"]}],"mendeley":{"formattedCitation":"(Pesaran et al., 2001)","manualFormatting":"Pesaran et al. (2001)","plainTextFormattedCitation":"(Pesaran et al., 2001)","previouslyFormattedCitation":"(Pesaran et al., 2001)"},"properties":{"noteIndex":0},"schema":"https://github.com/citation-style-language/schema/raw/master/csl-citation.json"}</w:instrText>
      </w:r>
      <w:r w:rsidRPr="000978EE">
        <w:rPr>
          <w:rFonts w:ascii="Times New Roman" w:hAnsi="Times New Roman"/>
          <w:sz w:val="20"/>
          <w:szCs w:val="24"/>
        </w:rPr>
        <w:fldChar w:fldCharType="separate"/>
      </w:r>
      <w:r w:rsidRPr="000978EE">
        <w:rPr>
          <w:rFonts w:ascii="Times New Roman" w:hAnsi="Times New Roman"/>
          <w:noProof/>
          <w:sz w:val="20"/>
          <w:szCs w:val="24"/>
        </w:rPr>
        <w:t>Pesaran et al. (2001)</w:t>
      </w:r>
      <w:r w:rsidRPr="000978EE">
        <w:rPr>
          <w:rFonts w:ascii="Times New Roman" w:hAnsi="Times New Roman"/>
          <w:sz w:val="20"/>
          <w:szCs w:val="24"/>
        </w:rPr>
        <w:fldChar w:fldCharType="end"/>
      </w:r>
      <w:r w:rsidRPr="000978EE">
        <w:rPr>
          <w:rFonts w:ascii="Times New Roman" w:hAnsi="Times New Roman"/>
          <w:sz w:val="20"/>
          <w:szCs w:val="24"/>
        </w:rPr>
        <w:t xml:space="preserve"> for t-test (t</w:t>
      </w:r>
      <w:r w:rsidRPr="000978EE">
        <w:rPr>
          <w:rFonts w:ascii="Times New Roman" w:hAnsi="Times New Roman"/>
          <w:sz w:val="20"/>
          <w:szCs w:val="24"/>
          <w:vertAlign w:val="subscript"/>
        </w:rPr>
        <w:t>DV</w:t>
      </w:r>
      <w:r w:rsidRPr="000978EE">
        <w:rPr>
          <w:rFonts w:ascii="Times New Roman" w:hAnsi="Times New Roman"/>
          <w:sz w:val="20"/>
          <w:szCs w:val="24"/>
        </w:rPr>
        <w:t xml:space="preserve">), and </w:t>
      </w:r>
      <w:r w:rsidRPr="000978EE">
        <w:rPr>
          <w:rFonts w:ascii="Times New Roman" w:hAnsi="Times New Roman"/>
          <w:noProof/>
          <w:sz w:val="20"/>
          <w:szCs w:val="24"/>
        </w:rPr>
        <w:fldChar w:fldCharType="begin" w:fldLock="1"/>
      </w:r>
      <w:r w:rsidRPr="000978EE">
        <w:rPr>
          <w:rFonts w:ascii="Times New Roman" w:hAnsi="Times New Roman"/>
          <w:noProof/>
          <w:sz w:val="20"/>
          <w:szCs w:val="24"/>
        </w:rPr>
        <w:instrText>ADDIN CSL_CITATION {"citationItems":[{"id":"ITEM-1","itemData":{"DOI":"10.1016/j.econmod.2018.11.001","ISSN":"02649993","abstract":"An augmented autoregressive distributed lag (ARDL) bounds test for cointegration involves an extra F-test on the lagged levels of the independent variable(s) in the ARDL equation. Originally, this testing strategy was introduced using the bootstrap procedure. This paper provides both the small sample and asymptotic critical values for easier implementation of the test, making it applicable for a broader range of researchers. Two advantages of this augmented ARDL bounds test are that the assumption of an I(1) dependent variable is not necessary, and a clear conclusion on the cointegration status is provided by the three tests. The augmented ARDL bounds test is demonstrated using an empirical study on government taxation and expenditures. The tests support the tax-and-spend hypothesis of the budgetary policy for the US, the UK, and France.","author":[{"dropping-particle":"","family":"Sam","given":"Chung Yan","non-dropping-particle":"","parse-names":false,"suffix":""},{"dropping-particle":"","family":"McNown","given":"Robert","non-dropping-particle":"","parse-names":false,"suffix":""},{"dropping-particle":"","family":"Goh","given":"Soo Khoon","non-dropping-particle":"","parse-names":false,"suffix":""}],"container-title":"Economic Modelling","id":"ITEM-1","issued":{"date-parts":[["2019"]]},"page":"130-141","publisher":"Elsevier B.V.","title":"An augmented autoregressive distributed lag bounds test for cointegration","type":"article-journal","volume":"80"},"uris":["http://www.mendeley.com/documents/?uuid=647f9498-edbe-4f60-a896-b811b7a0c626"]}],"mendeley":{"formattedCitation":"(Sam et al., 2019)","manualFormatting":"Sam et al. (2019)","plainTextFormattedCitation":"(Sam et al., 2019)","previouslyFormattedCitation":"(Sam et al., 2019)"},"properties":{"noteIndex":0},"schema":"https://github.com/citation-style-language/schema/raw/master/csl-citation.json"}</w:instrText>
      </w:r>
      <w:r w:rsidRPr="000978EE">
        <w:rPr>
          <w:rFonts w:ascii="Times New Roman" w:hAnsi="Times New Roman"/>
          <w:noProof/>
          <w:sz w:val="20"/>
          <w:szCs w:val="24"/>
        </w:rPr>
        <w:fldChar w:fldCharType="separate"/>
      </w:r>
      <w:r w:rsidRPr="000978EE">
        <w:rPr>
          <w:rFonts w:ascii="Times New Roman" w:hAnsi="Times New Roman"/>
          <w:noProof/>
          <w:sz w:val="20"/>
          <w:szCs w:val="24"/>
        </w:rPr>
        <w:t>Sam et al. (2019)</w:t>
      </w:r>
      <w:r w:rsidRPr="000978EE">
        <w:rPr>
          <w:rFonts w:ascii="Times New Roman" w:hAnsi="Times New Roman"/>
          <w:noProof/>
          <w:sz w:val="20"/>
          <w:szCs w:val="24"/>
        </w:rPr>
        <w:fldChar w:fldCharType="end"/>
      </w:r>
      <w:r w:rsidRPr="000978EE">
        <w:rPr>
          <w:rFonts w:ascii="Times New Roman" w:hAnsi="Times New Roman"/>
          <w:noProof/>
          <w:sz w:val="20"/>
          <w:szCs w:val="24"/>
        </w:rPr>
        <w:t xml:space="preserve"> for </w:t>
      </w:r>
      <w:r w:rsidRPr="000978EE">
        <w:rPr>
          <w:rFonts w:ascii="Times New Roman" w:hAnsi="Times New Roman"/>
          <w:sz w:val="20"/>
          <w:szCs w:val="24"/>
        </w:rPr>
        <w:t>F-test (F</w:t>
      </w:r>
      <w:r w:rsidRPr="000978EE">
        <w:rPr>
          <w:rFonts w:ascii="Times New Roman" w:hAnsi="Times New Roman"/>
          <w:sz w:val="20"/>
          <w:szCs w:val="24"/>
          <w:vertAlign w:val="subscript"/>
        </w:rPr>
        <w:t>IDV</w:t>
      </w:r>
      <w:r w:rsidRPr="000978EE">
        <w:rPr>
          <w:rFonts w:ascii="Times New Roman" w:hAnsi="Times New Roman"/>
          <w:sz w:val="20"/>
          <w:szCs w:val="24"/>
        </w:rPr>
        <w:t>).</w:t>
      </w:r>
      <w:bookmarkEnd w:id="3"/>
    </w:p>
    <w:p w:rsidR="00705A00" w:rsidRPr="000978EE" w:rsidRDefault="00705A00" w:rsidP="00705A00">
      <w:pPr>
        <w:tabs>
          <w:tab w:val="left" w:pos="270"/>
        </w:tabs>
        <w:spacing w:before="60" w:after="60" w:line="240" w:lineRule="auto"/>
        <w:jc w:val="both"/>
        <w:rPr>
          <w:rFonts w:ascii="Times New Roman" w:hAnsi="Times New Roman"/>
          <w:b/>
          <w:sz w:val="20"/>
          <w:szCs w:val="24"/>
        </w:rPr>
      </w:pPr>
    </w:p>
    <w:p w:rsidR="00705A00" w:rsidRPr="000978EE" w:rsidRDefault="00705A00" w:rsidP="00705A00">
      <w:pPr>
        <w:tabs>
          <w:tab w:val="left" w:pos="270"/>
        </w:tabs>
        <w:spacing w:before="60" w:after="60" w:line="240" w:lineRule="auto"/>
        <w:jc w:val="both"/>
        <w:rPr>
          <w:rFonts w:ascii="Times New Roman" w:hAnsi="Times New Roman"/>
          <w:b/>
          <w:sz w:val="20"/>
          <w:szCs w:val="24"/>
        </w:rPr>
      </w:pPr>
    </w:p>
    <w:p w:rsidR="00705A00" w:rsidRPr="000978EE" w:rsidRDefault="00705A00" w:rsidP="00705A00">
      <w:pPr>
        <w:tabs>
          <w:tab w:val="left" w:pos="270"/>
        </w:tabs>
        <w:spacing w:before="60" w:after="60" w:line="240" w:lineRule="auto"/>
        <w:jc w:val="both"/>
        <w:rPr>
          <w:rFonts w:ascii="Times New Roman" w:hAnsi="Times New Roman"/>
          <w:b/>
          <w:sz w:val="20"/>
          <w:szCs w:val="24"/>
        </w:rPr>
      </w:pPr>
    </w:p>
    <w:p w:rsidR="00705A00" w:rsidRPr="000978EE" w:rsidRDefault="00705A00" w:rsidP="00705A00">
      <w:pPr>
        <w:tabs>
          <w:tab w:val="left" w:pos="270"/>
        </w:tabs>
        <w:spacing w:before="60" w:after="60" w:line="240" w:lineRule="auto"/>
        <w:jc w:val="both"/>
        <w:rPr>
          <w:rFonts w:ascii="Times New Roman" w:hAnsi="Times New Roman"/>
          <w:b/>
          <w:sz w:val="20"/>
          <w:szCs w:val="24"/>
        </w:rPr>
      </w:pPr>
      <w:r w:rsidRPr="000978EE">
        <w:rPr>
          <w:rFonts w:ascii="Times New Roman" w:hAnsi="Times New Roman"/>
          <w:b/>
          <w:sz w:val="20"/>
          <w:szCs w:val="24"/>
        </w:rPr>
        <w:lastRenderedPageBreak/>
        <w:t>Table A.5</w:t>
      </w:r>
    </w:p>
    <w:p w:rsidR="00705A00" w:rsidRPr="000978EE" w:rsidRDefault="00705A00" w:rsidP="00705A00">
      <w:pPr>
        <w:tabs>
          <w:tab w:val="left" w:pos="270"/>
        </w:tabs>
        <w:spacing w:before="60" w:after="60" w:line="240" w:lineRule="auto"/>
        <w:jc w:val="both"/>
        <w:rPr>
          <w:rFonts w:ascii="Times New Roman" w:hAnsi="Times New Roman"/>
          <w:b/>
          <w:sz w:val="20"/>
          <w:szCs w:val="24"/>
        </w:rPr>
      </w:pPr>
      <w:r w:rsidRPr="000978EE">
        <w:rPr>
          <w:rFonts w:ascii="Times New Roman" w:eastAsiaTheme="minorHAnsi" w:hAnsi="Times New Roman"/>
          <w:iCs/>
          <w:sz w:val="20"/>
          <w:szCs w:val="24"/>
        </w:rPr>
        <w:t>Testing for an inverted U-shape.</w:t>
      </w:r>
    </w:p>
    <w:tbl>
      <w:tblPr>
        <w:tblStyle w:val="TableGrid"/>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40"/>
        <w:gridCol w:w="1800"/>
      </w:tblGrid>
      <w:tr w:rsidR="00705A00" w:rsidRPr="000978EE" w:rsidTr="00944397">
        <w:trPr>
          <w:trHeight w:val="336"/>
        </w:trPr>
        <w:tc>
          <w:tcPr>
            <w:tcW w:w="3240" w:type="dxa"/>
            <w:tcBorders>
              <w:top w:val="single" w:sz="6" w:space="0" w:color="auto"/>
            </w:tcBorders>
          </w:tcPr>
          <w:p w:rsidR="00705A00" w:rsidRPr="000978EE" w:rsidRDefault="00705A00" w:rsidP="00944397">
            <w:pPr>
              <w:spacing w:before="60" w:after="60" w:line="240" w:lineRule="auto"/>
              <w:rPr>
                <w:rFonts w:ascii="Times New Roman" w:eastAsiaTheme="minorHAnsi" w:hAnsi="Times New Roman"/>
                <w:sz w:val="20"/>
                <w:szCs w:val="24"/>
              </w:rPr>
            </w:pPr>
            <w:r w:rsidRPr="000978EE">
              <w:rPr>
                <w:rFonts w:ascii="Times New Roman" w:eastAsiaTheme="minorHAnsi" w:hAnsi="Times New Roman"/>
                <w:sz w:val="20"/>
                <w:szCs w:val="24"/>
              </w:rPr>
              <w:t>Dependent variable: Coal consumption</w:t>
            </w:r>
          </w:p>
        </w:tc>
        <w:tc>
          <w:tcPr>
            <w:tcW w:w="1800" w:type="dxa"/>
            <w:tcBorders>
              <w:top w:val="single" w:sz="6" w:space="0" w:color="auto"/>
            </w:tcBorders>
          </w:tcPr>
          <w:p w:rsidR="00705A00" w:rsidRPr="000978EE" w:rsidRDefault="00705A00" w:rsidP="00944397">
            <w:pPr>
              <w:spacing w:before="60" w:after="60" w:line="240" w:lineRule="auto"/>
              <w:jc w:val="center"/>
              <w:rPr>
                <w:rFonts w:ascii="Times New Roman" w:hAnsi="Times New Roman"/>
                <w:sz w:val="20"/>
                <w:szCs w:val="24"/>
              </w:rPr>
            </w:pPr>
            <w:bookmarkStart w:id="6" w:name="OLE_LINK74"/>
            <w:r w:rsidRPr="000978EE">
              <w:rPr>
                <w:rFonts w:ascii="Times New Roman" w:hAnsi="Times New Roman"/>
                <w:sz w:val="20"/>
                <w:szCs w:val="24"/>
              </w:rPr>
              <w:t>Coefficient</w:t>
            </w:r>
            <w:bookmarkEnd w:id="6"/>
          </w:p>
        </w:tc>
      </w:tr>
      <w:tr w:rsidR="00705A00" w:rsidRPr="000978EE" w:rsidTr="00944397">
        <w:tc>
          <w:tcPr>
            <w:tcW w:w="3240" w:type="dxa"/>
            <w:tcBorders>
              <w:top w:val="single" w:sz="6" w:space="0" w:color="auto"/>
              <w:left w:val="nil"/>
              <w:bottom w:val="nil"/>
              <w:right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eastAsiaTheme="minorHAnsi" w:hAnsi="Times New Roman"/>
                <w:sz w:val="20"/>
                <w:szCs w:val="24"/>
              </w:rPr>
              <w:t xml:space="preserve">GDP </w:t>
            </w:r>
          </w:p>
        </w:tc>
        <w:tc>
          <w:tcPr>
            <w:tcW w:w="1800" w:type="dxa"/>
            <w:tcBorders>
              <w:top w:val="single" w:sz="6" w:space="0" w:color="auto"/>
              <w:left w:val="nil"/>
              <w:bottom w:val="nil"/>
              <w:right w:val="nil"/>
            </w:tcBorders>
            <w:vAlign w:val="bottom"/>
          </w:tcPr>
          <w:p w:rsidR="00705A00" w:rsidRPr="000978EE" w:rsidRDefault="00705A00" w:rsidP="00944397">
            <w:pPr>
              <w:spacing w:before="60" w:after="60" w:line="240" w:lineRule="auto"/>
              <w:jc w:val="center"/>
              <w:rPr>
                <w:rFonts w:ascii="Times New Roman" w:hAnsi="Times New Roman"/>
                <w:sz w:val="20"/>
                <w:szCs w:val="24"/>
                <w:vertAlign w:val="superscript"/>
              </w:rPr>
            </w:pPr>
            <w:r w:rsidRPr="000978EE">
              <w:rPr>
                <w:rFonts w:ascii="Times New Roman" w:hAnsi="Times New Roman"/>
                <w:sz w:val="20"/>
                <w:szCs w:val="24"/>
              </w:rPr>
              <w:t>-7.590</w:t>
            </w:r>
            <w:r w:rsidRPr="000978EE">
              <w:rPr>
                <w:rFonts w:ascii="Times New Roman" w:hAnsi="Times New Roman"/>
                <w:sz w:val="20"/>
                <w:szCs w:val="24"/>
                <w:vertAlign w:val="superscript"/>
              </w:rPr>
              <w:t>a</w:t>
            </w:r>
          </w:p>
          <w:p w:rsidR="00705A00" w:rsidRPr="000978EE" w:rsidRDefault="00705A00" w:rsidP="00944397">
            <w:pPr>
              <w:spacing w:before="60" w:after="60" w:line="240" w:lineRule="auto"/>
              <w:jc w:val="center"/>
              <w:rPr>
                <w:rFonts w:ascii="Times New Roman" w:hAnsi="Times New Roman"/>
                <w:sz w:val="20"/>
                <w:szCs w:val="24"/>
                <w:vertAlign w:val="superscript"/>
              </w:rPr>
            </w:pPr>
            <w:r w:rsidRPr="000978EE">
              <w:rPr>
                <w:rFonts w:ascii="Times New Roman" w:hAnsi="Times New Roman"/>
                <w:sz w:val="20"/>
                <w:szCs w:val="24"/>
              </w:rPr>
              <w:t>(2.315)</w:t>
            </w:r>
          </w:p>
        </w:tc>
      </w:tr>
      <w:tr w:rsidR="00705A00" w:rsidRPr="000978EE" w:rsidTr="00944397">
        <w:tc>
          <w:tcPr>
            <w:tcW w:w="3240" w:type="dxa"/>
            <w:tcBorders>
              <w:top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eastAsiaTheme="minorHAnsi" w:hAnsi="Times New Roman"/>
                <w:sz w:val="20"/>
                <w:szCs w:val="24"/>
              </w:rPr>
              <w:t>GDP</w:t>
            </w:r>
            <w:r w:rsidRPr="000978EE">
              <w:rPr>
                <w:rFonts w:ascii="Times New Roman" w:eastAsiaTheme="minorHAnsi" w:hAnsi="Times New Roman"/>
                <w:sz w:val="20"/>
                <w:szCs w:val="24"/>
                <w:vertAlign w:val="superscript"/>
              </w:rPr>
              <w:t>2</w:t>
            </w:r>
          </w:p>
        </w:tc>
        <w:tc>
          <w:tcPr>
            <w:tcW w:w="1800" w:type="dxa"/>
            <w:tcBorders>
              <w:top w:val="nil"/>
            </w:tcBorders>
            <w:vAlign w:val="bottom"/>
          </w:tcPr>
          <w:p w:rsidR="00705A00" w:rsidRPr="000978EE" w:rsidRDefault="00705A00" w:rsidP="00944397">
            <w:pPr>
              <w:spacing w:before="60" w:after="60" w:line="240" w:lineRule="auto"/>
              <w:jc w:val="center"/>
              <w:rPr>
                <w:rFonts w:ascii="Times New Roman" w:hAnsi="Times New Roman"/>
                <w:sz w:val="20"/>
                <w:szCs w:val="24"/>
                <w:vertAlign w:val="superscript"/>
              </w:rPr>
            </w:pPr>
            <w:r w:rsidRPr="000978EE">
              <w:rPr>
                <w:rFonts w:ascii="Times New Roman" w:hAnsi="Times New Roman"/>
                <w:sz w:val="20"/>
                <w:szCs w:val="24"/>
              </w:rPr>
              <w:t>0.809</w:t>
            </w:r>
            <w:r w:rsidRPr="000978EE">
              <w:rPr>
                <w:rFonts w:ascii="Times New Roman" w:hAnsi="Times New Roman"/>
                <w:sz w:val="20"/>
                <w:szCs w:val="24"/>
                <w:vertAlign w:val="superscript"/>
              </w:rPr>
              <w:t>a</w:t>
            </w:r>
          </w:p>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(0.180)</w:t>
            </w:r>
          </w:p>
        </w:tc>
      </w:tr>
      <w:tr w:rsidR="00705A00" w:rsidRPr="000978EE" w:rsidTr="00944397">
        <w:tc>
          <w:tcPr>
            <w:tcW w:w="3240" w:type="dxa"/>
          </w:tcPr>
          <w:p w:rsidR="00705A00" w:rsidRPr="000978EE" w:rsidRDefault="00705A00" w:rsidP="00944397">
            <w:pPr>
              <w:spacing w:before="60" w:after="60" w:line="240" w:lineRule="auto"/>
              <w:rPr>
                <w:rFonts w:ascii="Times New Roman" w:hAnsi="Times New Roman"/>
                <w:sz w:val="20"/>
                <w:szCs w:val="24"/>
              </w:rPr>
            </w:pPr>
            <w:bookmarkStart w:id="7" w:name="OLE_LINK58"/>
            <w:r w:rsidRPr="000978EE">
              <w:rPr>
                <w:rFonts w:ascii="Times New Roman" w:hAnsi="Times New Roman"/>
                <w:sz w:val="20"/>
                <w:szCs w:val="24"/>
              </w:rPr>
              <w:t xml:space="preserve">Slope at </w:t>
            </w:r>
            <w:bookmarkStart w:id="8" w:name="OLE_LINK362"/>
            <w:r w:rsidRPr="000978EE">
              <w:rPr>
                <w:rFonts w:ascii="Times New Roman" w:hAnsi="Times New Roman"/>
                <w:sz w:val="20"/>
                <w:szCs w:val="24"/>
              </w:rPr>
              <w:t>GDP</w:t>
            </w:r>
            <w:bookmarkEnd w:id="7"/>
            <w:r w:rsidRPr="000978EE">
              <w:rPr>
                <w:rFonts w:ascii="Times New Roman" w:hAnsi="Times New Roman"/>
                <w:sz w:val="20"/>
                <w:szCs w:val="24"/>
                <w:vertAlign w:val="subscript"/>
              </w:rPr>
              <w:t>L</w:t>
            </w:r>
            <w:bookmarkEnd w:id="8"/>
          </w:p>
        </w:tc>
        <w:tc>
          <w:tcPr>
            <w:tcW w:w="1800"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2.013</w:t>
            </w:r>
            <w:r w:rsidRPr="000978EE">
              <w:rPr>
                <w:rFonts w:ascii="Times New Roman" w:hAnsi="Times New Roman"/>
                <w:sz w:val="20"/>
                <w:szCs w:val="24"/>
                <w:vertAlign w:val="superscript"/>
              </w:rPr>
              <w:t>a</w:t>
            </w:r>
          </w:p>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(0.586)</w:t>
            </w:r>
          </w:p>
        </w:tc>
      </w:tr>
      <w:tr w:rsidR="00705A00" w:rsidRPr="000978EE" w:rsidTr="00944397">
        <w:tc>
          <w:tcPr>
            <w:tcW w:w="324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Slope at GDP</w:t>
            </w:r>
            <w:r w:rsidRPr="000978EE">
              <w:rPr>
                <w:rFonts w:ascii="Times New Roman" w:hAnsi="Times New Roman"/>
                <w:sz w:val="20"/>
                <w:szCs w:val="24"/>
                <w:vertAlign w:val="subscript"/>
              </w:rPr>
              <w:t>H</w:t>
            </w:r>
          </w:p>
        </w:tc>
        <w:tc>
          <w:tcPr>
            <w:tcW w:w="1800"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4.776</w:t>
            </w:r>
            <w:r w:rsidRPr="000978EE">
              <w:rPr>
                <w:rFonts w:ascii="Times New Roman" w:hAnsi="Times New Roman"/>
                <w:sz w:val="20"/>
                <w:szCs w:val="24"/>
                <w:vertAlign w:val="superscript"/>
              </w:rPr>
              <w:t>a</w:t>
            </w:r>
          </w:p>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(0.726)</w:t>
            </w:r>
          </w:p>
        </w:tc>
      </w:tr>
      <w:tr w:rsidR="00705A00" w:rsidRPr="000978EE" w:rsidTr="00944397">
        <w:tc>
          <w:tcPr>
            <w:tcW w:w="3240" w:type="dxa"/>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eastAsiaTheme="minorHAnsi" w:hAnsi="Times New Roman"/>
                <w:sz w:val="20"/>
                <w:szCs w:val="24"/>
              </w:rPr>
              <w:t>Turning point</w:t>
            </w:r>
            <w:bookmarkStart w:id="9" w:name="OLE_LINK361"/>
            <w:r w:rsidRPr="000978EE">
              <w:rPr>
                <w:rFonts w:ascii="Times New Roman" w:eastAsiaTheme="minorHAnsi" w:hAnsi="Times New Roman"/>
                <w:sz w:val="20"/>
                <w:szCs w:val="24"/>
              </w:rPr>
              <w:t xml:space="preserve">: </w:t>
            </w:r>
            <m:oMath>
              <m:r>
                <m:rPr>
                  <m:nor/>
                </m:rPr>
                <w:rPr>
                  <w:rFonts w:ascii="Times New Roman" w:eastAsiaTheme="minorEastAsia" w:hAnsi="Times New Roman"/>
                  <w:sz w:val="20"/>
                  <w:szCs w:val="24"/>
                </w:rPr>
                <m:t>τ = -0.5</m:t>
              </m:r>
              <m:sSub>
                <m:sSubPr>
                  <m:ctrlPr>
                    <w:rPr>
                      <w:rFonts w:ascii="Cambria Math" w:hAnsi="Cambria Math"/>
                      <w:i/>
                      <w:sz w:val="20"/>
                      <w:szCs w:val="24"/>
                    </w:rPr>
                  </m:ctrlPr>
                </m:sSubPr>
                <m:e>
                  <m:r>
                    <w:rPr>
                      <w:rFonts w:ascii="Cambria Math" w:hAnsi="Cambria Math"/>
                      <w:sz w:val="20"/>
                      <w:szCs w:val="24"/>
                    </w:rPr>
                    <m:t>α</m:t>
                  </m:r>
                </m:e>
                <m:sub>
                  <m:r>
                    <m:rPr>
                      <m:nor/>
                    </m:rPr>
                    <w:rPr>
                      <w:rFonts w:ascii="Times New Roman" w:hAnsi="Times New Roman"/>
                      <w:sz w:val="20"/>
                      <w:szCs w:val="24"/>
                    </w:rPr>
                    <m:t>1</m:t>
                  </m:r>
                </m:sub>
              </m:sSub>
              <m:r>
                <m:rPr>
                  <m:nor/>
                </m:rPr>
                <w:rPr>
                  <w:rFonts w:ascii="Times New Roman" w:eastAsiaTheme="minorEastAsia" w:hAnsi="Times New Roman"/>
                  <w:sz w:val="20"/>
                  <w:szCs w:val="24"/>
                </w:rPr>
                <m:t>/</m:t>
              </m:r>
              <m:sSub>
                <m:sSubPr>
                  <m:ctrlPr>
                    <w:rPr>
                      <w:rFonts w:ascii="Cambria Math" w:hAnsi="Cambria Math"/>
                      <w:i/>
                      <w:sz w:val="20"/>
                      <w:szCs w:val="24"/>
                    </w:rPr>
                  </m:ctrlPr>
                </m:sSubPr>
                <m:e>
                  <m:r>
                    <w:rPr>
                      <w:rFonts w:ascii="Cambria Math" w:hAnsi="Cambria Math"/>
                      <w:sz w:val="20"/>
                      <w:szCs w:val="24"/>
                    </w:rPr>
                    <m:t>α</m:t>
                  </m:r>
                </m:e>
                <m:sub>
                  <m:r>
                    <m:rPr>
                      <m:nor/>
                    </m:rPr>
                    <w:rPr>
                      <w:rFonts w:ascii="Times New Roman" w:hAnsi="Times New Roman"/>
                      <w:sz w:val="20"/>
                      <w:szCs w:val="24"/>
                    </w:rPr>
                    <m:t>2</m:t>
                  </m:r>
                </m:sub>
              </m:sSub>
            </m:oMath>
            <w:bookmarkEnd w:id="9"/>
          </w:p>
        </w:tc>
        <w:tc>
          <w:tcPr>
            <w:tcW w:w="1800" w:type="dxa"/>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4.690</w:t>
            </w:r>
            <w:r w:rsidRPr="000978EE">
              <w:rPr>
                <w:rFonts w:ascii="Times New Roman" w:hAnsi="Times New Roman"/>
                <w:sz w:val="20"/>
                <w:szCs w:val="24"/>
                <w:vertAlign w:val="superscript"/>
              </w:rPr>
              <w:t xml:space="preserve">a </w:t>
            </w:r>
            <w:r w:rsidRPr="000978EE">
              <w:rPr>
                <w:rFonts w:ascii="Times New Roman" w:hAnsi="Times New Roman"/>
                <w:sz w:val="20"/>
                <w:szCs w:val="24"/>
              </w:rPr>
              <w:t xml:space="preserve"> </w:t>
            </w:r>
          </w:p>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(0.490)</w:t>
            </w:r>
          </w:p>
        </w:tc>
      </w:tr>
      <w:tr w:rsidR="00705A00" w:rsidRPr="000978EE" w:rsidTr="00944397">
        <w:trPr>
          <w:trHeight w:val="665"/>
        </w:trPr>
        <w:tc>
          <w:tcPr>
            <w:tcW w:w="3240" w:type="dxa"/>
            <w:tcBorders>
              <w:bottom w:val="nil"/>
            </w:tcBorders>
          </w:tcPr>
          <w:p w:rsidR="00705A00" w:rsidRPr="000978EE" w:rsidRDefault="00705A00" w:rsidP="00944397">
            <w:pPr>
              <w:spacing w:before="60" w:after="60" w:line="240" w:lineRule="auto"/>
              <w:rPr>
                <w:rFonts w:ascii="Times New Roman" w:eastAsiaTheme="minorHAnsi" w:hAnsi="Times New Roman"/>
                <w:sz w:val="20"/>
                <w:szCs w:val="24"/>
              </w:rPr>
            </w:pPr>
            <w:r w:rsidRPr="000978EE">
              <w:rPr>
                <w:rFonts w:ascii="Times New Roman" w:eastAsiaTheme="minorHAnsi" w:hAnsi="Times New Roman"/>
                <w:sz w:val="20"/>
                <w:szCs w:val="24"/>
              </w:rPr>
              <w:t>95% confidence interval</w:t>
            </w:r>
          </w:p>
        </w:tc>
        <w:tc>
          <w:tcPr>
            <w:tcW w:w="1800" w:type="dxa"/>
            <w:tcBorders>
              <w:bottom w:val="nil"/>
            </w:tcBorders>
          </w:tcPr>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[3.720; 5.650]</w:t>
            </w:r>
          </w:p>
          <w:p w:rsidR="00705A00" w:rsidRPr="000978EE" w:rsidRDefault="00705A00" w:rsidP="00944397">
            <w:pPr>
              <w:spacing w:before="60" w:after="60" w:line="240" w:lineRule="auto"/>
              <w:jc w:val="center"/>
              <w:rPr>
                <w:rFonts w:ascii="Times New Roman" w:hAnsi="Times New Roman"/>
                <w:sz w:val="20"/>
                <w:szCs w:val="24"/>
              </w:rPr>
            </w:pPr>
            <w:r w:rsidRPr="000978EE">
              <w:rPr>
                <w:rFonts w:ascii="Times New Roman" w:hAnsi="Times New Roman"/>
                <w:sz w:val="20"/>
                <w:szCs w:val="24"/>
              </w:rPr>
              <w:t>[$41.661; $284.363]</w:t>
            </w:r>
          </w:p>
        </w:tc>
      </w:tr>
      <w:tr w:rsidR="00705A00" w:rsidRPr="000978EE" w:rsidTr="00944397">
        <w:trPr>
          <w:trHeight w:val="51"/>
        </w:trPr>
        <w:tc>
          <w:tcPr>
            <w:tcW w:w="3240" w:type="dxa"/>
            <w:tcBorders>
              <w:top w:val="nil"/>
              <w:left w:val="nil"/>
              <w:bottom w:val="nil"/>
              <w:right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Minimum per capita income (GDP</w:t>
            </w:r>
            <w:r w:rsidRPr="000978EE">
              <w:rPr>
                <w:rFonts w:ascii="Times New Roman" w:hAnsi="Times New Roman"/>
                <w:sz w:val="20"/>
                <w:szCs w:val="24"/>
                <w:vertAlign w:val="subscript"/>
              </w:rPr>
              <w:t>L</w:t>
            </w:r>
            <w:r w:rsidRPr="000978EE">
              <w:rPr>
                <w:rFonts w:ascii="Times New Roman" w:hAnsi="Times New Roman"/>
                <w:sz w:val="20"/>
                <w:szCs w:val="24"/>
              </w:rPr>
              <w:t>)</w:t>
            </w:r>
          </w:p>
        </w:tc>
        <w:tc>
          <w:tcPr>
            <w:tcW w:w="1800" w:type="dxa"/>
            <w:tcBorders>
              <w:top w:val="nil"/>
              <w:left w:val="nil"/>
              <w:bottom w:val="nil"/>
              <w:right w:val="nil"/>
            </w:tcBorders>
          </w:tcPr>
          <w:p w:rsidR="00705A00" w:rsidRPr="000978EE" w:rsidRDefault="00705A00" w:rsidP="00944397">
            <w:pPr>
              <w:spacing w:before="60" w:after="60" w:line="240" w:lineRule="auto"/>
              <w:jc w:val="center"/>
              <w:rPr>
                <w:rFonts w:ascii="Times New Roman" w:hAnsi="Times New Roman"/>
                <w:color w:val="000000"/>
                <w:sz w:val="20"/>
                <w:szCs w:val="24"/>
              </w:rPr>
            </w:pPr>
            <w:r w:rsidRPr="000978EE">
              <w:rPr>
                <w:rFonts w:ascii="Times New Roman" w:hAnsi="Times New Roman"/>
                <w:color w:val="000000"/>
                <w:sz w:val="20"/>
                <w:szCs w:val="24"/>
              </w:rPr>
              <w:t>$377.51</w:t>
            </w:r>
          </w:p>
        </w:tc>
      </w:tr>
      <w:tr w:rsidR="00705A00" w:rsidRPr="000978EE" w:rsidTr="00944397">
        <w:trPr>
          <w:trHeight w:val="108"/>
        </w:trPr>
        <w:tc>
          <w:tcPr>
            <w:tcW w:w="3240" w:type="dxa"/>
            <w:tcBorders>
              <w:top w:val="nil"/>
              <w:left w:val="nil"/>
              <w:bottom w:val="single" w:sz="6" w:space="0" w:color="auto"/>
              <w:right w:val="nil"/>
            </w:tcBorders>
          </w:tcPr>
          <w:p w:rsidR="00705A00" w:rsidRPr="000978EE" w:rsidRDefault="00705A00" w:rsidP="00944397">
            <w:pPr>
              <w:spacing w:before="60" w:after="60" w:line="240" w:lineRule="auto"/>
              <w:rPr>
                <w:rFonts w:ascii="Times New Roman" w:hAnsi="Times New Roman"/>
                <w:sz w:val="20"/>
                <w:szCs w:val="24"/>
              </w:rPr>
            </w:pPr>
            <w:r w:rsidRPr="000978EE">
              <w:rPr>
                <w:rFonts w:ascii="Times New Roman" w:hAnsi="Times New Roman"/>
                <w:sz w:val="20"/>
                <w:szCs w:val="24"/>
              </w:rPr>
              <w:t>Maximum per capita income (GDP</w:t>
            </w:r>
            <w:r w:rsidRPr="000978EE">
              <w:rPr>
                <w:rFonts w:ascii="Times New Roman" w:hAnsi="Times New Roman"/>
                <w:sz w:val="20"/>
                <w:szCs w:val="24"/>
                <w:vertAlign w:val="subscript"/>
              </w:rPr>
              <w:t>H</w:t>
            </w:r>
            <w:r w:rsidRPr="000978EE">
              <w:rPr>
                <w:rFonts w:ascii="Times New Roman" w:hAnsi="Times New Roman"/>
                <w:sz w:val="20"/>
                <w:szCs w:val="24"/>
              </w:rPr>
              <w:t>)</w:t>
            </w:r>
          </w:p>
        </w:tc>
        <w:tc>
          <w:tcPr>
            <w:tcW w:w="1800" w:type="dxa"/>
            <w:tcBorders>
              <w:top w:val="nil"/>
              <w:left w:val="nil"/>
              <w:bottom w:val="single" w:sz="6" w:space="0" w:color="auto"/>
              <w:right w:val="nil"/>
            </w:tcBorders>
          </w:tcPr>
          <w:p w:rsidR="00705A00" w:rsidRPr="000978EE" w:rsidRDefault="00705A00" w:rsidP="00944397">
            <w:pPr>
              <w:spacing w:before="60" w:after="60" w:line="240" w:lineRule="auto"/>
              <w:jc w:val="center"/>
              <w:rPr>
                <w:rFonts w:ascii="Times New Roman" w:hAnsi="Times New Roman"/>
                <w:color w:val="000000"/>
                <w:sz w:val="20"/>
                <w:szCs w:val="24"/>
              </w:rPr>
            </w:pPr>
            <w:r w:rsidRPr="000978EE">
              <w:rPr>
                <w:rFonts w:ascii="Times New Roman" w:hAnsi="Times New Roman"/>
                <w:color w:val="000000"/>
                <w:sz w:val="20"/>
                <w:szCs w:val="24"/>
              </w:rPr>
              <w:t>$2082.22</w:t>
            </w:r>
          </w:p>
        </w:tc>
      </w:tr>
    </w:tbl>
    <w:p w:rsidR="00705A00" w:rsidRPr="000978EE" w:rsidRDefault="00705A00" w:rsidP="00705A00">
      <w:pPr>
        <w:tabs>
          <w:tab w:val="left" w:pos="270"/>
        </w:tabs>
        <w:spacing w:before="60" w:after="60" w:line="240" w:lineRule="auto"/>
        <w:jc w:val="both"/>
        <w:rPr>
          <w:rFonts w:ascii="Times New Roman" w:hAnsi="Times New Roman"/>
          <w:b/>
          <w:sz w:val="20"/>
          <w:szCs w:val="24"/>
        </w:rPr>
      </w:pPr>
      <w:r w:rsidRPr="000978EE">
        <w:rPr>
          <w:rFonts w:ascii="Times New Roman" w:hAnsi="Times New Roman"/>
          <w:sz w:val="20"/>
          <w:szCs w:val="24"/>
        </w:rPr>
        <w:t>Note:</w:t>
      </w:r>
      <w:r w:rsidRPr="000978EE">
        <w:rPr>
          <w:rFonts w:ascii="Times New Roman" w:hAnsi="Times New Roman"/>
          <w:b/>
          <w:sz w:val="20"/>
          <w:szCs w:val="24"/>
        </w:rPr>
        <w:t xml:space="preserve"> </w:t>
      </w:r>
      <w:r w:rsidRPr="000978EE">
        <w:rPr>
          <w:rFonts w:ascii="Times New Roman" w:eastAsiaTheme="minorHAnsi" w:hAnsi="Times New Roman"/>
          <w:sz w:val="20"/>
          <w:szCs w:val="24"/>
        </w:rPr>
        <w:t xml:space="preserve">Standard errors in parentheses. </w:t>
      </w:r>
      <w:r w:rsidRPr="000978EE">
        <w:rPr>
          <w:rFonts w:ascii="Times New Roman" w:hAnsi="Times New Roman"/>
          <w:sz w:val="20"/>
          <w:szCs w:val="24"/>
          <w:vertAlign w:val="superscript"/>
        </w:rPr>
        <w:t xml:space="preserve"> a </w:t>
      </w:r>
      <w:r w:rsidRPr="000978EE">
        <w:rPr>
          <w:rFonts w:ascii="Times New Roman" w:hAnsi="Times New Roman"/>
          <w:sz w:val="20"/>
          <w:szCs w:val="24"/>
        </w:rPr>
        <w:t xml:space="preserve">denotes significance at the 1% level. </w:t>
      </w:r>
    </w:p>
    <w:p w:rsidR="00705A00" w:rsidRPr="000978EE" w:rsidRDefault="00705A00" w:rsidP="00705A00">
      <w:pPr>
        <w:spacing w:before="60" w:after="60" w:line="240" w:lineRule="auto"/>
        <w:rPr>
          <w:rFonts w:ascii="Times New Roman" w:hAnsi="Times New Roman"/>
          <w:sz w:val="20"/>
          <w:szCs w:val="24"/>
        </w:rPr>
      </w:pPr>
    </w:p>
    <w:p w:rsidR="00AA2BEF" w:rsidRDefault="00AA2BEF">
      <w:bookmarkStart w:id="10" w:name="_GoBack"/>
      <w:bookmarkEnd w:id="10"/>
    </w:p>
    <w:sectPr w:rsidR="00AA2BE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A00"/>
    <w:rsid w:val="00705A00"/>
    <w:rsid w:val="00AA2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BFBC88-48FF-4335-9C4B-97FEB0CEA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A00"/>
    <w:pPr>
      <w:spacing w:line="256" w:lineRule="auto"/>
    </w:pPr>
    <w:rPr>
      <w:rFonts w:eastAsia="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5A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2935</Words>
  <Characters>16732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2021-11-19T15:06:00Z</dcterms:created>
  <dcterms:modified xsi:type="dcterms:W3CDTF">2021-11-19T15:07:00Z</dcterms:modified>
</cp:coreProperties>
</file>