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A6BEF71">
      <w:pPr>
        <w:autoSpaceDE w:val="0"/>
        <w:autoSpaceDN w:val="0"/>
        <w:adjustRightInd w:val="0"/>
        <w:spacing w:line="480" w:lineRule="auto"/>
        <w:jc w:val="center"/>
        <w:rPr>
          <w:rFonts w:hint="eastAsia" w:ascii="Times New Roman" w:hAnsi="Times New Roman" w:cs="Times New Roman" w:eastAsiaTheme="minorEastAsia"/>
          <w:b/>
          <w:bCs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Supplementary </w:t>
      </w:r>
      <w:r>
        <w:rPr>
          <w:rFonts w:hint="eastAsia" w:ascii="Times New Roman" w:hAnsi="Times New Roman" w:cs="Times New Roman"/>
          <w:b/>
          <w:bCs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Material</w:t>
      </w:r>
      <w:bookmarkStart w:id="0" w:name="_GoBack"/>
      <w:bookmarkEnd w:id="0"/>
    </w:p>
    <w:p w14:paraId="24A26F0A">
      <w:pPr>
        <w:autoSpaceDE w:val="0"/>
        <w:autoSpaceDN w:val="0"/>
        <w:adjustRightInd w:val="0"/>
        <w:spacing w:line="480" w:lineRule="auto"/>
        <w:jc w:val="both"/>
        <w:rPr>
          <w:rFonts w:hint="default" w:ascii="Times New Roman" w:hAnsi="Times New Roman" w:cs="Times New Roman" w:eastAsiaTheme="minorEastAsia"/>
          <w:b w:val="0"/>
          <w:bCs w:val="0"/>
          <w:color w:val="000000" w:themeColor="text1"/>
          <w:sz w:val="24"/>
          <w:szCs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b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Figure</w:t>
      </w:r>
      <w:r>
        <w:rPr>
          <w:rFonts w:hint="eastAsia" w:ascii="Times New Roman" w:hAnsi="Times New Roman" w:cs="Times New Roman"/>
          <w:b/>
          <w:bCs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cs="Times New Roman"/>
          <w:b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S1.</w:t>
      </w:r>
      <w:r>
        <w:rPr>
          <w:rFonts w:hint="eastAsia" w:ascii="Times New Roman" w:hAnsi="Times New Roman" w:cs="Times New Roman"/>
          <w:b/>
          <w:bCs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cs="Times New Roman" w:eastAsiaTheme="minorEastAsia"/>
          <w:b w:val="0"/>
          <w:bCs w:val="0"/>
          <w:color w:val="000000" w:themeColor="text1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Increased senescence in DSCs from patients with RSA. (</w:t>
      </w:r>
      <w:r>
        <w:rPr>
          <w:rFonts w:hint="default" w:ascii="Times New Roman" w:hAnsi="Times New Roman" w:cs="Times New Roman" w:eastAsiaTheme="minorEastAsia"/>
          <w:b/>
          <w:bCs/>
          <w:color w:val="000000" w:themeColor="text1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A</w:t>
      </w:r>
      <w:r>
        <w:rPr>
          <w:rFonts w:hint="eastAsia" w:ascii="Times New Roman" w:hAnsi="Times New Roman" w:cs="Times New Roman"/>
          <w:b/>
          <w:bCs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, B</w:t>
      </w:r>
      <w:r>
        <w:rPr>
          <w:rFonts w:hint="default" w:ascii="Times New Roman" w:hAnsi="Times New Roman" w:cs="Times New Roman" w:eastAsiaTheme="minorEastAsia"/>
          <w:b w:val="0"/>
          <w:bCs w:val="0"/>
          <w:color w:val="000000" w:themeColor="text1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) Immunohistochemistry detected the expression levels of senescence-associated molecules (CDKN2A, CDKN1A, and TP53) in the decidual tissue of normal early pregnant women (NP</w:t>
      </w:r>
      <w:r>
        <w:rPr>
          <w:rFonts w:hint="eastAsia" w:ascii="Times New Roman" w:hAnsi="Times New Roman" w:cs="Times New Roman"/>
          <w:b w:val="0"/>
          <w:bCs w:val="0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; </w:t>
      </w:r>
      <w:r>
        <w:rPr>
          <w:rFonts w:hint="default" w:ascii="Times New Roman" w:hAnsi="Times New Roman" w:cs="Times New Roman" w:eastAsiaTheme="minorEastAsia"/>
          <w:b w:val="0"/>
          <w:bCs w:val="0"/>
          <w:color w:val="000000" w:themeColor="text1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n</w:t>
      </w:r>
      <w:r>
        <w:rPr>
          <w:rFonts w:hint="eastAsia" w:ascii="Times New Roman" w:hAnsi="Times New Roman" w:cs="Times New Roman"/>
          <w:b w:val="0"/>
          <w:bCs w:val="0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cs="Times New Roman" w:eastAsiaTheme="minorEastAsia"/>
          <w:b w:val="0"/>
          <w:bCs w:val="0"/>
          <w:color w:val="000000" w:themeColor="text1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=</w:t>
      </w:r>
      <w:r>
        <w:rPr>
          <w:rFonts w:hint="eastAsia" w:ascii="Times New Roman" w:hAnsi="Times New Roman" w:cs="Times New Roman"/>
          <w:b w:val="0"/>
          <w:bCs w:val="0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cs="Times New Roman" w:eastAsiaTheme="minorEastAsia"/>
          <w:b w:val="0"/>
          <w:bCs w:val="0"/>
          <w:color w:val="000000" w:themeColor="text1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6) and recurrent spontaneous abortion patients (RSA; n</w:t>
      </w:r>
      <w:r>
        <w:rPr>
          <w:rFonts w:hint="eastAsia" w:ascii="Times New Roman" w:hAnsi="Times New Roman" w:cs="Times New Roman"/>
          <w:b w:val="0"/>
          <w:bCs w:val="0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cs="Times New Roman" w:eastAsiaTheme="minorEastAsia"/>
          <w:b w:val="0"/>
          <w:bCs w:val="0"/>
          <w:color w:val="000000" w:themeColor="text1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=</w:t>
      </w:r>
      <w:r>
        <w:rPr>
          <w:rFonts w:hint="eastAsia" w:ascii="Times New Roman" w:hAnsi="Times New Roman" w:cs="Times New Roman"/>
          <w:b w:val="0"/>
          <w:bCs w:val="0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cs="Times New Roman" w:eastAsiaTheme="minorEastAsia"/>
          <w:b w:val="0"/>
          <w:bCs w:val="0"/>
          <w:color w:val="000000" w:themeColor="text1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6). Scale bar, 100 μm and 50 μm. Data were presented as mean ± SEM and analyzed by unpaired t-test or Mann-Whitney U test</w:t>
      </w:r>
      <w:r>
        <w:rPr>
          <w:rFonts w:hint="eastAsia" w:ascii="Times New Roman" w:hAnsi="Times New Roman" w:cs="Times New Roman"/>
          <w:b w:val="0"/>
          <w:bCs w:val="0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. </w:t>
      </w:r>
      <w:r>
        <w:rPr>
          <w:rFonts w:hint="default" w:ascii="Times New Roman" w:hAnsi="Times New Roman" w:cs="Times New Roman" w:eastAsiaTheme="minorEastAsia"/>
          <w:b w:val="0"/>
          <w:bCs w:val="0"/>
          <w:color w:val="000000" w:themeColor="text1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**P &lt; 0.01.</w:t>
      </w:r>
    </w:p>
    <w:p w14:paraId="69A1F4B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480" w:lineRule="auto"/>
        <w:textAlignment w:val="auto"/>
        <w:rPr>
          <w:rFonts w:hint="default" w:ascii="Times New Roman" w:hAnsi="Times New Roman" w:cs="Times New Roman"/>
          <w:b w:val="0"/>
          <w:bCs w:val="0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b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Figure S</w:t>
      </w:r>
      <w:r>
        <w:rPr>
          <w:rFonts w:hint="eastAsia" w:ascii="Times New Roman" w:hAnsi="Times New Roman" w:cs="Times New Roman"/>
          <w:b/>
          <w:bCs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2</w:t>
      </w:r>
      <w:r>
        <w:rPr>
          <w:rFonts w:hint="default" w:ascii="Times New Roman" w:hAnsi="Times New Roman" w:cs="Times New Roman"/>
          <w:b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. </w:t>
      </w:r>
      <w:r>
        <w:rPr>
          <w:rFonts w:hint="default" w:ascii="Times New Roman" w:hAnsi="Times New Roman" w:cs="Times New Roman"/>
          <w:b w:val="0"/>
          <w:bCs w:val="0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Cellular senescence and autophagy inhibition lead to the downregulation of FOXO1.</w:t>
      </w:r>
      <w:r>
        <w:rPr>
          <w:rFonts w:hint="default" w:ascii="Times New Roman" w:hAnsi="Times New Roman" w:cs="Times New Roman"/>
          <w:b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(</w:t>
      </w:r>
      <w:r>
        <w:rPr>
          <w:rFonts w:hint="default" w:ascii="Times New Roman" w:hAnsi="Times New Roman" w:cs="Times New Roman"/>
          <w:b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A</w:t>
      </w:r>
      <w:r>
        <w:rPr>
          <w:rFonts w:hint="default" w:ascii="Times New Roman" w:hAnsi="Times New Roman" w:cs="Times New Roman"/>
          <w:b w:val="0"/>
          <w:bCs w:val="0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) Relative mRNA levels of </w:t>
      </w:r>
      <w:r>
        <w:rPr>
          <w:rFonts w:hint="default" w:ascii="Times New Roman" w:hAnsi="Times New Roman" w:cs="Times New Roman"/>
          <w:b w:val="0"/>
          <w:bCs w:val="0"/>
          <w:i/>
          <w:i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FOXO1</w:t>
      </w:r>
      <w:r>
        <w:rPr>
          <w:rFonts w:hint="default" w:ascii="Times New Roman" w:hAnsi="Times New Roman" w:cs="Times New Roman"/>
          <w:b w:val="0"/>
          <w:bCs w:val="0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in H</w:t>
      </w:r>
      <w:r>
        <w:rPr>
          <w:rFonts w:hint="default" w:ascii="Times New Roman" w:hAnsi="Times New Roman" w:cs="Times New Roman"/>
          <w:b w:val="0"/>
          <w:bCs w:val="0"/>
          <w:color w:val="000000" w:themeColor="text1"/>
          <w:sz w:val="24"/>
          <w:szCs w:val="24"/>
          <w:vertAlign w:val="subscript"/>
          <w14:textFill>
            <w14:solidFill>
              <w14:schemeClr w14:val="tx1"/>
            </w14:solidFill>
          </w14:textFill>
        </w:rPr>
        <w:t>2</w:t>
      </w:r>
      <w:r>
        <w:rPr>
          <w:rFonts w:hint="default" w:ascii="Times New Roman" w:hAnsi="Times New Roman" w:cs="Times New Roman"/>
          <w:b w:val="0"/>
          <w:bCs w:val="0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O</w:t>
      </w:r>
      <w:r>
        <w:rPr>
          <w:rFonts w:hint="default" w:ascii="Times New Roman" w:hAnsi="Times New Roman" w:cs="Times New Roman"/>
          <w:b w:val="0"/>
          <w:bCs w:val="0"/>
          <w:color w:val="000000" w:themeColor="text1"/>
          <w:sz w:val="24"/>
          <w:szCs w:val="24"/>
          <w:vertAlign w:val="subscript"/>
          <w14:textFill>
            <w14:solidFill>
              <w14:schemeClr w14:val="tx1"/>
            </w14:solidFill>
          </w14:textFill>
        </w:rPr>
        <w:t>2</w:t>
      </w:r>
      <w:r>
        <w:rPr>
          <w:rFonts w:hint="default" w:ascii="Times New Roman" w:hAnsi="Times New Roman" w:cs="Times New Roman"/>
          <w:b w:val="0"/>
          <w:bCs w:val="0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(200 μM)-induced senescent DSCs detected by RT-qPCR (n</w:t>
      </w:r>
      <w:r>
        <w:rPr>
          <w:rFonts w:hint="eastAsia" w:ascii="Times New Roman" w:hAnsi="Times New Roman" w:cs="Times New Roman"/>
          <w:b w:val="0"/>
          <w:bCs w:val="0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=</w:t>
      </w:r>
      <w:r>
        <w:rPr>
          <w:rFonts w:hint="eastAsia" w:ascii="Times New Roman" w:hAnsi="Times New Roman" w:cs="Times New Roman"/>
          <w:b w:val="0"/>
          <w:bCs w:val="0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9).</w:t>
      </w:r>
      <w:r>
        <w:rPr>
          <w:rFonts w:hint="eastAsia" w:ascii="Times New Roman" w:hAnsi="Times New Roman" w:cs="Times New Roman"/>
          <w:b w:val="0"/>
          <w:bCs w:val="0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(</w:t>
      </w:r>
      <w:r>
        <w:rPr>
          <w:rFonts w:hint="default" w:ascii="Times New Roman" w:hAnsi="Times New Roman" w:cs="Times New Roman"/>
          <w:b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B</w:t>
      </w:r>
      <w:r>
        <w:rPr>
          <w:rFonts w:hint="default" w:ascii="Times New Roman" w:hAnsi="Times New Roman" w:cs="Times New Roman"/>
          <w:b w:val="0"/>
          <w:bCs w:val="0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) Relative mRNA levels of </w:t>
      </w:r>
      <w:r>
        <w:rPr>
          <w:rFonts w:hint="default" w:ascii="Times New Roman" w:hAnsi="Times New Roman" w:cs="Times New Roman"/>
          <w:b w:val="0"/>
          <w:bCs w:val="0"/>
          <w:i/>
          <w:i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FOXO1</w:t>
      </w:r>
      <w:r>
        <w:rPr>
          <w:rFonts w:hint="default" w:ascii="Times New Roman" w:hAnsi="Times New Roman" w:cs="Times New Roman"/>
          <w:b w:val="0"/>
          <w:bCs w:val="0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in D-galactose (30 mM)-induced senescent DSCs detected by RT-qPCR (n</w:t>
      </w:r>
      <w:r>
        <w:rPr>
          <w:rFonts w:hint="eastAsia" w:ascii="Times New Roman" w:hAnsi="Times New Roman" w:cs="Times New Roman"/>
          <w:b w:val="0"/>
          <w:bCs w:val="0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=</w:t>
      </w:r>
      <w:r>
        <w:rPr>
          <w:rFonts w:hint="eastAsia" w:ascii="Times New Roman" w:hAnsi="Times New Roman" w:cs="Times New Roman"/>
          <w:b w:val="0"/>
          <w:bCs w:val="0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6).</w:t>
      </w:r>
      <w:r>
        <w:rPr>
          <w:rFonts w:hint="eastAsia" w:ascii="Times New Roman" w:hAnsi="Times New Roman" w:cs="Times New Roman"/>
          <w:b w:val="0"/>
          <w:bCs w:val="0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(</w:t>
      </w:r>
      <w:r>
        <w:rPr>
          <w:rFonts w:hint="default" w:ascii="Times New Roman" w:hAnsi="Times New Roman" w:cs="Times New Roman"/>
          <w:b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C</w:t>
      </w:r>
      <w:r>
        <w:rPr>
          <w:rFonts w:hint="default" w:ascii="Times New Roman" w:hAnsi="Times New Roman" w:cs="Times New Roman"/>
          <w:b w:val="0"/>
          <w:bCs w:val="0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) </w:t>
      </w:r>
      <w:r>
        <w:rPr>
          <w:rFonts w:hint="default" w:ascii="Times New Roman" w:hAnsi="Times New Roman" w:cs="Times New Roman"/>
          <w:b w:val="0"/>
          <w:bCs w:val="0"/>
          <w:i/>
          <w:i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FOXO1</w:t>
      </w:r>
      <w:r>
        <w:rPr>
          <w:rFonts w:hint="default" w:ascii="Times New Roman" w:hAnsi="Times New Roman" w:cs="Times New Roman"/>
          <w:b w:val="0"/>
          <w:bCs w:val="0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mRNA levels in DSCs after autophagy inhibition with 3-MA (10 mM) (n = 6).</w:t>
      </w:r>
      <w:r>
        <w:rPr>
          <w:rFonts w:hint="eastAsia" w:ascii="Times New Roman" w:hAnsi="Times New Roman" w:cs="Times New Roman"/>
          <w:b w:val="0"/>
          <w:bCs w:val="0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(</w:t>
      </w:r>
      <w:r>
        <w:rPr>
          <w:rFonts w:hint="default" w:ascii="Times New Roman" w:hAnsi="Times New Roman" w:cs="Times New Roman"/>
          <w:b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D</w:t>
      </w:r>
      <w:r>
        <w:rPr>
          <w:rFonts w:hint="default" w:ascii="Times New Roman" w:hAnsi="Times New Roman" w:cs="Times New Roman"/>
          <w:b w:val="0"/>
          <w:bCs w:val="0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) </w:t>
      </w:r>
      <w:r>
        <w:rPr>
          <w:rFonts w:hint="default" w:ascii="Times New Roman" w:hAnsi="Times New Roman" w:cs="Times New Roman"/>
          <w:b w:val="0"/>
          <w:bCs w:val="0"/>
          <w:i/>
          <w:i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Foxo1</w:t>
      </w:r>
      <w:r>
        <w:rPr>
          <w:rFonts w:hint="default" w:ascii="Times New Roman" w:hAnsi="Times New Roman" w:cs="Times New Roman"/>
          <w:b w:val="0"/>
          <w:bCs w:val="0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mRNA levels in uterine tissues from control (n = 7) and 6% Leu (n = 7) groups.</w:t>
      </w:r>
      <w:r>
        <w:rPr>
          <w:rFonts w:hint="eastAsia" w:ascii="Times New Roman" w:hAnsi="Times New Roman" w:cs="Times New Roman"/>
          <w:b w:val="0"/>
          <w:bCs w:val="0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(</w:t>
      </w:r>
      <w:r>
        <w:rPr>
          <w:rFonts w:hint="eastAsia" w:ascii="Times New Roman" w:hAnsi="Times New Roman" w:cs="Times New Roman"/>
          <w:b/>
          <w:bCs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E</w:t>
      </w:r>
      <w:r>
        <w:rPr>
          <w:rFonts w:hint="eastAsia" w:ascii="Times New Roman" w:hAnsi="Times New Roman" w:cs="Times New Roman"/>
          <w:b w:val="0"/>
          <w:bCs w:val="0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) The expression of FOXO1 in DSCs under high BCAA treatment. (</w:t>
      </w:r>
      <w:r>
        <w:rPr>
          <w:rFonts w:hint="eastAsia" w:ascii="Times New Roman" w:hAnsi="Times New Roman" w:cs="Times New Roman"/>
          <w:b/>
          <w:bCs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F</w:t>
      </w:r>
      <w:r>
        <w:rPr>
          <w:rFonts w:hint="eastAsia" w:ascii="Times New Roman" w:hAnsi="Times New Roman" w:cs="Times New Roman"/>
          <w:b w:val="0"/>
          <w:bCs w:val="0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) The expression of FOXO1 in senescent DSCs induced by H</w:t>
      </w:r>
      <w:r>
        <w:rPr>
          <w:rFonts w:hint="eastAsia" w:ascii="Times New Roman" w:hAnsi="Times New Roman" w:cs="Times New Roman"/>
          <w:b w:val="0"/>
          <w:bCs w:val="0"/>
          <w:color w:val="000000" w:themeColor="text1"/>
          <w:sz w:val="24"/>
          <w:szCs w:val="24"/>
          <w:vertAlign w:val="subscript"/>
          <w:lang w:val="en-US" w:eastAsia="zh-CN"/>
          <w14:textFill>
            <w14:solidFill>
              <w14:schemeClr w14:val="tx1"/>
            </w14:solidFill>
          </w14:textFill>
        </w:rPr>
        <w:t>2</w:t>
      </w:r>
      <w:r>
        <w:rPr>
          <w:rFonts w:hint="eastAsia" w:ascii="Times New Roman" w:hAnsi="Times New Roman" w:cs="Times New Roman"/>
          <w:b w:val="0"/>
          <w:bCs w:val="0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O</w:t>
      </w:r>
      <w:r>
        <w:rPr>
          <w:rFonts w:hint="eastAsia" w:ascii="Times New Roman" w:hAnsi="Times New Roman" w:cs="Times New Roman"/>
          <w:b w:val="0"/>
          <w:bCs w:val="0"/>
          <w:color w:val="000000" w:themeColor="text1"/>
          <w:sz w:val="24"/>
          <w:szCs w:val="24"/>
          <w:vertAlign w:val="subscript"/>
          <w:lang w:val="en-US" w:eastAsia="zh-CN"/>
          <w14:textFill>
            <w14:solidFill>
              <w14:schemeClr w14:val="tx1"/>
            </w14:solidFill>
          </w14:textFill>
        </w:rPr>
        <w:t>2</w:t>
      </w:r>
      <w:r>
        <w:rPr>
          <w:rFonts w:hint="eastAsia" w:ascii="Times New Roman" w:hAnsi="Times New Roman" w:cs="Times New Roman"/>
          <w:b w:val="0"/>
          <w:bCs w:val="0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. (</w:t>
      </w:r>
      <w:r>
        <w:rPr>
          <w:rFonts w:hint="eastAsia" w:ascii="Times New Roman" w:hAnsi="Times New Roman" w:cs="Times New Roman"/>
          <w:b/>
          <w:bCs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G</w:t>
      </w:r>
      <w:r>
        <w:rPr>
          <w:rFonts w:hint="eastAsia" w:ascii="Times New Roman" w:hAnsi="Times New Roman" w:cs="Times New Roman"/>
          <w:b w:val="0"/>
          <w:bCs w:val="0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) The expression of FOXO1 in senescent DSCs induced by D-galactose. (</w:t>
      </w:r>
      <w:r>
        <w:rPr>
          <w:rFonts w:hint="eastAsia" w:ascii="Times New Roman" w:hAnsi="Times New Roman" w:cs="Times New Roman"/>
          <w:b/>
          <w:bCs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H</w:t>
      </w:r>
      <w:r>
        <w:rPr>
          <w:rFonts w:hint="eastAsia" w:ascii="Times New Roman" w:hAnsi="Times New Roman" w:cs="Times New Roman"/>
          <w:b w:val="0"/>
          <w:bCs w:val="0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) The expression of FOXO1 in DSCs after treatment with 3-MA. The relative expression levels of proteins were normalized using the internal reference protein GAPDH. </w:t>
      </w:r>
      <w:r>
        <w:rPr>
          <w:rFonts w:hint="default" w:ascii="Times New Roman" w:hAnsi="Times New Roman" w:cs="Times New Roman"/>
          <w:b w:val="0"/>
          <w:bCs w:val="0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Data were presented as mean ± SEM and analyzed by</w:t>
      </w:r>
      <w:r>
        <w:rPr>
          <w:rFonts w:hint="eastAsia" w:ascii="Times New Roman" w:hAnsi="Times New Roman" w:cs="Times New Roman"/>
          <w:b w:val="0"/>
          <w:bCs w:val="0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unpaired t-test or Mann-Whitney U test</w:t>
      </w:r>
      <w:r>
        <w:rPr>
          <w:rFonts w:hint="eastAsia" w:ascii="Times New Roman" w:hAnsi="Times New Roman" w:cs="Times New Roman"/>
          <w:b w:val="0"/>
          <w:bCs w:val="0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. </w:t>
      </w:r>
      <w:r>
        <w:rPr>
          <w:rFonts w:hint="default" w:ascii="Times New Roman" w:hAnsi="Times New Roman" w:cs="Times New Roman"/>
          <w:b w:val="0"/>
          <w:bCs w:val="0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*P &lt; 0.05</w:t>
      </w:r>
      <w:r>
        <w:rPr>
          <w:rFonts w:hint="eastAsia" w:ascii="Times New Roman" w:hAnsi="Times New Roman" w:cs="Times New Roman"/>
          <w:b w:val="0"/>
          <w:bCs w:val="0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, </w:t>
      </w:r>
      <w:r>
        <w:rPr>
          <w:rFonts w:hint="default" w:ascii="Times New Roman" w:hAnsi="Times New Roman" w:cs="Times New Roman"/>
          <w:b w:val="0"/>
          <w:bCs w:val="0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***P &lt; 0.001</w:t>
      </w:r>
      <w:r>
        <w:rPr>
          <w:rFonts w:hint="eastAsia" w:ascii="Times New Roman" w:hAnsi="Times New Roman" w:cs="Times New Roman"/>
          <w:b w:val="0"/>
          <w:bCs w:val="0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, </w:t>
      </w:r>
      <w:r>
        <w:rPr>
          <w:rFonts w:hint="default" w:ascii="Times New Roman" w:hAnsi="Times New Roman" w:cs="Times New Roman"/>
          <w:b w:val="0"/>
          <w:bCs w:val="0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****P &lt; 0.0001.</w:t>
      </w:r>
    </w:p>
    <w:p w14:paraId="7C62E05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480" w:lineRule="auto"/>
        <w:textAlignment w:val="auto"/>
        <w:rPr>
          <w:rFonts w:hint="default" w:ascii="Times New Roman" w:hAnsi="Times New Roman" w:cs="Times New Roman"/>
          <w:b w:val="0"/>
          <w:bCs w:val="0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b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Figure S</w:t>
      </w:r>
      <w:r>
        <w:rPr>
          <w:rFonts w:hint="eastAsia" w:ascii="Times New Roman" w:hAnsi="Times New Roman" w:cs="Times New Roman"/>
          <w:b/>
          <w:bCs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3</w:t>
      </w:r>
      <w:r>
        <w:rPr>
          <w:rFonts w:hint="default" w:ascii="Times New Roman" w:hAnsi="Times New Roman" w:cs="Times New Roman"/>
          <w:b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.</w:t>
      </w:r>
      <w:r>
        <w:rPr>
          <w:rFonts w:hint="eastAsia" w:ascii="Times New Roman" w:hAnsi="Times New Roman" w:cs="Times New Roman"/>
          <w:b/>
          <w:bCs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Rapamycin alleviates excessive leucine-induced uterine senescence.</w:t>
      </w:r>
      <w:r>
        <w:rPr>
          <w:rFonts w:hint="default" w:ascii="Times New Roman" w:hAnsi="Times New Roman" w:cs="Times New Roman"/>
          <w:b/>
          <w:bCs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cs="Times New Roman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(</w:t>
      </w:r>
      <w:r>
        <w:rPr>
          <w:rFonts w:hint="default" w:ascii="Times New Roman" w:hAnsi="Times New Roman" w:cs="Times New Roman"/>
          <w:b/>
          <w:bCs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A</w:t>
      </w:r>
      <w:r>
        <w:rPr>
          <w:rFonts w:hint="default" w:ascii="Times New Roman" w:hAnsi="Times New Roman" w:cs="Times New Roman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)</w:t>
      </w:r>
      <w:r>
        <w:rPr>
          <w:rFonts w:hint="eastAsia" w:ascii="Times New Roman" w:hAnsi="Times New Roman" w:cs="Times New Roman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Immunofluorescence analysis of CDKN1A/p21 and TP53/p53 protein expression in DSCs from the control (Ctrl; n = 6) and 6% Leucine </w:t>
      </w:r>
      <w:r>
        <w:rPr>
          <w:rFonts w:hint="default" w:ascii="Times New Roman" w:hAnsi="Times New Roman" w:cs="Times New Roman"/>
          <w:b w:val="0"/>
          <w:bCs w:val="0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(6%</w:t>
      </w:r>
      <w:r>
        <w:rPr>
          <w:rFonts w:hint="default" w:ascii="Times New Roman" w:hAnsi="Times New Roman" w:cs="Times New Roman"/>
          <w:b w:val="0"/>
          <w:bCs w:val="0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Leu; n = 6) groups.</w:t>
      </w:r>
      <w:r>
        <w:rPr>
          <w:rFonts w:hint="eastAsia" w:ascii="Times New Roman" w:hAnsi="Times New Roman" w:cs="Times New Roman"/>
          <w:b w:val="0"/>
          <w:bCs w:val="0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(</w:t>
      </w:r>
      <w:r>
        <w:rPr>
          <w:rFonts w:hint="default" w:ascii="Times New Roman" w:hAnsi="Times New Roman" w:cs="Times New Roman"/>
          <w:b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B</w:t>
      </w:r>
      <w:r>
        <w:rPr>
          <w:rFonts w:hint="default" w:ascii="Times New Roman" w:hAnsi="Times New Roman" w:cs="Times New Roman"/>
          <w:b w:val="0"/>
          <w:bCs w:val="0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)</w:t>
      </w:r>
      <w:r>
        <w:rPr>
          <w:rFonts w:hint="eastAsia" w:ascii="Times New Roman" w:hAnsi="Times New Roman" w:cs="Times New Roman"/>
          <w:b w:val="0"/>
          <w:bCs w:val="0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Immunofluorescence</w:t>
      </w:r>
      <w:r>
        <w:rPr>
          <w:rFonts w:hint="default" w:ascii="Times New Roman" w:hAnsi="Times New Roman" w:cs="Times New Roman"/>
          <w:b w:val="0"/>
          <w:bCs w:val="0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analysis of the distribution and intensity of CDKN1A and TP53 in uterine tissues from the 6% Leu (n = 6) and</w:t>
      </w:r>
      <w:r>
        <w:rPr>
          <w:rFonts w:hint="default" w:ascii="Times New Roman" w:hAnsi="Times New Roman" w:cs="Times New Roman"/>
          <w:b w:val="0"/>
          <w:bCs w:val="0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6% Leu + Rapa ( n = 6) groups.</w:t>
      </w:r>
      <w:r>
        <w:rPr>
          <w:rFonts w:hint="eastAsia" w:ascii="Times New Roman" w:hAnsi="Times New Roman" w:cs="Times New Roman"/>
          <w:b w:val="0"/>
          <w:bCs w:val="0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(</w:t>
      </w:r>
      <w:r>
        <w:rPr>
          <w:rFonts w:hint="default" w:ascii="Times New Roman" w:hAnsi="Times New Roman" w:cs="Times New Roman"/>
          <w:b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C</w:t>
      </w:r>
      <w:r>
        <w:rPr>
          <w:rFonts w:hint="default" w:ascii="Times New Roman" w:hAnsi="Times New Roman" w:cs="Times New Roman"/>
          <w:b w:val="0"/>
          <w:bCs w:val="0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)</w:t>
      </w:r>
      <w:r>
        <w:rPr>
          <w:rFonts w:hint="eastAsia" w:ascii="Times New Roman" w:hAnsi="Times New Roman" w:cs="Times New Roman"/>
          <w:b w:val="0"/>
          <w:bCs w:val="0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RT-qPCR was used to analyze the relative mRNA levels of autophagy-related genes </w:t>
      </w:r>
      <w:r>
        <w:rPr>
          <w:rFonts w:hint="default" w:ascii="Times New Roman" w:hAnsi="Times New Roman" w:cs="Times New Roman"/>
          <w:b w:val="0"/>
          <w:bCs w:val="0"/>
          <w:i/>
          <w:i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Becn1, Sqstm1</w:t>
      </w:r>
      <w:r>
        <w:rPr>
          <w:rFonts w:hint="default" w:ascii="Times New Roman" w:hAnsi="Times New Roman" w:cs="Times New Roman"/>
          <w:b w:val="0"/>
          <w:bCs w:val="0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and </w:t>
      </w:r>
      <w:r>
        <w:rPr>
          <w:rFonts w:hint="default" w:ascii="Times New Roman" w:hAnsi="Times New Roman" w:cs="Times New Roman"/>
          <w:b w:val="0"/>
          <w:bCs w:val="0"/>
          <w:i/>
          <w:i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Map1lc3b</w:t>
      </w:r>
      <w:r>
        <w:rPr>
          <w:rFonts w:hint="default" w:ascii="Times New Roman" w:hAnsi="Times New Roman" w:cs="Times New Roman"/>
          <w:b w:val="0"/>
          <w:bCs w:val="0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in uterine tissues.</w:t>
      </w:r>
      <w:r>
        <w:rPr>
          <w:rFonts w:hint="eastAsia" w:ascii="Times New Roman" w:hAnsi="Times New Roman" w:cs="Times New Roman"/>
          <w:b w:val="0"/>
          <w:bCs w:val="0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Data were presented as mean ± SEM and analyzed by Mann-Whitney U test</w:t>
      </w:r>
      <w:r>
        <w:rPr>
          <w:rFonts w:hint="eastAsia" w:ascii="Times New Roman" w:hAnsi="Times New Roman" w:cs="Times New Roman"/>
          <w:b w:val="0"/>
          <w:bCs w:val="0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. </w:t>
      </w:r>
      <w:r>
        <w:rPr>
          <w:rFonts w:hint="default" w:ascii="Times New Roman" w:hAnsi="Times New Roman" w:cs="Times New Roman"/>
          <w:b w:val="0"/>
          <w:bCs w:val="0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*P &lt; 0.05</w:t>
      </w:r>
      <w:r>
        <w:rPr>
          <w:rFonts w:hint="eastAsia" w:ascii="Times New Roman" w:hAnsi="Times New Roman" w:cs="Times New Roman"/>
          <w:b w:val="0"/>
          <w:bCs w:val="0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, </w:t>
      </w:r>
      <w:r>
        <w:rPr>
          <w:rFonts w:hint="default"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**P &lt; 0.01</w:t>
      </w:r>
      <w:r>
        <w:rPr>
          <w:rFonts w:hint="eastAsia" w:ascii="Times New Roman" w:hAnsi="Times New Roman" w:cs="Times New Roman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, </w:t>
      </w:r>
      <w:r>
        <w:rPr>
          <w:rFonts w:hint="default" w:ascii="Times New Roman" w:hAnsi="Times New Roman" w:cs="Times New Roman"/>
          <w:b w:val="0"/>
          <w:bCs w:val="0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****P &lt; 0.0001.</w:t>
      </w:r>
    </w:p>
    <w:p w14:paraId="1F9548E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480" w:lineRule="auto"/>
        <w:textAlignment w:val="auto"/>
        <w:rPr>
          <w:rFonts w:hint="default" w:ascii="Times New Roman" w:hAnsi="Times New Roman" w:cs="Times New Roman"/>
          <w:b w:val="0"/>
          <w:bCs w:val="0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32F2668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480" w:lineRule="auto"/>
        <w:jc w:val="left"/>
        <w:textAlignment w:val="auto"/>
        <w:rPr>
          <w:rFonts w:hint="eastAsia" w:ascii="Times New Roman" w:hAnsi="Times New Roman" w:cs="Times New Roman" w:eastAsiaTheme="minorEastAsia"/>
          <w:b w:val="0"/>
          <w:bCs w:val="0"/>
          <w:color w:val="000000" w:themeColor="text1"/>
          <w:sz w:val="24"/>
          <w:szCs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b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Figure S1</w:t>
      </w:r>
      <w:r>
        <w:rPr>
          <w:rFonts w:hint="eastAsia" w:ascii="Times New Roman" w:hAnsi="Times New Roman" w:cs="Times New Roman" w:eastAsiaTheme="minorEastAsia"/>
          <w:b w:val="0"/>
          <w:bCs w:val="0"/>
          <w:color w:val="000000" w:themeColor="text1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drawing>
          <wp:inline distT="0" distB="0" distL="114300" distR="114300">
            <wp:extent cx="5269865" cy="4255135"/>
            <wp:effectExtent l="0" t="0" r="6985" b="2540"/>
            <wp:docPr id="2" name="图片 2" descr="FigureS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FigureS1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42551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70905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480" w:lineRule="auto"/>
        <w:jc w:val="left"/>
        <w:textAlignment w:val="auto"/>
        <w:rPr>
          <w:rFonts w:hint="default" w:ascii="Times New Roman" w:hAnsi="Times New Roman" w:cs="Times New Roman"/>
          <w:b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767A9B7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480" w:lineRule="auto"/>
        <w:jc w:val="left"/>
        <w:textAlignment w:val="auto"/>
        <w:rPr>
          <w:rFonts w:hint="default" w:ascii="Times New Roman" w:hAnsi="Times New Roman" w:cs="Times New Roman"/>
          <w:b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028183E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480" w:lineRule="auto"/>
        <w:jc w:val="left"/>
        <w:textAlignment w:val="auto"/>
        <w:rPr>
          <w:rFonts w:hint="default" w:ascii="Times New Roman" w:hAnsi="Times New Roman" w:cs="Times New Roman"/>
          <w:b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49DD720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480" w:lineRule="auto"/>
        <w:jc w:val="left"/>
        <w:textAlignment w:val="auto"/>
        <w:rPr>
          <w:rFonts w:hint="eastAsia" w:ascii="Times New Roman" w:hAnsi="Times New Roman" w:cs="Times New Roman"/>
          <w:b/>
          <w:bCs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b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Figure S</w:t>
      </w:r>
      <w:r>
        <w:rPr>
          <w:rFonts w:hint="eastAsia" w:ascii="Times New Roman" w:hAnsi="Times New Roman" w:cs="Times New Roman"/>
          <w:b/>
          <w:bCs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2</w:t>
      </w:r>
    </w:p>
    <w:p w14:paraId="48EAD18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480" w:lineRule="auto"/>
        <w:jc w:val="left"/>
        <w:textAlignment w:val="auto"/>
        <w:rPr>
          <w:rFonts w:hint="eastAsia" w:ascii="Times New Roman" w:hAnsi="Times New Roman" w:cs="Times New Roman"/>
          <w:b/>
          <w:bCs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cs="Times New Roman"/>
          <w:b/>
          <w:bCs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drawing>
          <wp:inline distT="0" distB="0" distL="114300" distR="114300">
            <wp:extent cx="5269865" cy="2860040"/>
            <wp:effectExtent l="0" t="0" r="6985" b="6985"/>
            <wp:docPr id="3" name="图片 3" descr="FigureS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FigureS2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2860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40EF7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480" w:lineRule="auto"/>
        <w:jc w:val="left"/>
        <w:textAlignment w:val="auto"/>
        <w:rPr>
          <w:rFonts w:hint="default" w:ascii="Times New Roman" w:hAnsi="Times New Roman" w:cs="Times New Roman"/>
          <w:b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57A3797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480" w:lineRule="auto"/>
        <w:jc w:val="left"/>
        <w:textAlignment w:val="auto"/>
        <w:rPr>
          <w:rFonts w:hint="default" w:ascii="Times New Roman" w:hAnsi="Times New Roman" w:cs="Times New Roman"/>
          <w:b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18DE05B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480" w:lineRule="auto"/>
        <w:jc w:val="left"/>
        <w:textAlignment w:val="auto"/>
        <w:rPr>
          <w:rFonts w:hint="default" w:ascii="Times New Roman" w:hAnsi="Times New Roman" w:cs="Times New Roman"/>
          <w:b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039B7EF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480" w:lineRule="auto"/>
        <w:jc w:val="left"/>
        <w:textAlignment w:val="auto"/>
        <w:rPr>
          <w:rFonts w:hint="default" w:ascii="Times New Roman" w:hAnsi="Times New Roman" w:cs="Times New Roman"/>
          <w:b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78E6361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480" w:lineRule="auto"/>
        <w:jc w:val="left"/>
        <w:textAlignment w:val="auto"/>
        <w:rPr>
          <w:rFonts w:hint="default" w:ascii="Times New Roman" w:hAnsi="Times New Roman" w:cs="Times New Roman"/>
          <w:b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1B1B52A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480" w:lineRule="auto"/>
        <w:jc w:val="left"/>
        <w:textAlignment w:val="auto"/>
        <w:rPr>
          <w:rFonts w:hint="default" w:ascii="Times New Roman" w:hAnsi="Times New Roman" w:cs="Times New Roman"/>
          <w:b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10CA033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480" w:lineRule="auto"/>
        <w:jc w:val="left"/>
        <w:textAlignment w:val="auto"/>
        <w:rPr>
          <w:rFonts w:hint="default" w:ascii="Times New Roman" w:hAnsi="Times New Roman" w:cs="Times New Roman"/>
          <w:b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181107A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480" w:lineRule="auto"/>
        <w:jc w:val="left"/>
        <w:textAlignment w:val="auto"/>
        <w:rPr>
          <w:rFonts w:hint="default" w:ascii="Times New Roman" w:hAnsi="Times New Roman" w:cs="Times New Roman"/>
          <w:b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16C73E0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480" w:lineRule="auto"/>
        <w:jc w:val="left"/>
        <w:textAlignment w:val="auto"/>
        <w:rPr>
          <w:rFonts w:hint="default" w:ascii="Times New Roman" w:hAnsi="Times New Roman" w:cs="Times New Roman"/>
          <w:b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4FE6944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480" w:lineRule="auto"/>
        <w:jc w:val="left"/>
        <w:textAlignment w:val="auto"/>
        <w:rPr>
          <w:rFonts w:hint="default" w:ascii="Times New Roman" w:hAnsi="Times New Roman" w:cs="Times New Roman"/>
          <w:b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01ADC05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480" w:lineRule="auto"/>
        <w:jc w:val="left"/>
        <w:textAlignment w:val="auto"/>
        <w:rPr>
          <w:rFonts w:hint="default" w:ascii="Times New Roman" w:hAnsi="Times New Roman" w:cs="Times New Roman"/>
          <w:b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2FD190E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480" w:lineRule="auto"/>
        <w:jc w:val="left"/>
        <w:textAlignment w:val="auto"/>
        <w:rPr>
          <w:rFonts w:hint="default" w:ascii="Times New Roman" w:hAnsi="Times New Roman" w:cs="Times New Roman"/>
          <w:b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63F14BC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480" w:lineRule="auto"/>
        <w:jc w:val="left"/>
        <w:textAlignment w:val="auto"/>
        <w:rPr>
          <w:rFonts w:hint="default" w:ascii="Times New Roman" w:hAnsi="Times New Roman" w:cs="Times New Roman"/>
          <w:b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0BDC6D7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480" w:lineRule="auto"/>
        <w:jc w:val="left"/>
        <w:textAlignment w:val="auto"/>
        <w:rPr>
          <w:rFonts w:hint="default" w:ascii="Times New Roman" w:hAnsi="Times New Roman" w:cs="Times New Roman"/>
          <w:b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724E7FA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480" w:lineRule="auto"/>
        <w:jc w:val="left"/>
        <w:textAlignment w:val="auto"/>
        <w:rPr>
          <w:rFonts w:hint="eastAsia" w:ascii="Times New Roman" w:hAnsi="Times New Roman" w:cs="Times New Roman"/>
          <w:b/>
          <w:bCs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b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Figure S</w:t>
      </w:r>
      <w:r>
        <w:rPr>
          <w:rFonts w:hint="eastAsia" w:ascii="Times New Roman" w:hAnsi="Times New Roman" w:cs="Times New Roman"/>
          <w:b/>
          <w:bCs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3</w:t>
      </w:r>
    </w:p>
    <w:p w14:paraId="51157A3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480" w:lineRule="auto"/>
        <w:jc w:val="left"/>
        <w:textAlignment w:val="auto"/>
        <w:rPr>
          <w:rFonts w:hint="eastAsia" w:ascii="Times New Roman" w:hAnsi="Times New Roman" w:cs="Times New Roman"/>
          <w:b/>
          <w:bCs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cs="Times New Roman"/>
          <w:b/>
          <w:bCs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drawing>
          <wp:inline distT="0" distB="0" distL="114300" distR="114300">
            <wp:extent cx="5269865" cy="6044565"/>
            <wp:effectExtent l="0" t="0" r="6985" b="3810"/>
            <wp:docPr id="4" name="图片 4" descr="FigureS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FigureS3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60445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footerReference r:id="rId3" w:type="default"/>
      <w:pgSz w:w="11906" w:h="16838"/>
      <w:pgMar w:top="1440" w:right="1800" w:bottom="1440" w:left="1800" w:header="851" w:footer="992" w:gutter="0"/>
      <w:lnNumType w:countBy="0" w:restart="continuous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D2674AE"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7CAA3E6">
                          <w:pPr>
                            <w:pStyle w:val="4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27CAA3E6">
                    <w:pPr>
                      <w:pStyle w:val="4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removePersonalInformation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296D"/>
    <w:rsid w:val="00003A9E"/>
    <w:rsid w:val="0001646F"/>
    <w:rsid w:val="00022A91"/>
    <w:rsid w:val="00063DBF"/>
    <w:rsid w:val="000749DD"/>
    <w:rsid w:val="000D20AC"/>
    <w:rsid w:val="000D430B"/>
    <w:rsid w:val="000E781C"/>
    <w:rsid w:val="000F1A67"/>
    <w:rsid w:val="001006FA"/>
    <w:rsid w:val="001009D3"/>
    <w:rsid w:val="0012007A"/>
    <w:rsid w:val="0014048D"/>
    <w:rsid w:val="001456A5"/>
    <w:rsid w:val="001607F8"/>
    <w:rsid w:val="0016609A"/>
    <w:rsid w:val="001677C0"/>
    <w:rsid w:val="001A0A63"/>
    <w:rsid w:val="001A1A7D"/>
    <w:rsid w:val="001B16F1"/>
    <w:rsid w:val="001B2B8F"/>
    <w:rsid w:val="001B6C92"/>
    <w:rsid w:val="001B7AB5"/>
    <w:rsid w:val="001D1D3C"/>
    <w:rsid w:val="001D3CD8"/>
    <w:rsid w:val="001E57D6"/>
    <w:rsid w:val="00201B83"/>
    <w:rsid w:val="002169F8"/>
    <w:rsid w:val="00231780"/>
    <w:rsid w:val="0025168E"/>
    <w:rsid w:val="00253A28"/>
    <w:rsid w:val="0025626C"/>
    <w:rsid w:val="00261279"/>
    <w:rsid w:val="00262803"/>
    <w:rsid w:val="002A3C16"/>
    <w:rsid w:val="002B63A4"/>
    <w:rsid w:val="002C3718"/>
    <w:rsid w:val="002D7921"/>
    <w:rsid w:val="002E02B7"/>
    <w:rsid w:val="002F72FA"/>
    <w:rsid w:val="00303DEA"/>
    <w:rsid w:val="003103B5"/>
    <w:rsid w:val="00337D63"/>
    <w:rsid w:val="0034229D"/>
    <w:rsid w:val="00342AAC"/>
    <w:rsid w:val="00351F9E"/>
    <w:rsid w:val="00352C6E"/>
    <w:rsid w:val="003540C2"/>
    <w:rsid w:val="00354A45"/>
    <w:rsid w:val="00354F22"/>
    <w:rsid w:val="00363F16"/>
    <w:rsid w:val="00367BE0"/>
    <w:rsid w:val="003B13E1"/>
    <w:rsid w:val="003B7D16"/>
    <w:rsid w:val="003C01AC"/>
    <w:rsid w:val="003C08DF"/>
    <w:rsid w:val="003C5517"/>
    <w:rsid w:val="003D36F4"/>
    <w:rsid w:val="003E00D0"/>
    <w:rsid w:val="003F3143"/>
    <w:rsid w:val="0041263F"/>
    <w:rsid w:val="00413AD0"/>
    <w:rsid w:val="004224BC"/>
    <w:rsid w:val="00447099"/>
    <w:rsid w:val="0045034E"/>
    <w:rsid w:val="00460FD3"/>
    <w:rsid w:val="00466B2C"/>
    <w:rsid w:val="00467381"/>
    <w:rsid w:val="004820B3"/>
    <w:rsid w:val="004A1925"/>
    <w:rsid w:val="004D6BAA"/>
    <w:rsid w:val="004D7944"/>
    <w:rsid w:val="004E3346"/>
    <w:rsid w:val="005010B0"/>
    <w:rsid w:val="00530D2D"/>
    <w:rsid w:val="0053290F"/>
    <w:rsid w:val="00572F34"/>
    <w:rsid w:val="00587C1A"/>
    <w:rsid w:val="0059516A"/>
    <w:rsid w:val="005B0141"/>
    <w:rsid w:val="005C192A"/>
    <w:rsid w:val="005E3512"/>
    <w:rsid w:val="005E62DA"/>
    <w:rsid w:val="005E6F29"/>
    <w:rsid w:val="005F19DA"/>
    <w:rsid w:val="00603AB1"/>
    <w:rsid w:val="00604281"/>
    <w:rsid w:val="00613056"/>
    <w:rsid w:val="00613D1D"/>
    <w:rsid w:val="006142F9"/>
    <w:rsid w:val="00620DA4"/>
    <w:rsid w:val="006311DD"/>
    <w:rsid w:val="00632927"/>
    <w:rsid w:val="00632FD1"/>
    <w:rsid w:val="006342CF"/>
    <w:rsid w:val="00661A91"/>
    <w:rsid w:val="006743AB"/>
    <w:rsid w:val="00684195"/>
    <w:rsid w:val="00692DC4"/>
    <w:rsid w:val="00692FA9"/>
    <w:rsid w:val="006B2150"/>
    <w:rsid w:val="006B697B"/>
    <w:rsid w:val="006C6FE6"/>
    <w:rsid w:val="006D03E7"/>
    <w:rsid w:val="006E711E"/>
    <w:rsid w:val="006F3FCE"/>
    <w:rsid w:val="006F7B13"/>
    <w:rsid w:val="007077E4"/>
    <w:rsid w:val="007104FB"/>
    <w:rsid w:val="007111D7"/>
    <w:rsid w:val="0071171D"/>
    <w:rsid w:val="007274F7"/>
    <w:rsid w:val="00730971"/>
    <w:rsid w:val="00777B6C"/>
    <w:rsid w:val="00780CC2"/>
    <w:rsid w:val="00795B78"/>
    <w:rsid w:val="00796DD9"/>
    <w:rsid w:val="007A11CC"/>
    <w:rsid w:val="007E7518"/>
    <w:rsid w:val="00800DE5"/>
    <w:rsid w:val="00813A0C"/>
    <w:rsid w:val="00820D31"/>
    <w:rsid w:val="00823B59"/>
    <w:rsid w:val="00830FCB"/>
    <w:rsid w:val="00840B5C"/>
    <w:rsid w:val="00862C48"/>
    <w:rsid w:val="00865005"/>
    <w:rsid w:val="008669DC"/>
    <w:rsid w:val="008749C3"/>
    <w:rsid w:val="00877164"/>
    <w:rsid w:val="008813A3"/>
    <w:rsid w:val="008817C2"/>
    <w:rsid w:val="00883471"/>
    <w:rsid w:val="00885181"/>
    <w:rsid w:val="00885460"/>
    <w:rsid w:val="008B1C05"/>
    <w:rsid w:val="008B26FE"/>
    <w:rsid w:val="008C1609"/>
    <w:rsid w:val="008C33B2"/>
    <w:rsid w:val="008E0D68"/>
    <w:rsid w:val="008E19BF"/>
    <w:rsid w:val="00923BBD"/>
    <w:rsid w:val="009248C3"/>
    <w:rsid w:val="00954023"/>
    <w:rsid w:val="00954707"/>
    <w:rsid w:val="00955B8B"/>
    <w:rsid w:val="00975231"/>
    <w:rsid w:val="009911FE"/>
    <w:rsid w:val="009A30BC"/>
    <w:rsid w:val="009B1C26"/>
    <w:rsid w:val="009B2A5F"/>
    <w:rsid w:val="009B72B8"/>
    <w:rsid w:val="009F3D06"/>
    <w:rsid w:val="009F4F1E"/>
    <w:rsid w:val="009F69F0"/>
    <w:rsid w:val="00A04DB6"/>
    <w:rsid w:val="00A06604"/>
    <w:rsid w:val="00A078FD"/>
    <w:rsid w:val="00A352BD"/>
    <w:rsid w:val="00A40D30"/>
    <w:rsid w:val="00A479F5"/>
    <w:rsid w:val="00A51740"/>
    <w:rsid w:val="00A602BD"/>
    <w:rsid w:val="00A613E7"/>
    <w:rsid w:val="00A72037"/>
    <w:rsid w:val="00A749F6"/>
    <w:rsid w:val="00A74FB3"/>
    <w:rsid w:val="00A85469"/>
    <w:rsid w:val="00AA29A0"/>
    <w:rsid w:val="00AA542F"/>
    <w:rsid w:val="00AB0CF8"/>
    <w:rsid w:val="00AC6A59"/>
    <w:rsid w:val="00AE0CCD"/>
    <w:rsid w:val="00AF7984"/>
    <w:rsid w:val="00B068B6"/>
    <w:rsid w:val="00B27AEA"/>
    <w:rsid w:val="00B43834"/>
    <w:rsid w:val="00B441DE"/>
    <w:rsid w:val="00B51648"/>
    <w:rsid w:val="00BC7525"/>
    <w:rsid w:val="00BD71AB"/>
    <w:rsid w:val="00BE7D02"/>
    <w:rsid w:val="00BF62BB"/>
    <w:rsid w:val="00C024FF"/>
    <w:rsid w:val="00C04BDF"/>
    <w:rsid w:val="00C13513"/>
    <w:rsid w:val="00C2296D"/>
    <w:rsid w:val="00C27B94"/>
    <w:rsid w:val="00C34134"/>
    <w:rsid w:val="00C417C8"/>
    <w:rsid w:val="00C45C86"/>
    <w:rsid w:val="00C50CDE"/>
    <w:rsid w:val="00C72AC0"/>
    <w:rsid w:val="00C76CEF"/>
    <w:rsid w:val="00C77270"/>
    <w:rsid w:val="00C84388"/>
    <w:rsid w:val="00CB4C14"/>
    <w:rsid w:val="00CC45FC"/>
    <w:rsid w:val="00CC6018"/>
    <w:rsid w:val="00CE6DA3"/>
    <w:rsid w:val="00D00004"/>
    <w:rsid w:val="00D0492A"/>
    <w:rsid w:val="00D06FB1"/>
    <w:rsid w:val="00D12FC3"/>
    <w:rsid w:val="00D37E04"/>
    <w:rsid w:val="00D610FD"/>
    <w:rsid w:val="00D70560"/>
    <w:rsid w:val="00D87D78"/>
    <w:rsid w:val="00DA3A4C"/>
    <w:rsid w:val="00DC1432"/>
    <w:rsid w:val="00DE5586"/>
    <w:rsid w:val="00DF66A7"/>
    <w:rsid w:val="00E116AD"/>
    <w:rsid w:val="00E207B6"/>
    <w:rsid w:val="00E402E4"/>
    <w:rsid w:val="00E537CE"/>
    <w:rsid w:val="00E63DDB"/>
    <w:rsid w:val="00E70DA1"/>
    <w:rsid w:val="00E83542"/>
    <w:rsid w:val="00E86F3D"/>
    <w:rsid w:val="00E95CE2"/>
    <w:rsid w:val="00EA26AD"/>
    <w:rsid w:val="00EE09EB"/>
    <w:rsid w:val="00F0672F"/>
    <w:rsid w:val="00F124F0"/>
    <w:rsid w:val="00F16E40"/>
    <w:rsid w:val="00F3084A"/>
    <w:rsid w:val="00F44ACF"/>
    <w:rsid w:val="00F565B8"/>
    <w:rsid w:val="00F61A93"/>
    <w:rsid w:val="00F73861"/>
    <w:rsid w:val="00F77C7D"/>
    <w:rsid w:val="00FC23E8"/>
    <w:rsid w:val="00FC718D"/>
    <w:rsid w:val="00FD4CC2"/>
    <w:rsid w:val="00FD6C8B"/>
    <w:rsid w:val="02AC7DD9"/>
    <w:rsid w:val="02CB1CF7"/>
    <w:rsid w:val="05321ACD"/>
    <w:rsid w:val="06E85787"/>
    <w:rsid w:val="0AB614DF"/>
    <w:rsid w:val="0F87344A"/>
    <w:rsid w:val="11AF526B"/>
    <w:rsid w:val="13963C5C"/>
    <w:rsid w:val="14213E6D"/>
    <w:rsid w:val="15E05680"/>
    <w:rsid w:val="160A53B3"/>
    <w:rsid w:val="16F951D2"/>
    <w:rsid w:val="178414DD"/>
    <w:rsid w:val="184A4E79"/>
    <w:rsid w:val="1AD856A1"/>
    <w:rsid w:val="1E8219AC"/>
    <w:rsid w:val="1F5A555C"/>
    <w:rsid w:val="213B5E42"/>
    <w:rsid w:val="225673D8"/>
    <w:rsid w:val="23645B24"/>
    <w:rsid w:val="24C3687B"/>
    <w:rsid w:val="25A641D2"/>
    <w:rsid w:val="26AA7CF2"/>
    <w:rsid w:val="28D96C7A"/>
    <w:rsid w:val="2B9754F3"/>
    <w:rsid w:val="2DF33D2D"/>
    <w:rsid w:val="2E1D6A09"/>
    <w:rsid w:val="2E316F84"/>
    <w:rsid w:val="31886E82"/>
    <w:rsid w:val="345920CE"/>
    <w:rsid w:val="36460C69"/>
    <w:rsid w:val="36E30DB3"/>
    <w:rsid w:val="37424CE7"/>
    <w:rsid w:val="3A377697"/>
    <w:rsid w:val="3AED7D56"/>
    <w:rsid w:val="3C662406"/>
    <w:rsid w:val="3F5A2709"/>
    <w:rsid w:val="409018AF"/>
    <w:rsid w:val="40ED0AAF"/>
    <w:rsid w:val="437B05F4"/>
    <w:rsid w:val="47D46525"/>
    <w:rsid w:val="484A4A39"/>
    <w:rsid w:val="4C8C3872"/>
    <w:rsid w:val="4CF82CB6"/>
    <w:rsid w:val="4DCD4F66"/>
    <w:rsid w:val="4E4C1591"/>
    <w:rsid w:val="512F7688"/>
    <w:rsid w:val="531A4C95"/>
    <w:rsid w:val="557650C0"/>
    <w:rsid w:val="56DC0F52"/>
    <w:rsid w:val="578A4E52"/>
    <w:rsid w:val="58D204C9"/>
    <w:rsid w:val="5A4F4485"/>
    <w:rsid w:val="5D83481E"/>
    <w:rsid w:val="63E770B0"/>
    <w:rsid w:val="64A07A63"/>
    <w:rsid w:val="66D405C4"/>
    <w:rsid w:val="6884144A"/>
    <w:rsid w:val="698952D0"/>
    <w:rsid w:val="69FA0715"/>
    <w:rsid w:val="6A790828"/>
    <w:rsid w:val="6B324DD7"/>
    <w:rsid w:val="6E7C509D"/>
    <w:rsid w:val="6EE37AB3"/>
    <w:rsid w:val="6F1277AF"/>
    <w:rsid w:val="6FBB33C3"/>
    <w:rsid w:val="70414A19"/>
    <w:rsid w:val="72D22014"/>
    <w:rsid w:val="73B52DFF"/>
    <w:rsid w:val="75A1188D"/>
    <w:rsid w:val="762D4ECF"/>
    <w:rsid w:val="77D71596"/>
    <w:rsid w:val="78A40B55"/>
    <w:rsid w:val="792720A9"/>
    <w:rsid w:val="7BF87332"/>
    <w:rsid w:val="7F3F17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qFormat="1"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qFormat="1"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宋体" w:hAnsi="宋体" w:eastAsia="宋体" w:cs="宋体"/>
      <w:sz w:val="24"/>
      <w:szCs w:val="24"/>
    </w:rPr>
  </w:style>
  <w:style w:type="paragraph" w:styleId="3">
    <w:name w:val="Balloon Text"/>
    <w:basedOn w:val="1"/>
    <w:link w:val="13"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2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HTML Preformatted"/>
    <w:basedOn w:val="1"/>
    <w:semiHidden/>
    <w:unhideWhenUsed/>
    <w:qFormat/>
    <w:uiPriority w:val="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hint="eastAsia" w:ascii="宋体" w:hAnsi="宋体" w:eastAsia="宋体" w:cs="宋体"/>
      <w:kern w:val="0"/>
      <w:sz w:val="24"/>
      <w:szCs w:val="24"/>
      <w:lang w:val="en-US" w:eastAsia="zh-CN" w:bidi="ar"/>
    </w:rPr>
  </w:style>
  <w:style w:type="table" w:styleId="8">
    <w:name w:val="Table Grid"/>
    <w:basedOn w:val="7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0">
    <w:name w:val="line number"/>
    <w:basedOn w:val="9"/>
    <w:semiHidden/>
    <w:unhideWhenUsed/>
    <w:qFormat/>
    <w:uiPriority w:val="99"/>
  </w:style>
  <w:style w:type="character" w:customStyle="1" w:styleId="11">
    <w:name w:val="Header Char"/>
    <w:basedOn w:val="9"/>
    <w:link w:val="5"/>
    <w:qFormat/>
    <w:uiPriority w:val="99"/>
    <w:rPr>
      <w:sz w:val="18"/>
      <w:szCs w:val="18"/>
    </w:rPr>
  </w:style>
  <w:style w:type="character" w:customStyle="1" w:styleId="12">
    <w:name w:val="Footer Char"/>
    <w:basedOn w:val="9"/>
    <w:link w:val="4"/>
    <w:qFormat/>
    <w:uiPriority w:val="99"/>
    <w:rPr>
      <w:sz w:val="18"/>
      <w:szCs w:val="18"/>
    </w:rPr>
  </w:style>
  <w:style w:type="character" w:customStyle="1" w:styleId="13">
    <w:name w:val="Balloon Text Char"/>
    <w:basedOn w:val="9"/>
    <w:link w:val="3"/>
    <w:semiHidden/>
    <w:qFormat/>
    <w:uiPriority w:val="99"/>
    <w:rPr>
      <w:sz w:val="18"/>
      <w:szCs w:val="18"/>
    </w:rPr>
  </w:style>
  <w:style w:type="paragraph" w:styleId="14">
    <w:name w:val="List Paragraph"/>
    <w:basedOn w:val="1"/>
    <w:qFormat/>
    <w:uiPriority w:val="34"/>
    <w:pPr>
      <w:ind w:firstLine="420" w:firstLineChars="200"/>
    </w:pPr>
  </w:style>
  <w:style w:type="character" w:customStyle="1" w:styleId="15">
    <w:name w:val="jlqj4b"/>
    <w:basedOn w:val="9"/>
    <w:qFormat/>
    <w:uiPriority w:val="0"/>
  </w:style>
  <w:style w:type="paragraph" w:customStyle="1" w:styleId="16">
    <w:name w:val="Revision"/>
    <w:hidden/>
    <w:semiHidden/>
    <w:qFormat/>
    <w:uiPriority w:val="99"/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2.xml"/><Relationship Id="rId8" Type="http://schemas.openxmlformats.org/officeDocument/2006/relationships/customXml" Target="../customXml/item1.xml"/><Relationship Id="rId7" Type="http://schemas.openxmlformats.org/officeDocument/2006/relationships/image" Target="media/image3.png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3BCECC6F-02AA-46D7-B9B3-64EF5F223C89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356</Words>
  <Characters>1749</Characters>
  <Lines>91</Lines>
  <Paragraphs>25</Paragraphs>
  <TotalTime>2</TotalTime>
  <ScaleCrop>false</ScaleCrop>
  <LinksUpToDate>false</LinksUpToDate>
  <CharactersWithSpaces>2098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2022-01-12T22:19:00Z</dcterms:created>
  <dcterms:modified xsi:type="dcterms:W3CDTF">2026-06-07T15:54:56Z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eyJoZGlkIjoiZGE2ZTM5N2I3NTlkNWE4MmFkZmVlOTQ2NGYwMDliNWYiLCJ1c2VySWQiOiIyODA5NTg4NDMifQ==</vt:lpwstr>
  </property>
  <property fmtid="{D5CDD505-2E9C-101B-9397-08002B2CF9AE}" pid="3" name="KSOProductBuildVer">
    <vt:lpwstr>2052-12.1.0.26895</vt:lpwstr>
  </property>
  <property fmtid="{D5CDD505-2E9C-101B-9397-08002B2CF9AE}" pid="4" name="ICV">
    <vt:lpwstr>DA099A066D494D6FAE0E9867344414DA_13</vt:lpwstr>
  </property>
</Properties>
</file>