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174ee2802fb575fce89e670d3b03256c635db6d"/>
    <w:p>
      <w:pPr>
        <w:pStyle w:val="Heading1"/>
      </w:pPr>
      <w:r>
        <w:t xml:space="preserve">STROBE Statement — checklist for cross-sectional studies</w:t>
      </w:r>
    </w:p>
    <w:p>
      <w:pPr>
        <w:pStyle w:val="FirstParagraph"/>
      </w:pPr>
      <w:r>
        <w:t xml:space="preserve">Mapping of STROBE items to the manuscript. Reported alongside CHERRIES (the survey-specific guideline).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Addressed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1a</w:t>
            </w:r>
          </w:p>
        </w:tc>
        <w:tc>
          <w:tcPr/>
          <w:p>
            <w:pPr>
              <w:pStyle w:val="Compact"/>
            </w:pPr>
            <w:r>
              <w:t xml:space="preserve">Study design in title/abstract</w:t>
            </w:r>
          </w:p>
        </w:tc>
        <w:tc>
          <w:tcPr/>
          <w:p>
            <w:pPr>
              <w:pStyle w:val="Compact"/>
            </w:pPr>
            <w:r>
              <w:t xml:space="preserve">Title: "national cross-sectional survey"; Abstract Methods.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1b</w:t>
            </w:r>
          </w:p>
        </w:tc>
        <w:tc>
          <w:tcPr/>
          <w:p>
            <w:pPr>
              <w:pStyle w:val="Compact"/>
            </w:pPr>
            <w:r>
              <w:t xml:space="preserve">Informative abstract</w:t>
            </w:r>
          </w:p>
        </w:tc>
        <w:tc>
          <w:tcPr/>
          <w:p>
            <w:pPr>
              <w:pStyle w:val="Compact"/>
            </w:pPr>
            <w:r>
              <w:t xml:space="preserve">Structured Abstract (Background/Methods/Results/Conclusions).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Background/rationale</w:t>
            </w:r>
          </w:p>
        </w:tc>
        <w:tc>
          <w:tcPr/>
          <w:p>
            <w:pPr>
              <w:pStyle w:val="Compact"/>
            </w:pPr>
            <w:r>
              <w:t xml:space="preserve">Background (AI in hematology; adoption depends on knowledge/attitudes/governance; evidence gap).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Objectives</w:t>
            </w:r>
          </w:p>
        </w:tc>
        <w:tc>
          <w:tcPr/>
          <w:p>
            <w:pPr>
              <w:pStyle w:val="Compact"/>
            </w:pPr>
            <w:r>
              <w:t xml:space="preserve">Background, final paragraph (seven-domain objectives + aim).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Study design</w:t>
            </w:r>
          </w:p>
        </w:tc>
        <w:tc>
          <w:tcPr/>
          <w:p>
            <w:pPr>
              <w:pStyle w:val="Compact"/>
            </w:pPr>
            <w:r>
              <w:t xml:space="preserve">Methods — "Study design and reporting" (cross-sectional, closed web survey; CHERRIES).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Setting</w:t>
            </w:r>
          </w:p>
        </w:tc>
        <w:tc>
          <w:tcPr/>
          <w:p>
            <w:pPr>
              <w:pStyle w:val="Compact"/>
            </w:pPr>
            <w:r>
              <w:t xml:space="preserve">Methods — "Setting, population and recruitment" (THD members; field 15–30 May 2026).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Participants / eligibility</w:t>
            </w:r>
          </w:p>
        </w:tc>
        <w:tc>
          <w:tcPr/>
          <w:p>
            <w:pPr>
              <w:pStyle w:val="Compact"/>
            </w:pPr>
            <w:r>
              <w:t xml:space="preserve">Methods — eligibility (practicing adult/pediatric hematologists; consent gate; exclusions).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Methods — "Survey instrument" (7 domains; item types); codebook (supplementary).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Data sources / measurement</w:t>
            </w:r>
          </w:p>
        </w:tc>
        <w:tc>
          <w:tcPr/>
          <w:p>
            <w:pPr>
              <w:pStyle w:val="Compact"/>
            </w:pPr>
            <w:r>
              <w:t xml:space="preserve">Methods — instrument + administration (Google Forms; 5-point Likert; multiple-response).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Bias</w:t>
            </w:r>
          </w:p>
        </w:tc>
        <w:tc>
          <w:tcPr/>
          <w:p>
            <w:pPr>
              <w:pStyle w:val="Compact"/>
            </w:pPr>
            <w:r>
              <w:t xml:space="preserve">Methods (closed survey, anonymity, dedup) + Discussion limitations (self-selection, non-response, social-desirability).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Study size</w:t>
            </w:r>
          </w:p>
        </w:tc>
        <w:tc>
          <w:tcPr/>
          <w:p>
            <w:pPr>
              <w:pStyle w:val="Compact"/>
            </w:pPr>
            <w:r>
              <w:t xml:space="preserve">Methods — invited 639; analyzed 146 (22.8%); SAP precision note (no a priori power, descriptive).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Quantitative variables</w:t>
            </w:r>
          </w:p>
        </w:tc>
        <w:tc>
          <w:tcPr/>
          <w:p>
            <w:pPr>
              <w:pStyle w:val="Compact"/>
            </w:pPr>
            <w:r>
              <w:t xml:space="preserve">Methods — data handling (Likert as ordinal; conditional denominators; composites; C5/C6/G1 decisions).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Statistical methods</w:t>
            </w:r>
          </w:p>
        </w:tc>
        <w:tc>
          <w:tcPr/>
          <w:p>
            <w:pPr>
              <w:pStyle w:val="Compact"/>
            </w:pPr>
            <w:r>
              <w:t xml:space="preserve">Methods — "Statistical analysis" (non-parametric tests, effect sizes, BH-FDR, multivariable models, reliability); SAP.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Participants (numbers)</w:t>
            </w:r>
          </w:p>
        </w:tc>
        <w:tc>
          <w:tcPr/>
          <w:p>
            <w:pPr>
              <w:pStyle w:val="Compact"/>
            </w:pPr>
            <w:r>
              <w:t xml:space="preserve">Results 3.1; flow: 639 invited → 146 completed.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Descriptive data</w:t>
            </w:r>
          </w:p>
        </w:tc>
        <w:tc>
          <w:tcPr/>
          <w:p>
            <w:pPr>
              <w:pStyle w:val="Compact"/>
            </w:pPr>
            <w:r>
              <w:t xml:space="preserve">Results 3.1–3.7; Tables 1–7; Figs 1–4.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Outcome data</w:t>
            </w:r>
          </w:p>
        </w:tc>
        <w:tc>
          <w:tcPr/>
          <w:p>
            <w:pPr>
              <w:pStyle w:val="Compact"/>
            </w:pPr>
            <w:r>
              <w:t xml:space="preserve">Results 3.2–3.9 (knowledge, use, attitudes, governance, education, qualitative).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Main results</w:t>
            </w:r>
          </w:p>
        </w:tc>
        <w:tc>
          <w:tcPr/>
          <w:p>
            <w:pPr>
              <w:pStyle w:val="Compact"/>
            </w:pPr>
            <w:r>
              <w:t xml:space="preserve">Results 3.3–3.5, 3.8; Table 8 (adjusted OR with 95% CI).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Other analyses</w:t>
            </w:r>
          </w:p>
        </w:tc>
        <w:tc>
          <w:tcPr/>
          <w:p>
            <w:pPr>
              <w:pStyle w:val="Compact"/>
            </w:pPr>
            <w:r>
              <w:t xml:space="preserve">Results 3.8 (subgroups; exploratory models; reliability); 3.9 (qualitative).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Key results</w:t>
            </w:r>
          </w:p>
        </w:tc>
        <w:tc>
          <w:tcPr/>
          <w:p>
            <w:pPr>
              <w:pStyle w:val="Compact"/>
            </w:pPr>
            <w:r>
              <w:t xml:space="preserve">Discussion — Principal findings.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Limitations</w:t>
            </w:r>
          </w:p>
        </w:tc>
        <w:tc>
          <w:tcPr/>
          <w:p>
            <w:pPr>
              <w:pStyle w:val="Compact"/>
            </w:pPr>
            <w:r>
              <w:t xml:space="preserve">Discussion — Strengths and limitations (selection/non-response, instrument not validated, N constraints, AI-assisted coding, proportional-odds).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Interpretation</w:t>
            </w:r>
          </w:p>
        </w:tc>
        <w:tc>
          <w:tcPr/>
          <w:p>
            <w:pPr>
              <w:pStyle w:val="Compact"/>
            </w:pPr>
            <w:r>
              <w:t xml:space="preserve">Discussion — Comparison with prior work; Interpretation and implications.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Generalisability</w:t>
            </w:r>
          </w:p>
        </w:tc>
        <w:tc>
          <w:tcPr/>
          <w:p>
            <w:pPr>
              <w:pStyle w:val="Compact"/>
            </w:pPr>
            <w:r>
              <w:t xml:space="preserve">Discussion — limitations (generalizable to responding THD members; 22.8% response).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Funding</w:t>
            </w:r>
          </w:p>
        </w:tc>
        <w:tc>
          <w:tcPr/>
          <w:p>
            <w:pPr>
              <w:pStyle w:val="Compact"/>
            </w:pPr>
            <w:r>
              <w:t xml:space="preserve">Declarations — Funding (no specific funding).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2026-06-21T18:19:15Z</dcterms:created>
  <dcterms:modified xsi:type="dcterms:W3CDTF">2026-06-21T18:19:15Z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