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X864198390ec7bd0b54b759a310f97fcf5f5f85d"/>
    <w:p>
      <w:pPr>
        <w:pStyle w:val="Heading1"/>
      </w:pPr>
      <w:r>
        <w:t xml:space="preserve">CHERRIES Checklist (Checklist for Reporting Results of Internet E-Surveys)</w:t>
      </w:r>
    </w:p>
    <w:bookmarkStart w:id="9" w:name="X88a480e0b126d313b59415532bd10c09999b511"/>
    <w:p>
      <w:pPr>
        <w:pStyle w:val="Heading3"/>
      </w:pPr>
      <w:r>
        <w:t xml:space="preserve">Eysenbach G. J Med Internet Res 2004;6(3):e34. doi:10.2196/jmir.6.3.e34</w:t>
      </w:r>
    </w:p>
    <w:p>
      <w:pPr>
        <w:pStyle w:val="BlockText"/>
      </w:pPr>
      <w:r>
        <w:t xml:space="preserve">Submit as an Additional file for BMC MIDM. Completed from study records and the statistical analysis plan; all items are answered. "✔ Methods" = already described in the manuscript Methods.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CHERRIES item</w:t>
            </w:r>
          </w:p>
        </w:tc>
        <w:tc>
          <w:tcPr/>
          <w:p>
            <w:pPr>
              <w:pStyle w:val="Compact"/>
            </w:pPr>
            <w:r>
              <w:t xml:space="preserve">Study response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Design</w:t>
            </w:r>
          </w:p>
        </w:tc>
        <w:tc>
          <w:tcPr/>
          <w:p>
            <w:pPr>
              <w:pStyle w:val="Compact"/>
            </w:pPr>
            <w:r>
              <w:t xml:space="preserve">Cross-sectional, self-administered web-based survey;</w:t>
            </w:r>
            <w:r>
              <w:t xml:space="preserve"> </w:t>
            </w:r>
            <w:r>
              <w:rPr>
                <w:b/>
                <w:bCs/>
              </w:rPr>
              <w:t xml:space="preserve">closed</w:t>
            </w:r>
            <w:r>
              <w:t xml:space="preserve"> </w:t>
            </w:r>
            <w:r>
              <w:t xml:space="preserve">(invitation-only to THD members). ✔ Methods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IRB approval</w:t>
            </w:r>
          </w:p>
        </w:tc>
        <w:tc>
          <w:tcPr/>
          <w:p>
            <w:pPr>
              <w:pStyle w:val="Compact"/>
            </w:pPr>
            <w:r>
              <w:t xml:space="preserve">İstanbul Medipol University Non-Interventional Clinical Research Ethics Committee, no. E-10840098-50.04-3372, 14 May 2026.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Informed consent</w:t>
            </w:r>
          </w:p>
        </w:tc>
        <w:tc>
          <w:tcPr/>
          <w:p>
            <w:pPr>
              <w:pStyle w:val="Compact"/>
            </w:pPr>
            <w:r>
              <w:t xml:space="preserve">Mandatory consent + eligibility gate item before access; voluntary; anonymous.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protection</w:t>
            </w:r>
          </w:p>
        </w:tc>
        <w:tc>
          <w:tcPr/>
          <w:p>
            <w:pPr>
              <w:pStyle w:val="Compact"/>
            </w:pPr>
            <w:r>
              <w:t xml:space="preserve">No personal identifiers (name, e-mail, or IP) were collected, and free-text fields instructed respondents to omit identifying information; responses were anonymous. The consent/introduction screen included a data-protection notice informing participants — consistent with Türkiye's Personal Data Protection Law (KVKK, Law No. 6698) — of the voluntary, anonymous nature of participation and the use of responses for scientific research. Responses were stored within the corresponding author's Google account (Forms/Sheets) and exported in de-identified form solely for analysis; because no identifying data were retained, the analyzed dataset does not constitute personal data under KVKK.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Development &amp; testing</w:t>
            </w:r>
          </w:p>
        </w:tc>
        <w:tc>
          <w:tcPr/>
          <w:p>
            <w:pPr>
              <w:pStyle w:val="Compact"/>
            </w:pPr>
            <w:r>
              <w:t xml:space="preserve">Investigator-developed by the THD YZ-BAK subcommittee (items generated across 7 domains).</w:t>
            </w:r>
            <w:r>
              <w:t xml:space="preserve"> </w:t>
            </w:r>
            <w:r>
              <w:rPr>
                <w:b/>
                <w:bCs/>
              </w:rPr>
              <w:t xml:space="preserve">No formal pilot/pre-test or psychometric validation</w:t>
            </w:r>
            <w:r>
              <w:t xml:space="preserve"> </w:t>
            </w:r>
            <w:r>
              <w:t xml:space="preserve">was performed (reported as a limitation).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Open vs closed survey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Closed</w:t>
            </w:r>
            <w:r>
              <w:t xml:space="preserve"> </w:t>
            </w:r>
            <w:r>
              <w:t xml:space="preserve">— only THD-registered hematologists invited by verified e-mail.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Contact mode</w:t>
            </w:r>
          </w:p>
        </w:tc>
        <w:tc>
          <w:tcPr/>
          <w:p>
            <w:pPr>
              <w:pStyle w:val="Compact"/>
            </w:pPr>
            <w:r>
              <w:t xml:space="preserve">E-mail invitation via THD membership list.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Advertising / recruitment</w:t>
            </w:r>
          </w:p>
        </w:tc>
        <w:tc>
          <w:tcPr/>
          <w:p>
            <w:pPr>
              <w:pStyle w:val="Compact"/>
            </w:pPr>
            <w:r>
              <w:t xml:space="preserve">Not publicly advertised; no secondary channel. Single invitation e-mail; no reminders sent.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Survey administration — platform</w:t>
            </w:r>
          </w:p>
        </w:tc>
        <w:tc>
          <w:tcPr/>
          <w:p>
            <w:pPr>
              <w:pStyle w:val="Compact"/>
            </w:pPr>
            <w:r>
              <w:t xml:space="preserve">Google Forms.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/ where published</w:t>
            </w:r>
          </w:p>
        </w:tc>
        <w:tc>
          <w:tcPr/>
          <w:p>
            <w:pPr>
              <w:pStyle w:val="Compact"/>
            </w:pPr>
            <w:r>
              <w:t xml:space="preserve">Link delivered only in member e-mail.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Mandatory vs voluntary</w:t>
            </w:r>
          </w:p>
        </w:tc>
        <w:tc>
          <w:tcPr/>
          <w:p>
            <w:pPr>
              <w:pStyle w:val="Compact"/>
            </w:pPr>
            <w:r>
              <w:t xml:space="preserve">Voluntary; could stop anytime. 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Incentives</w:t>
            </w:r>
          </w:p>
        </w:tc>
        <w:tc>
          <w:tcPr/>
          <w:p>
            <w:pPr>
              <w:pStyle w:val="Compact"/>
            </w:pPr>
            <w:r>
              <w:t xml:space="preserve">None offered.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Time/date (field period)</w:t>
            </w:r>
          </w:p>
        </w:tc>
        <w:tc>
          <w:tcPr/>
          <w:p>
            <w:pPr>
              <w:pStyle w:val="Compact"/>
            </w:pPr>
            <w:r>
              <w:t xml:space="preserve">15–30 May 2026 (after ethics approval on 14 May 2026).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Randomization of item order</w:t>
            </w:r>
          </w:p>
        </w:tc>
        <w:tc>
          <w:tcPr/>
          <w:p>
            <w:pPr>
              <w:pStyle w:val="Compact"/>
            </w:pPr>
            <w:r>
              <w:t xml:space="preserve">No — fixed item order for all respondents.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Adaptive questioning</w:t>
            </w:r>
          </w:p>
        </w:tc>
        <w:tc>
          <w:tcPr/>
          <w:p>
            <w:pPr>
              <w:pStyle w:val="Compact"/>
            </w:pPr>
            <w:r>
              <w:t xml:space="preserve">Partial: C2–C4 relevant to clinical AI users (C1=yes); D2–D4 to research AI users (D1=yes). ✔ Methods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Number of items / pages</w:t>
            </w:r>
          </w:p>
        </w:tc>
        <w:tc>
          <w:tcPr/>
          <w:p>
            <w:pPr>
              <w:pStyle w:val="Compact"/>
            </w:pPr>
            <w:r>
              <w:t xml:space="preserve">41 items + one 5-row grid across 7 sections (Google Forms section-per-screen).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Progress indicator</w:t>
            </w:r>
          </w:p>
        </w:tc>
        <w:tc>
          <w:tcPr/>
          <w:p>
            <w:pPr>
              <w:pStyle w:val="Compact"/>
            </w:pPr>
            <w:r>
              <w:t xml:space="preserve">Yes — section progress bar shown.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Completeness check / required fields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All items required (mandatory)</w:t>
            </w:r>
            <w:r>
              <w:t xml:space="preserve"> </w:t>
            </w:r>
            <w:r>
              <w:t xml:space="preserve">except conditional items (shown only when applicable, e.g., C1=yes); enforced by the platform → mandatory items have near-zero item-missingness.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Review/change step (back button)</w:t>
            </w:r>
          </w:p>
        </w:tc>
        <w:tc>
          <w:tcPr/>
          <w:p>
            <w:pPr>
              <w:pStyle w:val="Compact"/>
            </w:pPr>
            <w:r>
              <w:t xml:space="preserve">Yes — respondents could navigate back and change answers before final submission.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Response rates — invited</w:t>
            </w:r>
          </w:p>
        </w:tc>
        <w:tc>
          <w:tcPr/>
          <w:p>
            <w:pPr>
              <w:pStyle w:val="Compact"/>
            </w:pPr>
            <w:r>
              <w:t xml:space="preserve">639 adult &amp; pediatric hematologists (THD verified-member mailing list).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Response/completion rate</w:t>
            </w:r>
          </w:p>
        </w:tc>
        <w:tc>
          <w:tcPr/>
          <w:p>
            <w:pPr>
              <w:pStyle w:val="Compact"/>
            </w:pPr>
            <w:r>
              <w:t xml:space="preserve">146/639 =</w:t>
            </w:r>
            <w:r>
              <w:t xml:space="preserve"> </w:t>
            </w:r>
            <w:r>
              <w:rPr>
                <w:b/>
                <w:bCs/>
              </w:rPr>
              <w:t xml:space="preserve">22.8%</w:t>
            </w:r>
            <w:r>
              <w:t xml:space="preserve"> </w:t>
            </w:r>
            <w:r>
              <w:t xml:space="preserve">(completed responses / invited members).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View / participation rate</w:t>
            </w:r>
          </w:p>
        </w:tc>
        <w:tc>
          <w:tcPr/>
          <w:p>
            <w:pPr>
              <w:pStyle w:val="Compact"/>
            </w:pPr>
            <w:r>
              <w:t xml:space="preserve">Not available — Google Forms did not capture unique visitors / first-page views for a closed e-mail survey.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Preventing multiple entries</w:t>
            </w:r>
          </w:p>
        </w:tc>
        <w:tc>
          <w:tcPr/>
          <w:p>
            <w:pPr>
              <w:pStyle w:val="Compact"/>
            </w:pPr>
            <w:r>
              <w:t xml:space="preserve">Yes — "Limit to 1 response" enabled (Google sign-in → one submission per account); respondent email/identity not collected or stored, preserving anonymity.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Analysis — incomplete questionnaires</w:t>
            </w:r>
          </w:p>
        </w:tc>
        <w:tc>
          <w:tcPr/>
          <w:p>
            <w:pPr>
              <w:pStyle w:val="Compact"/>
            </w:pPr>
            <w:r>
              <w:t xml:space="preserve">Handling per SAP; conditional skips not counted as missing; complete-case per item; denominators reported. ✔ SAP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Analysis — timestamp/atypical</w:t>
            </w:r>
          </w:p>
        </w:tc>
        <w:tc>
          <w:tcPr/>
          <w:p>
            <w:pPr>
              <w:pStyle w:val="Compact"/>
            </w:pPr>
            <w:r>
              <w:t xml:space="preserve">No exclusions by completion time, response timestamp, or outlier criteria; all eligible, consenting complete responses were analyzed as collected (only the consent/eligibility filter was applied). ✔ SAP/Methods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Statistical correction / weighting</w:t>
            </w:r>
          </w:p>
        </w:tc>
        <w:tc>
          <w:tcPr/>
          <w:p>
            <w:pPr>
              <w:pStyle w:val="Compact"/>
            </w:pPr>
            <w:r>
              <w:t xml:space="preserve">None (unweighted); multiplicity via Benjamini–Hochberg for exploratory tests. ✔ SAP</w:t>
            </w:r>
          </w:p>
        </w:tc>
      </w:tr>
    </w:tbl>
    <w:bookmarkEnd w:id="9"/>
    <w:bookmarkStart w:id="10" w:name="notes"/>
    <w:p>
      <w:pPr>
        <w:pStyle w:val="Heading2"/>
      </w:pPr>
      <w:r>
        <w:t xml:space="preserve">Notes</w:t>
      </w:r>
    </w:p>
    <w:p>
      <w:pPr>
        <w:pStyle w:val="Compact"/>
        <w:numPr>
          <w:ilvl w:val="0"/>
          <w:numId w:val="1001"/>
        </w:numPr>
      </w:pPr>
      <w:r>
        <w:t xml:space="preserve">Data-protection/KVKK statement: completed in the Data protection row above.</w:t>
      </w:r>
    </w:p>
    <w:p>
      <w:pPr>
        <w:pStyle w:val="Compact"/>
        <w:numPr>
          <w:ilvl w:val="0"/>
          <w:numId w:val="1001"/>
        </w:numPr>
      </w:pPr>
      <w:r>
        <w:t xml:space="preserve">The Gemini-based free-text theme categorization was verified by the three authors by consensus and cross-checked with a reproducible keyword-based analysis (see Statistical analysis).</w:t>
      </w:r>
    </w:p>
    <w:p>
      <w:pPr>
        <w:pStyle w:val="FirstParagraph"/>
      </w:pPr>
      <w:r>
        <w:rPr>
          <w:i/>
          <w:iCs/>
        </w:rPr>
        <w:t xml:space="preserve">Resolved (from team): invited N = 639; response/completion rate 22.8% (146/639); field period 15–30 May 2026 (after 14 May approval); progress bar shown; back/review enabled; single invitation, no reminders; no incentive; one-response-per-account dedup (email not collected); fixed item order; all-mandatory except conditional; investigator-developed, no formal pilot/validation.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2026-06-21T18:19:15Z</dcterms:created>
  <dcterms:modified xsi:type="dcterms:W3CDTF">2026-06-21T18:19:15Z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