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9" w:name="X1483517d2f06397a1e028aada35ea11bcfbb611"/>
    <w:p>
      <w:pPr>
        <w:pStyle w:val="Heading1"/>
      </w:pPr>
      <w:r>
        <w:t xml:space="preserve">Additional file 5 — Supplementary Tables (S1–S6)</w:t>
      </w:r>
    </w:p>
    <w:p>
      <w:pPr>
        <w:pStyle w:val="FirstParagraph"/>
      </w:pPr>
      <w:r>
        <w:rPr>
          <w:i/>
          <w:iCs/>
        </w:rPr>
        <w:t xml:space="preserve">Full descriptive breakdowns (N = 146). Headline values are summarized in the main text and figures; these tables give the complete category- and item-level data. Each table is titled below.</w:t>
      </w:r>
    </w:p>
    <w:p>
      <w:pPr>
        <w:pStyle w:val="BodyText"/>
      </w:pPr>
      <w:r>
        <w:rPr>
          <w:b/>
          <w:bCs/>
        </w:rPr>
        <w:t xml:space="preserve">Table S1. AI awareness, prior training, and main information sources among respondents (N = 146).</w:t>
      </w:r>
    </w:p>
    <w:p>
      <w:pPr>
        <w:pStyle w:val="BodyText"/>
      </w:pPr>
      <w:r>
        <w:rPr>
          <w:i/>
          <w:iCs/>
        </w:rPr>
        <w:t xml:space="preserve">Prior structured AI training (B1)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 (14.4)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125 (85.6)</w:t>
            </w:r>
          </w:p>
        </w:tc>
      </w:tr>
    </w:tbl>
    <w:p>
      <w:pPr>
        <w:pStyle w:val="BodyText"/>
      </w:pPr>
      <w:r>
        <w:rPr>
          <w:i/>
          <w:iCs/>
        </w:rPr>
        <w:t xml:space="preserve">Knowledge/awareness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 (1–5)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Median (IQR)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 (SD)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Familiarity with AI/ML/DL/LLM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(2–3)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2.62 (1.07)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Awareness of AI uses in hematology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(2–4)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3.05 (1.13)</w:t>
            </w:r>
          </w:p>
        </w:tc>
      </w:tr>
    </w:tbl>
    <w:p>
      <w:pPr>
        <w:pStyle w:val="BodyText"/>
      </w:pPr>
      <w:r>
        <w:rPr>
          <w:i/>
          <w:iCs/>
        </w:rPr>
        <w:t xml:space="preserve">Main information source (B4)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Scientific articles / guidelines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 (17.1)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Congresses / courses / society events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(11.6)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Social media / podcasts / websites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 (32.9)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Workplace / colleagues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 (34.2)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 (4.1)</w:t>
            </w:r>
          </w:p>
        </w:tc>
      </w:tr>
    </w:tbl>
    <w:p>
      <w:pPr>
        <w:pStyle w:val="BodyText"/>
      </w:pPr>
      <w:r>
        <w:rPr>
          <w:b/>
          <w:bCs/>
        </w:rPr>
        <w:t xml:space="preserve">Table S2. Clinical and academic AI use, frequency, patient-data handling, and clinical attitudes (N = 146).</w:t>
      </w:r>
    </w:p>
    <w:p>
      <w:pPr>
        <w:pStyle w:val="BodyText"/>
      </w:pPr>
      <w:r>
        <w:rPr>
          <w:i/>
          <w:iCs/>
        </w:rPr>
        <w:t xml:space="preserve">Non-work AI use, last 3 mo (C0)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134 (91.8)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(8.2)</w:t>
            </w:r>
          </w:p>
        </w:tc>
      </w:tr>
    </w:tbl>
    <w:p>
      <w:pPr>
        <w:pStyle w:val="BodyText"/>
      </w:pPr>
      <w:r>
        <w:rPr>
          <w:i/>
          <w:iCs/>
        </w:rPr>
        <w:t xml:space="preserve">Clinical/academic AI use, last 3 mo (C1)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127 (87.0)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 (13.0)</w:t>
            </w:r>
          </w:p>
        </w:tc>
      </w:tr>
    </w:tbl>
    <w:p>
      <w:pPr>
        <w:pStyle w:val="BodyText"/>
      </w:pPr>
      <w:r>
        <w:rPr>
          <w:i/>
          <w:iCs/>
        </w:rPr>
        <w:t xml:space="preserve">Frequency among users (C2; denom = 127)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Daily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 (40.9)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Several times/week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 (44.1)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Several times/month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(12.6)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Less often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(2.4)</w:t>
            </w:r>
          </w:p>
        </w:tc>
      </w:tr>
    </w:tbl>
    <w:p>
      <w:pPr>
        <w:pStyle w:val="BodyText"/>
      </w:pPr>
      <w:r>
        <w:rPr>
          <w:i/>
          <w:iCs/>
        </w:rPr>
        <w:t xml:space="preserve">Patient data into public chatbots (C7)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Never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 (51.4)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Only fully anonymized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 (40.4)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Sometimes identifiable/institutional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(8.2)</w:t>
            </w:r>
          </w:p>
        </w:tc>
      </w:tr>
    </w:tbl>
    <w:p>
      <w:pPr>
        <w:pStyle w:val="BodyText"/>
      </w:pPr>
      <w:r>
        <w:rPr>
          <w:i/>
          <w:iCs/>
        </w:rPr>
        <w:t xml:space="preserve">Clinical attitudes (C4 among users n = 127)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 (1–5)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Median (IQR)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 (SD)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Trust in clinical AI output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(3–4)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3.25 (0.56)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speeds clinical work / cuts workload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3.87 (0.96)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carries misdirection risk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3.73 (0.99)</w:t>
            </w:r>
          </w:p>
        </w:tc>
      </w:tr>
    </w:tbl>
    <w:p>
      <w:pPr>
        <w:pStyle w:val="BodyText"/>
      </w:pPr>
      <w:r>
        <w:rPr>
          <w:b/>
          <w:bCs/>
        </w:rPr>
        <w:t xml:space="preserve">Table S3. Generative AI use in research and manuscript writing, fabricated-reference encounters, and research attitudes (N = 146).</w:t>
      </w:r>
    </w:p>
    <w:p>
      <w:pPr>
        <w:pStyle w:val="BodyText"/>
      </w:pPr>
      <w:r>
        <w:rPr>
          <w:i/>
          <w:iCs/>
        </w:rPr>
        <w:t xml:space="preserve">Research/writing AI use, last 3 mo (D1)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 (55.5)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(44.5)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Encountered hallucinations/fabrication (D4; denom = D1-yes)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(81.2)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 (10.0)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 sure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 (8.8)</w:t>
            </w:r>
          </w:p>
        </w:tc>
      </w:tr>
    </w:tbl>
    <w:p>
      <w:pPr>
        <w:pStyle w:val="BodyText"/>
      </w:pPr>
      <w:r>
        <w:rPr>
          <w:i/>
          <w:iCs/>
        </w:rPr>
        <w:t xml:space="preserve">(denominator = 80 research users who answered)</w:t>
      </w:r>
    </w:p>
    <w:p>
      <w:pPr>
        <w:pStyle w:val="BodyText"/>
      </w:pPr>
      <w:r>
        <w:rPr>
          <w:i/>
          <w:iCs/>
        </w:rPr>
        <w:t xml:space="preserve">Research attitudes (D3 among users n = 81)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 (1–5)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Median (IQR)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 (SD)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Trust in AI for research/writing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(3–4)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3.31 (0.68)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use should be declared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4.16 (1.08)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adds scientific-integrity risk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3.66 (1.16)</w:t>
            </w:r>
          </w:p>
        </w:tc>
      </w:tr>
    </w:tbl>
    <w:p>
      <w:pPr>
        <w:pStyle w:val="BodyText"/>
      </w:pPr>
      <w:r>
        <w:rPr>
          <w:b/>
          <w:bCs/>
        </w:rPr>
        <w:t xml:space="preserve">Table S4. Trust, verification, ethics, institutional policy, and preferred governance framework (N = 146).</w:t>
      </w:r>
    </w:p>
    <w:p>
      <w:pPr>
        <w:pStyle w:val="BodyText"/>
      </w:pPr>
      <w:r>
        <w:rPr>
          <w:i/>
          <w:iCs/>
        </w:rPr>
        <w:t xml:space="preserve">Attitudes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 (1–5)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Median (IQR)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 (SD)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Must verify AI output every time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(4–5)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4.53 (0.82)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KVKK/privacy concern reduces my use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(2–4)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3.17 (1.25)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Medico-legal uncertainty is a barrier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3.90 (1.07)</w:t>
            </w:r>
          </w:p>
        </w:tc>
      </w:tr>
    </w:tbl>
    <w:p>
      <w:pPr>
        <w:pStyle w:val="BodyText"/>
      </w:pPr>
      <w:r>
        <w:rPr>
          <w:i/>
          <w:iCs/>
        </w:rPr>
        <w:t xml:space="preserve">Written institutional AI policy (E4)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 (4.8)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94 (64.4)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Don't know / not looked into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 (30.8)</w:t>
            </w:r>
          </w:p>
        </w:tc>
      </w:tr>
    </w:tbl>
    <w:p>
      <w:pPr>
        <w:pStyle w:val="BodyText"/>
      </w:pPr>
      <w:r>
        <w:rPr>
          <w:i/>
          <w:iCs/>
        </w:rPr>
        <w:t xml:space="preserve">Preferred governance framework (E5)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(physician discretion)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 (32.2)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Within institutional principles, physician discretion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 (39.0)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Only institutionally approved tools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 (17.1)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Non-clinical (education/research) only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(11.6)</w:t>
            </w:r>
          </w:p>
        </w:tc>
      </w:tr>
    </w:tbl>
    <w:p>
      <w:pPr>
        <w:pStyle w:val="BodyText"/>
      </w:pPr>
      <w:r>
        <w:rPr>
          <w:b/>
          <w:bCs/>
        </w:rPr>
        <w:t xml:space="preserve">Table S5. Patient chatbot use: physician attitudes, encounter frequency, and support for an official tool (N = 146).</w:t>
      </w:r>
    </w:p>
    <w:p>
      <w:pPr>
        <w:pStyle w:val="BodyText"/>
      </w:pPr>
      <w:r>
        <w:rPr>
          <w:i/>
          <w:iCs/>
        </w:rPr>
        <w:t xml:space="preserve">Patient-initiated chatbot queries (F1)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Never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(11.0)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1–2 per month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 (28.1)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1–2 per week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 (41.1)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More often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 (19.9)</w:t>
            </w:r>
          </w:p>
        </w:tc>
      </w:tr>
    </w:tbl>
    <w:p>
      <w:pPr>
        <w:pStyle w:val="BodyText"/>
      </w:pPr>
      <w:r>
        <w:rPr>
          <w:i/>
          <w:iCs/>
        </w:rPr>
        <w:t xml:space="preserve">Approach to patient chatbot use (F2)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Generally encourage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 (17.1)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Neutral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 (54.1)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Generally discourage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 (22.6)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Undecided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 (6.2)</w:t>
            </w:r>
          </w:p>
        </w:tc>
      </w:tr>
    </w:tbl>
    <w:p>
      <w:pPr>
        <w:pStyle w:val="BodyText"/>
      </w:pPr>
      <w:r>
        <w:rPr>
          <w:i/>
          <w:iCs/>
        </w:rPr>
        <w:t xml:space="preserve">Integrated official patient AI tool (F5)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Yes — eases workload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 (49.3)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Yes — only if strictly physician-supervised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 (43.8)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— human contact essential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 (6.8)</w:t>
            </w:r>
          </w:p>
        </w:tc>
      </w:tr>
    </w:tbl>
    <w:p>
      <w:pPr>
        <w:pStyle w:val="BodyText"/>
      </w:pPr>
      <w:r>
        <w:rPr>
          <w:i/>
          <w:iCs/>
        </w:rPr>
        <w:t xml:space="preserve">Attitudes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 (1–5)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Median (IQR)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 (SD)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Patient chatbots can help (literacy/adherence)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(2–4)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3.10 (1.15)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Patient chatbots raise anxiety/misdirection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3.90 (1.02)</w:t>
            </w:r>
          </w:p>
        </w:tc>
      </w:tr>
    </w:tbl>
    <w:p>
      <w:pPr>
        <w:pStyle w:val="BodyText"/>
      </w:pPr>
      <w:r>
        <w:rPr>
          <w:b/>
          <w:bCs/>
        </w:rPr>
        <w:t xml:space="preserve">Table S6. Perceived educational needs, IT/EHR readiness, and professional-future perception (N = 146).</w:t>
      </w:r>
    </w:p>
    <w:p>
      <w:pPr>
        <w:pStyle w:val="BodyText"/>
      </w:pPr>
      <w:r>
        <w:rPr>
          <w:i/>
          <w:iCs/>
        </w:rPr>
        <w:t xml:space="preserve">Educational need (G1; 1–5; α = 0.92)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 (1–5)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Median (IQR)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 (SD)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Need: AI fundamentals &amp; validation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3.92 (1.22)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Need: bias/ethics/safety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3.79 (1.25)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Need: KVKK &amp; medico-legal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3.75 (1.29)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Need: safe generative-AI use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3.99 (1.10)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Need: academic AI use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(3–5)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4.14 (1.07)</w:t>
            </w:r>
          </w:p>
        </w:tc>
      </w:tr>
    </w:tbl>
    <w:p>
      <w:pPr>
        <w:pStyle w:val="BodyText"/>
      </w:pPr>
      <w:r>
        <w:rPr>
          <w:i/>
          <w:iCs/>
        </w:rPr>
        <w:t xml:space="preserve">IT/EHR readiness (G5)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 (%)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 (17.8)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66 (45.2)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Don't know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 (37.0)</w:t>
            </w:r>
          </w:p>
        </w:tc>
      </w:tr>
    </w:tbl>
    <w:p>
      <w:pPr>
        <w:pStyle w:val="BodyText"/>
      </w:pPr>
      <w:r>
        <w:rPr>
          <w:i/>
          <w:iCs/>
        </w:rPr>
        <w:t xml:space="preserve">Professional future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 (1–5)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Median (IQR)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 (SD)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will change hematologist role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 (2–4)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3.32 (1.28)</w:t>
            </w:r>
          </w:p>
        </w:tc>
      </w:tr>
      <w:tr>
        <w:tc>
          <w:tcPr/>
          <w:p>
            <w:pPr>
              <w:pStyle w:val="Compact"/>
            </w:pPr>
            <w:r>
              <w:t xml:space="preserve">I feel professionally threatened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(1–2)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1.83 (0.99)</w:t>
            </w:r>
          </w:p>
        </w:tc>
      </w:tr>
    </w:tbl>
    <w:bookmarkEnd w:id="49"/>
    <w:sectPr>
      <w:footerReference r:id="rId40" w:type="default"/>
      <w:footnotePr>
        <w:numRestart w:val="eachSect"/>
      </w:footnotePr>
      <w:lnNumType w:countBy="1" w:restart="continuous" w:start="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/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 w:line="480" w:lineRule="auto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 w:line="240" w:lineRule="auto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48" Target="numbering.xml" /><Relationship Type="http://schemas.openxmlformats.org/officeDocument/2006/relationships/styles" Id="rId47" Target="styles.xml" /><Relationship Type="http://schemas.openxmlformats.org/officeDocument/2006/relationships/settings" Id="rId46" Target="settings.xml" /><Relationship Type="http://schemas.openxmlformats.org/officeDocument/2006/relationships/webSettings" Id="rId45" Target="webSettings.xml" /><Relationship Type="http://schemas.openxmlformats.org/officeDocument/2006/relationships/fontTable" Id="rId44" Target="fontTable.xml" /><Relationship Type="http://schemas.openxmlformats.org/officeDocument/2006/relationships/theme" Id="rId43" Target="theme/theme1.xml" /><Relationship Type="http://schemas.openxmlformats.org/officeDocument/2006/relationships/footnotes" Id="rId42" Target="footnotes.xml" /><Relationship Type="http://schemas.openxmlformats.org/officeDocument/2006/relationships/comments" Id="rId41" Target="comments.xml" /><Relationship Id="rId40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2026-06-24T17:28:57Z</dcterms:created>
  <dcterms:modified xsi:type="dcterms:W3CDTF">2026-06-24T17:28:57Z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