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statistical-analysis-plan-sap"/>
    <w:p>
      <w:pPr>
        <w:pStyle w:val="Heading1"/>
      </w:pPr>
      <w:r>
        <w:t xml:space="preserve">Statistical Analysis Plan (SAP)</w:t>
      </w:r>
    </w:p>
    <w:bookmarkStart w:id="9" w:name="X80317636a13a08be5ce5550133254275706cc0b"/>
    <w:p>
      <w:pPr>
        <w:pStyle w:val="Heading3"/>
      </w:pPr>
      <w:r>
        <w:t xml:space="preserve">Hematology AI Knowledge–Attitude–Use Survey (THD YZ-BAK)</w:t>
      </w:r>
    </w:p>
    <w:p>
      <w:pPr>
        <w:pStyle w:val="BlockText"/>
      </w:pPr>
      <w:r>
        <w:t xml:space="preserve">Pre-specified before database lock / analysis. Written in English to feed the manuscript directly. Variable names and item logic follow the survey instrument (Additional file 1). Target journal: BMC Medical Education. Reporting per</w:t>
      </w:r>
      <w:r>
        <w:t xml:space="preserve"> </w:t>
      </w:r>
      <w:r>
        <w:rPr>
          <w:b/>
          <w:bCs/>
        </w:rPr>
        <w:t xml:space="preserve">CHERRIES</w:t>
      </w:r>
      <w:r>
        <w:t xml:space="preserve"> </w:t>
      </w:r>
      <w:r>
        <w:t xml:space="preserve">(Eysenbach 2004) + AAPOR rate conventions.</w:t>
      </w:r>
      <w:r>
        <w:t xml:space="preserve"> </w:t>
      </w:r>
      <w:r>
        <w:rPr>
          <w:b/>
          <w:bCs/>
        </w:rPr>
        <w:t xml:space="preserve">No imputation of non-existent participants; analyses run on the real achieved sample.</w:t>
      </w:r>
    </w:p>
    <w:bookmarkEnd w:id="9"/>
    <w:bookmarkStart w:id="10" w:name="Xe4bafd90a868b03aacab7485134d63288afb985"/>
    <w:p>
      <w:pPr>
        <w:pStyle w:val="Heading2"/>
      </w:pPr>
      <w:r>
        <w:t xml:space="preserve">1. Objectives &amp; estimands</w:t>
      </w:r>
    </w:p>
    <w:p>
      <w:pPr>
        <w:pStyle w:val="FirstParagraph"/>
      </w:pPr>
      <w:r>
        <w:rPr>
          <w:b/>
          <w:bCs/>
        </w:rPr>
        <w:t xml:space="preserve">Primary objective (descriptive):</w:t>
      </w:r>
      <w:r>
        <w:t xml:space="preserve"> </w:t>
      </w:r>
      <w:r>
        <w:t xml:space="preserve">characterize, among adult and pediatric hematologists in Türkiye, (i) AI knowledge/awareness, (ii) clinical AI use, (iii) research/writing AI use, (iv) trust–risk–ethics–governance attitudes, (v) attitudes toward patients' chatbot use, and (vi) educational needs and professional-future perception.</w:t>
      </w:r>
    </w:p>
    <w:p>
      <w:pPr>
        <w:pStyle w:val="BodyText"/>
      </w:pPr>
      <w:r>
        <w:rPr>
          <w:b/>
          <w:bCs/>
        </w:rPr>
        <w:t xml:space="preserve">Secondary objectives (analytic / hypothesis-generating):</w:t>
      </w:r>
    </w:p>
    <w:p>
      <w:pPr>
        <w:pStyle w:val="Compact"/>
        <w:numPr>
          <w:ilvl w:val="0"/>
          <w:numId w:val="1001"/>
        </w:numPr>
      </w:pPr>
      <w:r>
        <w:t xml:space="preserve">S1. Compare knowledge/attitude/use across</w:t>
      </w:r>
      <w:r>
        <w:t xml:space="preserve"> </w:t>
      </w:r>
      <w:r>
        <w:rPr>
          <w:b/>
          <w:bCs/>
        </w:rPr>
        <w:t xml:space="preserve">specialty</w:t>
      </w:r>
      <w:r>
        <w:t xml:space="preserve"> </w:t>
      </w:r>
      <w:r>
        <w:t xml:space="preserve">(adult vs pediatric,</w:t>
      </w:r>
      <w:r>
        <w:t xml:space="preserve"> </w:t>
      </w:r>
      <w:r>
        <w:rPr>
          <w:rStyle w:val="VerbatimChar"/>
        </w:rPr>
        <w:t xml:space="preserve">A1_field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t xml:space="preserve">S2. Compare across</w:t>
      </w:r>
      <w:r>
        <w:t xml:space="preserve"> </w:t>
      </w:r>
      <w:r>
        <w:rPr>
          <w:b/>
          <w:bCs/>
        </w:rPr>
        <w:t xml:space="preserve">professional position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A2_position</w:t>
      </w:r>
      <w:r>
        <w:t xml:space="preserve">) and</w:t>
      </w:r>
      <w:r>
        <w:t xml:space="preserve"> </w:t>
      </w:r>
      <w:r>
        <w:rPr>
          <w:b/>
          <w:bCs/>
        </w:rPr>
        <w:t xml:space="preserve">experience</w:t>
      </w:r>
      <w:r>
        <w:t xml:space="preserve"> </w:t>
      </w:r>
      <w:r>
        <w:t xml:space="preserve">(</w:t>
      </w:r>
      <w:r>
        <w:rPr>
          <w:rStyle w:val="VerbatimChar"/>
        </w:rPr>
        <w:t xml:space="preserve">A4_years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t xml:space="preserve">S3. Test association of</w:t>
      </w:r>
      <w:r>
        <w:t xml:space="preserve"> </w:t>
      </w:r>
      <w:r>
        <w:rPr>
          <w:b/>
          <w:bCs/>
        </w:rPr>
        <w:t xml:space="preserve">self-rated digital literacy</w:t>
      </w:r>
      <w:r>
        <w:t xml:space="preserve"> </w:t>
      </w:r>
      <w:r>
        <w:t xml:space="preserve">(</w:t>
      </w:r>
      <w:r>
        <w:rPr>
          <w:rStyle w:val="VerbatimChar"/>
        </w:rPr>
        <w:t xml:space="preserve">A6_diglit</w:t>
      </w:r>
      <w:r>
        <w:t xml:space="preserve">) and</w:t>
      </w:r>
      <w:r>
        <w:t xml:space="preserve"> </w:t>
      </w:r>
      <w:r>
        <w:rPr>
          <w:b/>
          <w:bCs/>
        </w:rPr>
        <w:t xml:space="preserve">prior AI training</w:t>
      </w:r>
      <w:r>
        <w:t xml:space="preserve"> </w:t>
      </w:r>
      <w:r>
        <w:t xml:space="preserve">(</w:t>
      </w:r>
      <w:r>
        <w:rPr>
          <w:rStyle w:val="VerbatimChar"/>
        </w:rPr>
        <w:t xml:space="preserve">B1_training</w:t>
      </w:r>
      <w:r>
        <w:t xml:space="preserve">) with awareness/use/trust.</w:t>
      </w:r>
    </w:p>
    <w:p>
      <w:pPr>
        <w:pStyle w:val="Compact"/>
        <w:numPr>
          <w:ilvl w:val="0"/>
          <w:numId w:val="1001"/>
        </w:numPr>
      </w:pPr>
      <w:r>
        <w:t xml:space="preserve">S4. Contrast</w:t>
      </w:r>
      <w:r>
        <w:t xml:space="preserve"> </w:t>
      </w:r>
      <w:r>
        <w:rPr>
          <w:b/>
          <w:bCs/>
        </w:rPr>
        <w:t xml:space="preserve">clinical AI users vs non-users</w:t>
      </w:r>
      <w:r>
        <w:t xml:space="preserve"> </w:t>
      </w:r>
      <w:r>
        <w:t xml:space="preserve">(</w:t>
      </w:r>
      <w:r>
        <w:rPr>
          <w:rStyle w:val="VerbatimChar"/>
        </w:rPr>
        <w:t xml:space="preserve">C1_use_clinical</w:t>
      </w:r>
      <w:r>
        <w:t xml:space="preserve">) on attitudes/risk perception.</w:t>
      </w:r>
    </w:p>
    <w:p>
      <w:pPr>
        <w:pStyle w:val="Compact"/>
        <w:numPr>
          <w:ilvl w:val="0"/>
          <w:numId w:val="1001"/>
        </w:numPr>
      </w:pPr>
      <w:r>
        <w:t xml:space="preserve">S5. Identify correlates of entering patient data into public chatbots (</w:t>
      </w:r>
      <w:r>
        <w:rPr>
          <w:rStyle w:val="VerbatimChar"/>
        </w:rPr>
        <w:t xml:space="preserve">C7_patientdata</w:t>
      </w:r>
      <w:r>
        <w:t xml:space="preserve">) and of perceived integrity risk (</w:t>
      </w:r>
      <w:r>
        <w:rPr>
          <w:rStyle w:val="VerbatimChar"/>
        </w:rPr>
        <w:t xml:space="preserve">D6</w:t>
      </w:r>
      <w:r>
        <w:t xml:space="preserve">).</w:t>
      </w:r>
    </w:p>
    <w:p>
      <w:pPr>
        <w:pStyle w:val="FirstParagraph"/>
      </w:pPr>
      <w:r>
        <w:t xml:space="preserve">Estimands are population proportions / medians within the responding hematologist population (closed, members-only frame); no inference to non-members is claimed.</w:t>
      </w:r>
    </w:p>
    <w:bookmarkEnd w:id="10"/>
    <w:bookmarkStart w:id="11" w:name="X7ca0c2d05ef66bbfc0cd495a95c74549e49aded"/>
    <w:p>
      <w:pPr>
        <w:pStyle w:val="Heading2"/>
      </w:pPr>
      <w:r>
        <w:t xml:space="preserve">2. Design, population, sample</w:t>
      </w:r>
    </w:p>
    <w:p>
      <w:pPr>
        <w:pStyle w:val="FirstParagraph"/>
      </w:pPr>
      <w:r>
        <w:t xml:space="preserve">Cross-sectional, self-administered online survey (Google Forms), closed (THD members invited by verified e-mail). Eligibility: practicing adult/pediatric hematologists consenting via the gate item; non-hematologists/decliners excluded from all analyses.</w:t>
      </w:r>
      <w:r>
        <w:t xml:space="preserve"> </w:t>
      </w:r>
      <w:r>
        <w:rPr>
          <w:b/>
          <w:bCs/>
        </w:rPr>
        <w:t xml:space="preserve">Achieved N reported as collected: N = 146</w:t>
      </w:r>
      <w:r>
        <w:t xml:space="preserve"> </w:t>
      </w:r>
      <w:r>
        <w:t xml:space="preserve">(data collection ended 30 May 2026). No a priori power calculation (descriptive aim); precision note: with N = 146 a proportion near 50% has a 95% CI half-width of ≈±8.1% (worst case), and ≈±6.5% at p = 0.20/0.80.</w:t>
      </w:r>
    </w:p>
    <w:bookmarkEnd w:id="11"/>
    <w:bookmarkStart w:id="12" w:name="Xcd960b27deadcd12beb6b615ec9a1d01e84b641"/>
    <w:p>
      <w:pPr>
        <w:pStyle w:val="Heading2"/>
      </w:pPr>
      <w:r>
        <w:t xml:space="preserve">3. Data handling &amp; pre-specified decisions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Eligibility filter:</w:t>
      </w:r>
      <w:r>
        <w:t xml:space="preserve"> </w:t>
      </w:r>
      <w:r>
        <w:t xml:space="preserve">drop</w:t>
      </w:r>
      <w:r>
        <w:t xml:space="preserve"> </w:t>
      </w:r>
      <w:r>
        <w:rPr>
          <w:rStyle w:val="VerbatimChar"/>
        </w:rPr>
        <w:t xml:space="preserve">consent</w:t>
      </w:r>
      <w:r>
        <w:t xml:space="preserve">=refuse / non-hematologist before analysis.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C6:</w:t>
      </w:r>
      <w:r>
        <w:t xml:space="preserve"> </w:t>
      </w:r>
      <w:r>
        <w:t xml:space="preserve">analyzed on the</w:t>
      </w:r>
      <w:r>
        <w:t xml:space="preserve"> </w:t>
      </w:r>
      <w:r>
        <w:rPr>
          <w:b/>
          <w:bCs/>
        </w:rPr>
        <w:t xml:space="preserve">full sample</w:t>
      </w:r>
      <w:r>
        <w:t xml:space="preserve"> </w:t>
      </w:r>
      <w:r>
        <w:t xml:space="preserve">(the embedded C1 condition is ignored; reported as a general risk-perception item). Stated in Methods.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Conditional items C2, C3, C4:</w:t>
      </w:r>
      <w:r>
        <w:t xml:space="preserve"> </w:t>
      </w:r>
      <w:r>
        <w:t xml:space="preserve">analyzed/denominatored on</w:t>
      </w:r>
      <w:r>
        <w:t xml:space="preserve"> </w:t>
      </w:r>
      <w:r>
        <w:rPr>
          <w:b/>
          <w:bCs/>
        </w:rPr>
        <w:t xml:space="preserve">clinical AI users only</w:t>
      </w:r>
      <w:r>
        <w:t xml:space="preserve"> </w:t>
      </w:r>
      <w:r>
        <w:t xml:space="preserve">(</w:t>
      </w:r>
      <w:r>
        <w:rPr>
          <w:rStyle w:val="VerbatimChar"/>
        </w:rPr>
        <w:t xml:space="preserve">C1=Evet</w:t>
      </w:r>
      <w:r>
        <w:t xml:space="preserve">).</w:t>
      </w:r>
      <w:r>
        <w:t xml:space="preserve"> </w:t>
      </w:r>
      <w:r>
        <w:rPr>
          <w:b/>
          <w:bCs/>
        </w:rPr>
        <w:t xml:space="preserve">D2, D3, D4:</w:t>
      </w:r>
      <w:r>
        <w:t xml:space="preserve"> </w:t>
      </w:r>
      <w:r>
        <w:t xml:space="preserve">on</w:t>
      </w:r>
      <w:r>
        <w:t xml:space="preserve"> </w:t>
      </w:r>
      <w:r>
        <w:rPr>
          <w:b/>
          <w:bCs/>
        </w:rPr>
        <w:t xml:space="preserve">research AI users only</w:t>
      </w:r>
      <w:r>
        <w:t xml:space="preserve"> </w:t>
      </w:r>
      <w:r>
        <w:t xml:space="preserve">(</w:t>
      </w:r>
      <w:r>
        <w:rPr>
          <w:rStyle w:val="VerbatimChar"/>
        </w:rPr>
        <w:t xml:space="preserve">D1=Evet</w:t>
      </w:r>
      <w:r>
        <w:t xml:space="preserve">). Denominators stated under every such table.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Multiple-response items (C3, D2, G2):</w:t>
      </w:r>
      <w:r>
        <w:t xml:space="preserve"> </w:t>
      </w:r>
      <w:r>
        <w:t xml:space="preserve">each option = binary indicator; report % of responders (within the relevant subgroup) and, where useful, % of responses. G2 capped at 2 selections (flag &gt;2 as data error if present).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"Diğer" options</w:t>
      </w:r>
      <w:r>
        <w:t xml:space="preserve"> </w:t>
      </w:r>
      <w:r>
        <w:t xml:space="preserve">carry no free text (per instrument) → reported as a labeled category; high "Other" rates noted as a limitation.</w:t>
      </w:r>
    </w:p>
    <w:bookmarkEnd w:id="12"/>
    <w:bookmarkStart w:id="13" w:name="X3419c871d457847eda07b9a2c5b4d8f43bf8c79"/>
    <w:p>
      <w:pPr>
        <w:pStyle w:val="Heading2"/>
      </w:pPr>
      <w:r>
        <w:t xml:space="preserve">4. Missing data</w:t>
      </w:r>
    </w:p>
    <w:p>
      <w:pPr>
        <w:pStyle w:val="FirstParagraph"/>
      </w:pPr>
      <w:r>
        <w:t xml:space="preserve">Most items are mandatory → minimal item-missingness expected; conditional items (C2–C4, D2–D4) are legitimately skipped by non-users and are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treated as missing. Primary approach =</w:t>
      </w:r>
      <w:r>
        <w:t xml:space="preserve"> </w:t>
      </w:r>
      <w:r>
        <w:rPr>
          <w:b/>
          <w:bCs/>
        </w:rPr>
        <w:t xml:space="preserve">complete-case per item</w:t>
      </w:r>
      <w:r>
        <w:t xml:space="preserve">, with the analyzed denominator reported for each estimate. No multiple imputation for the descriptive primary aim; if any mandatory item shows &gt;5% missing it will be reported and a sensitivity check noted.</w:t>
      </w:r>
    </w:p>
    <w:bookmarkEnd w:id="13"/>
    <w:bookmarkStart w:id="14" w:name="X25ac0697e5b8dc95e726f07ae9b76fa60d8ffd6"/>
    <w:p>
      <w:pPr>
        <w:pStyle w:val="Heading2"/>
      </w:pPr>
      <w:r>
        <w:t xml:space="preserve">5. Descriptive analysis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Categorical</w:t>
      </w:r>
      <w:r>
        <w:t xml:space="preserve"> </w:t>
      </w:r>
      <w:r>
        <w:t xml:space="preserve">(</w:t>
      </w:r>
      <w:r>
        <w:rPr>
          <w:rStyle w:val="VerbatimChar"/>
        </w:rPr>
        <w:t xml:space="preserve">A1–A4, B1, B4, C0/C1/C7, D1/D4, E4/E5, F1/F2/F5, G5</w:t>
      </w:r>
      <w:r>
        <w:t xml:space="preserve">): n (%).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Likert / ordinal</w:t>
      </w:r>
      <w:r>
        <w:t xml:space="preserve"> </w:t>
      </w:r>
      <w:r>
        <w:t xml:space="preserve">(</w:t>
      </w:r>
      <w:r>
        <w:rPr>
          <w:rStyle w:val="VerbatimChar"/>
        </w:rPr>
        <w:t xml:space="preserve">A5–A6, B2–B3, C4–C6, D3/D5/D6, E1–E3, F3–F4, G1a–e, G3–G4</w:t>
      </w:r>
      <w:r>
        <w:t xml:space="preserve">):</w:t>
      </w:r>
      <w:r>
        <w:t xml:space="preserve"> </w:t>
      </w:r>
      <w:r>
        <w:rPr>
          <w:b/>
          <w:bCs/>
        </w:rPr>
        <w:t xml:space="preserve">median (IQR)</w:t>
      </w:r>
      <w:r>
        <w:t xml:space="preserve"> </w:t>
      </w:r>
      <w:r>
        <w:t xml:space="preserve">primary; mean ± SD secondary; full 1–5 distribution shown as diverging stacked bars. Optional dichotomization for clarity: "agree" = 4–5 vs "not" (pre-specified, reported alongside, not replacing, the ordinal summary).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Multiple-response</w:t>
      </w:r>
      <w:r>
        <w:t xml:space="preserve"> </w:t>
      </w:r>
      <w:r>
        <w:t xml:space="preserve">(C3, D2, G2): ranked frequency tables within the correct denominator.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Open-ended</w:t>
      </w:r>
      <w:r>
        <w:t xml:space="preserve"> </w:t>
      </w:r>
      <w:r>
        <w:t xml:space="preserve">(G6, G7): see Section 8.</w:t>
      </w:r>
    </w:p>
    <w:bookmarkEnd w:id="14"/>
    <w:bookmarkStart w:id="15" w:name="X4979a6bdda4a2cbdcda5c887a8273fff6f53b0a"/>
    <w:p>
      <w:pPr>
        <w:pStyle w:val="Heading2"/>
      </w:pPr>
      <w:r>
        <w:t xml:space="preserve">6. Inferential analysis</w:t>
      </w:r>
    </w:p>
    <w:p>
      <w:pPr>
        <w:pStyle w:val="FirstParagraph"/>
      </w:pPr>
      <w:r>
        <w:t xml:space="preserve">Two-sided</w:t>
      </w:r>
      <w:r>
        <w:t xml:space="preserve"> </w:t>
      </w:r>
      <w:r>
        <w:rPr>
          <w:b/>
          <w:bCs/>
        </w:rPr>
        <w:t xml:space="preserve">α = 0.05</w:t>
      </w:r>
      <w:r>
        <w:t xml:space="preserve">. Likert items treated as ordinal.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Comparison</w:t>
            </w:r>
          </w:p>
        </w:tc>
        <w:tc>
          <w:tcPr/>
          <w:p>
            <w:pPr>
              <w:pStyle w:val="Compact"/>
            </w:pPr>
            <w:r>
              <w:t xml:space="preserve">Test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Categorical × categorical</w:t>
            </w:r>
          </w:p>
        </w:tc>
        <w:tc>
          <w:tcPr/>
          <w:p>
            <w:pPr>
              <w:pStyle w:val="Compact"/>
            </w:pPr>
            <w:r>
              <w:t xml:space="preserve">Pearson χ² (Fisher exact if any expected cell &lt;5)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Ordinal/Likert × 2 groups</w:t>
            </w:r>
          </w:p>
        </w:tc>
        <w:tc>
          <w:tcPr/>
          <w:p>
            <w:pPr>
              <w:pStyle w:val="Compact"/>
            </w:pPr>
            <w:r>
              <w:t xml:space="preserve">Mann–Whitney U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Ordinal/Likert × ≥3 groups</w:t>
            </w:r>
          </w:p>
        </w:tc>
        <w:tc>
          <w:tcPr/>
          <w:p>
            <w:pPr>
              <w:pStyle w:val="Compact"/>
            </w:pPr>
            <w:r>
              <w:t xml:space="preserve">Kruskal–Wallis (+ Dunn post-hoc, Holm-adjusted)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Ordinal × ordinal association</w:t>
            </w:r>
          </w:p>
        </w:tc>
        <w:tc>
          <w:tcPr/>
          <w:p>
            <w:pPr>
              <w:pStyle w:val="Compact"/>
            </w:pPr>
            <w:r>
              <w:t xml:space="preserve">Spearman ρ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Ordered trend across ordinal groups</w:t>
            </w:r>
          </w:p>
        </w:tc>
        <w:tc>
          <w:tcPr/>
          <w:p>
            <w:pPr>
              <w:pStyle w:val="Compact"/>
            </w:pPr>
            <w:r>
              <w:t xml:space="preserve">Jonckheere–Terpstra (or Cochran–Armitage for binary outcomes)</w:t>
            </w:r>
          </w:p>
        </w:tc>
      </w:tr>
    </w:tbl>
    <w:p>
      <w:pPr>
        <w:pStyle w:val="BodyText"/>
      </w:pPr>
      <w:r>
        <w:rPr>
          <w:b/>
          <w:bCs/>
        </w:rPr>
        <w:t xml:space="preserve">Pre-specified primary contrasts</w:t>
      </w:r>
      <w:r>
        <w:t xml:space="preserve"> </w:t>
      </w:r>
      <w:r>
        <w:t xml:space="preserve">(confirmatory-flavored, the rest exploratory): S1 (</w:t>
      </w:r>
      <w:r>
        <w:rPr>
          <w:rStyle w:val="VerbatimChar"/>
        </w:rPr>
        <w:t xml:space="preserve">A1_field</w:t>
      </w:r>
      <w:r>
        <w:t xml:space="preserve">) and S4 (</w:t>
      </w:r>
      <w:r>
        <w:rPr>
          <w:rStyle w:val="VerbatimChar"/>
        </w:rPr>
        <w:t xml:space="preserve">C1_use_clinical</w:t>
      </w:r>
      <w:r>
        <w:t xml:space="preserve">) on these key outcomes — awareness (</w:t>
      </w:r>
      <w:r>
        <w:rPr>
          <w:rStyle w:val="VerbatimChar"/>
        </w:rPr>
        <w:t xml:space="preserve">B3</w:t>
      </w:r>
      <w:r>
        <w:t xml:space="preserve">), clinical trust (</w:t>
      </w:r>
      <w:r>
        <w:rPr>
          <w:rStyle w:val="VerbatimChar"/>
        </w:rPr>
        <w:t xml:space="preserve">C4</w:t>
      </w:r>
      <w:r>
        <w:t xml:space="preserve">), perceived risk (</w:t>
      </w:r>
      <w:r>
        <w:rPr>
          <w:rStyle w:val="VerbatimChar"/>
        </w:rPr>
        <w:t xml:space="preserve">C6</w:t>
      </w:r>
      <w:r>
        <w:t xml:space="preserve">), declaration norm (</w:t>
      </w:r>
      <w:r>
        <w:rPr>
          <w:rStyle w:val="VerbatimChar"/>
        </w:rPr>
        <w:t xml:space="preserve">D5</w:t>
      </w:r>
      <w:r>
        <w:t xml:space="preserve">), KVKK barrier (</w:t>
      </w:r>
      <w:r>
        <w:rPr>
          <w:rStyle w:val="VerbatimChar"/>
        </w:rPr>
        <w:t xml:space="preserve">E2</w:t>
      </w:r>
      <w:r>
        <w:t xml:space="preserve">), threat perception (</w:t>
      </w:r>
      <w:r>
        <w:rPr>
          <w:rStyle w:val="VerbatimChar"/>
        </w:rPr>
        <w:t xml:space="preserve">G4</w:t>
      </w:r>
      <w:r>
        <w:t xml:space="preserve">), education need (G1 composite).</w:t>
      </w:r>
    </w:p>
    <w:p>
      <w:pPr>
        <w:pStyle w:val="BodyText"/>
      </w:pPr>
      <w:r>
        <w:rPr>
          <w:b/>
          <w:bCs/>
        </w:rPr>
        <w:t xml:space="preserve">Multivariable models (pre-specified, INCLUDED).</w:t>
      </w:r>
      <w:r>
        <w:t xml:space="preserve"> </w:t>
      </w:r>
      <w:r>
        <w:t xml:space="preserve">To estimate independent correlates beyond bivariate tests: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M1 — binary logistic:</w:t>
      </w:r>
      <w:r>
        <w:t xml:space="preserve"> </w:t>
      </w:r>
      <w:r>
        <w:t xml:space="preserve">outcome = clinical AI use (</w:t>
      </w:r>
      <w:r>
        <w:rPr>
          <w:rStyle w:val="VerbatimChar"/>
        </w:rPr>
        <w:t xml:space="preserve">C1_use_clinical</w:t>
      </w:r>
      <w:r>
        <w:t xml:space="preserve">, yes/no).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M2 — binary logistic:</w:t>
      </w:r>
      <w:r>
        <w:t xml:space="preserve"> </w:t>
      </w:r>
      <w:r>
        <w:t xml:space="preserve">outcome = research/writing AI use (</w:t>
      </w:r>
      <w:r>
        <w:rPr>
          <w:rStyle w:val="VerbatimChar"/>
        </w:rPr>
        <w:t xml:space="preserve">D1_use_research</w:t>
      </w:r>
      <w:r>
        <w:t xml:space="preserve">, yes/no).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M3 — binary logistic:</w:t>
      </w:r>
      <w:r>
        <w:t xml:space="preserve"> </w:t>
      </w:r>
      <w:r>
        <w:t xml:space="preserve">outcome = entering identifiable patient data into public chatbots (</w:t>
      </w:r>
      <w:r>
        <w:rPr>
          <w:rStyle w:val="VerbatimChar"/>
        </w:rPr>
        <w:t xml:space="preserve">C7_patientdata</w:t>
      </w:r>
      <w:r>
        <w:t xml:space="preserve"> </w:t>
      </w:r>
      <w:r>
        <w:t xml:space="preserve">collapsed: any identifiable entry vs never/anonymized only) — primary governance outcome.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M4 — ordinal (proportional-odds) logistic:</w:t>
      </w:r>
      <w:r>
        <w:t xml:space="preserve"> </w:t>
      </w:r>
      <w:r>
        <w:t xml:space="preserve">a key attitudinal outcome (education-need composite or perceived-risk subscale); proportional-odds assumption checked (</w:t>
      </w:r>
      <w:r>
        <w:rPr>
          <w:b/>
          <w:bCs/>
        </w:rPr>
        <w:t xml:space="preserve">Brant test</w:t>
      </w:r>
      <w:r>
        <w:t xml:space="preserve">); if violated → partial proportional-odds (</w:t>
      </w:r>
      <w:r>
        <w:rPr>
          <w:rStyle w:val="VerbatimChar"/>
        </w:rPr>
        <w:t xml:space="preserve">vglm</w:t>
      </w:r>
      <w:r>
        <w:t xml:space="preserve">) or dichotomized logistic.</w:t>
      </w:r>
    </w:p>
    <w:p>
      <w:pPr>
        <w:pStyle w:val="FirstParagraph"/>
      </w:pPr>
      <w:r>
        <w:t xml:space="preserve">Shared, pre-specified</w:t>
      </w:r>
      <w:r>
        <w:t xml:space="preserve"> </w:t>
      </w:r>
      <w:r>
        <w:rPr>
          <w:b/>
          <w:bCs/>
        </w:rPr>
        <w:t xml:space="preserve">parsimonious</w:t>
      </w:r>
      <w:r>
        <w:t xml:space="preserve"> </w:t>
      </w:r>
      <w:r>
        <w:t xml:space="preserve">predictor set (for comparability): specialty (</w:t>
      </w:r>
      <w:r>
        <w:rPr>
          <w:rStyle w:val="VerbatimChar"/>
        </w:rPr>
        <w:t xml:space="preserve">A1</w:t>
      </w:r>
      <w:r>
        <w:t xml:space="preserve">), experience (</w:t>
      </w:r>
      <w:r>
        <w:rPr>
          <w:rStyle w:val="VerbatimChar"/>
        </w:rPr>
        <w:t xml:space="preserve">A4</w:t>
      </w:r>
      <w:r>
        <w:t xml:space="preserve">), self-rated digital literacy (</w:t>
      </w:r>
      <w:r>
        <w:rPr>
          <w:rStyle w:val="VerbatimChar"/>
        </w:rPr>
        <w:t xml:space="preserve">A6</w:t>
      </w:r>
      <w:r>
        <w:t xml:space="preserve">), prior structured AI training (</w:t>
      </w:r>
      <w:r>
        <w:rPr>
          <w:rStyle w:val="VerbatimChar"/>
        </w:rPr>
        <w:t xml:space="preserve">B1</w:t>
      </w:r>
      <w:r>
        <w:t xml:space="preserve">), and institution type (</w:t>
      </w:r>
      <w:r>
        <w:rPr>
          <w:rStyle w:val="VerbatimChar"/>
        </w:rPr>
        <w:t xml:space="preserve">A3</w:t>
      </w:r>
      <w:r>
        <w:t xml:space="preserve">)</w:t>
      </w:r>
      <w:r>
        <w:t xml:space="preserve"> </w:t>
      </w:r>
      <w:r>
        <w:rPr>
          <w:b/>
          <w:bCs/>
        </w:rPr>
        <w:t xml:space="preserve">or</w:t>
      </w:r>
      <w:r>
        <w:t xml:space="preserve"> </w:t>
      </w:r>
      <w:r>
        <w:t xml:space="preserve">institutional AI policy (</w:t>
      </w:r>
      <w:r>
        <w:rPr>
          <w:rStyle w:val="VerbatimChar"/>
        </w:rPr>
        <w:t xml:space="preserve">E4</w:t>
      </w:r>
      <w:r>
        <w:t xml:space="preserve">) — pick one of the last pair to avoid collinearity (check VIF). Choose</w:t>
      </w:r>
      <w:r>
        <w:t xml:space="preserve"> </w:t>
      </w:r>
      <w:r>
        <w:rPr>
          <w:rStyle w:val="VerbatimChar"/>
        </w:rPr>
        <w:t xml:space="preserve">A4</w:t>
      </w:r>
      <w:r>
        <w:t xml:space="preserve"> </w:t>
      </w:r>
      <w:r>
        <w:t xml:space="preserve">over</w:t>
      </w:r>
      <w:r>
        <w:t xml:space="preserve"> </w:t>
      </w:r>
      <w:r>
        <w:rPr>
          <w:rStyle w:val="VerbatimChar"/>
        </w:rPr>
        <w:t xml:space="preserve">A2</w:t>
      </w:r>
      <w:r>
        <w:t xml:space="preserve"> </w:t>
      </w:r>
      <w:r>
        <w:t xml:space="preserve">(correlated) to limit predictors.</w:t>
      </w:r>
    </w:p>
    <w:p>
      <w:pPr>
        <w:pStyle w:val="BodyText"/>
      </w:pPr>
      <w:r>
        <w:rPr>
          <w:b/>
          <w:bCs/>
        </w:rPr>
        <w:t xml:space="preserve">Sample-size discipline (N=146):</w:t>
      </w:r>
      <w:r>
        <w:t xml:space="preserve"> </w:t>
      </w:r>
      <w:r>
        <w:t xml:space="preserve">apply ~10 events-per-variable; cap each model at</w:t>
      </w:r>
      <w:r>
        <w:t xml:space="preserve"> </w:t>
      </w:r>
      <w:r>
        <w:rPr>
          <w:b/>
          <w:bCs/>
        </w:rPr>
        <w:t xml:space="preserve">≤5–6 predictors</w:t>
      </w:r>
      <w:r>
        <w:t xml:space="preserve">. For low-prevalence outcomes or quasi-separation (likely for M3), use</w:t>
      </w:r>
      <w:r>
        <w:t xml:space="preserve"> </w:t>
      </w:r>
      <w:r>
        <w:rPr>
          <w:b/>
          <w:bCs/>
        </w:rPr>
        <w:t xml:space="preserve">Firth's penalized logistic regression</w:t>
      </w:r>
      <w:r>
        <w:t xml:space="preserve"> </w:t>
      </w:r>
      <w:r>
        <w:t xml:space="preserve">(</w:t>
      </w:r>
      <w:r>
        <w:rPr>
          <w:rStyle w:val="VerbatimChar"/>
        </w:rPr>
        <w:t xml:space="preserve">logistf</w:t>
      </w:r>
      <w:r>
        <w:t xml:space="preserve">/</w:t>
      </w:r>
      <w:r>
        <w:rPr>
          <w:rStyle w:val="VerbatimChar"/>
        </w:rPr>
        <w:t xml:space="preserve">brglm2</w:t>
      </w:r>
      <w:r>
        <w:t xml:space="preserve">). Report</w:t>
      </w:r>
      <w:r>
        <w:t xml:space="preserve"> </w:t>
      </w:r>
      <w:r>
        <w:rPr>
          <w:b/>
          <w:bCs/>
        </w:rPr>
        <w:t xml:space="preserve">adjusted OR (95% CI)</w:t>
      </w:r>
      <w:r>
        <w:t xml:space="preserve">, discrimination (c-statistic/AUC), calibration, and VIF. Models are pre-specified; any model failing the EPV rule is reported as exploratory and clearly labeled.</w:t>
      </w:r>
    </w:p>
    <w:bookmarkEnd w:id="15"/>
    <w:bookmarkStart w:id="16" w:name="Xc79d33420015ac0ce1ea8af44a5e83acf1b8341"/>
    <w:p>
      <w:pPr>
        <w:pStyle w:val="Heading2"/>
      </w:pPr>
      <w:r>
        <w:t xml:space="preserve">7. Composite subscales &amp; reliability</w:t>
      </w:r>
    </w:p>
    <w:p>
      <w:pPr>
        <w:pStyle w:val="FirstParagraph"/>
      </w:pPr>
      <w:r>
        <w:t xml:space="preserve">A-priori conceptual subscales (confirmed before use with</w:t>
      </w:r>
      <w:r>
        <w:t xml:space="preserve"> </w:t>
      </w:r>
      <w:r>
        <w:rPr>
          <w:b/>
          <w:bCs/>
        </w:rPr>
        <w:t xml:space="preserve">Cronbach's α</w:t>
      </w:r>
      <w:r>
        <w:t xml:space="preserve">; report α, mean inter-item r, item–total correlations; reverse-code opposing-valence items). If α &lt; 0.70 or structure unclear, report items individually and/or run exploratory factor analysis.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Perceived benefit:</w:t>
      </w:r>
      <w:r>
        <w:t xml:space="preserve"> </w:t>
      </w:r>
      <w:r>
        <w:t xml:space="preserve">C4, C5, D3, F3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Perceived risk/barrier:</w:t>
      </w:r>
      <w:r>
        <w:t xml:space="preserve"> </w:t>
      </w:r>
      <w:r>
        <w:t xml:space="preserve">C6, D6, E2, E3, F4 (+ C7 behavioral, reported separately)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Responsible-use / governance attitude:</w:t>
      </w:r>
      <w:r>
        <w:t xml:space="preserve"> </w:t>
      </w:r>
      <w:r>
        <w:t xml:space="preserve">E1, D5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Education need:</w:t>
      </w:r>
      <w:r>
        <w:t xml:space="preserve"> </w:t>
      </w:r>
      <w:r>
        <w:t xml:space="preserve">G1a–G1e (expected unidimensional, high α)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Professional-future perception:</w:t>
      </w:r>
      <w:r>
        <w:t xml:space="preserve"> </w:t>
      </w:r>
      <w:r>
        <w:t xml:space="preserve">G3, G4 (G4 = threat; mind valence)</w:t>
      </w:r>
    </w:p>
    <w:bookmarkEnd w:id="16"/>
    <w:bookmarkStart w:id="17" w:name="Xcb7702edfed18f780f4f023d2d981f12d34c190"/>
    <w:p>
      <w:pPr>
        <w:pStyle w:val="Heading2"/>
      </w:pPr>
      <w:r>
        <w:t xml:space="preserve">8. Qualitative analysis (G6 opportunity, G7 risk)</w:t>
      </w:r>
    </w:p>
    <w:p>
      <w:pPr>
        <w:pStyle w:val="FirstParagraph"/>
      </w:pPr>
      <w:r>
        <w:t xml:space="preserve">Inductive</w:t>
      </w:r>
      <w:r>
        <w:t xml:space="preserve"> </w:t>
      </w:r>
      <w:r>
        <w:rPr>
          <w:b/>
          <w:bCs/>
        </w:rPr>
        <w:t xml:space="preserve">thematic content analysis</w:t>
      </w:r>
      <w:r>
        <w:t xml:space="preserve">; two independent coders; inter-coder agreement (Cohen's κ) reported; disagreements resolved by consensus. Theme frequencies quantified and triangulated with quantitative findings (convergent mixed-methods). Representative anonymized quotes; no identifying content.</w:t>
      </w:r>
    </w:p>
    <w:bookmarkEnd w:id="17"/>
    <w:bookmarkStart w:id="18" w:name="X66766b9e92f738e7ffa1aeb4369efec90e32044"/>
    <w:p>
      <w:pPr>
        <w:pStyle w:val="Heading2"/>
      </w:pPr>
      <w:r>
        <w:t xml:space="preserve">9. Multiplicity</w:t>
      </w:r>
    </w:p>
    <w:p>
      <w:pPr>
        <w:pStyle w:val="FirstParagraph"/>
      </w:pPr>
      <w:r>
        <w:t xml:space="preserve">Primary descriptive aims are not adjusted. For the broad set of exploratory subgroup tests, control false discovery rate with</w:t>
      </w:r>
      <w:r>
        <w:t xml:space="preserve"> </w:t>
      </w:r>
      <w:r>
        <w:rPr>
          <w:b/>
          <w:bCs/>
        </w:rPr>
        <w:t xml:space="preserve">Benjamini–Hochberg</w:t>
      </w:r>
      <w:r>
        <w:t xml:space="preserve">; clearly label confirmatory (Section 6 pre-specified) vs exploratory results. Avoid over-claiming from unadjusted exploratory p-values.</w:t>
      </w:r>
    </w:p>
    <w:bookmarkEnd w:id="18"/>
    <w:bookmarkStart w:id="19" w:name="Xe82d39d6f6178040c270007b4295093d5851f75"/>
    <w:p>
      <w:pPr>
        <w:pStyle w:val="Heading2"/>
      </w:pPr>
      <w:r>
        <w:t xml:space="preserve">10. Sensitivity analyses</w:t>
      </w:r>
    </w:p>
    <w:p>
      <w:pPr>
        <w:pStyle w:val="Compact"/>
        <w:numPr>
          <w:ilvl w:val="0"/>
          <w:numId w:val="1006"/>
        </w:numPr>
      </w:pPr>
      <w:r>
        <w:t xml:space="preserve">C6 reported full-sample (primary)</w:t>
      </w:r>
      <w:r>
        <w:t xml:space="preserve"> </w:t>
      </w:r>
      <w:r>
        <w:rPr>
          <w:b/>
          <w:bCs/>
        </w:rPr>
        <w:t xml:space="preserve">and</w:t>
      </w:r>
      <w:r>
        <w:t xml:space="preserve"> </w:t>
      </w:r>
      <w:r>
        <w:t xml:space="preserve">restricted to C1=Evet (sensitivity), to show robustness of the decision in Section 3.</w:t>
      </w:r>
    </w:p>
    <w:p>
      <w:pPr>
        <w:pStyle w:val="Compact"/>
        <w:numPr>
          <w:ilvl w:val="0"/>
          <w:numId w:val="1006"/>
        </w:numPr>
      </w:pPr>
      <w:r>
        <w:t xml:space="preserve">Likert-as-ordinal (primary) vs treated-as-interval mean comparison (sensitivity) for key items.</w:t>
      </w:r>
    </w:p>
    <w:p>
      <w:pPr>
        <w:pStyle w:val="Compact"/>
        <w:numPr>
          <w:ilvl w:val="0"/>
          <w:numId w:val="1006"/>
        </w:numPr>
      </w:pPr>
      <w:r>
        <w:t xml:space="preserve">Complete-case vs available-case denominators where conditional logic applies.</w:t>
      </w:r>
    </w:p>
    <w:bookmarkEnd w:id="19"/>
    <w:bookmarkStart w:id="20" w:name="X5fe2d7f4814d498b21ca4fbe6497e628c0a622c"/>
    <w:p>
      <w:pPr>
        <w:pStyle w:val="Heading2"/>
      </w:pPr>
      <w:r>
        <w:t xml:space="preserve">11. Software &amp; reproducibility</w:t>
      </w:r>
    </w:p>
    <w:p>
      <w:pPr>
        <w:pStyle w:val="FirstParagraph"/>
      </w:pPr>
      <w:r>
        <w:t xml:space="preserve">Analyses in</w:t>
      </w:r>
      <w:r>
        <w:t xml:space="preserve"> </w:t>
      </w:r>
      <w:r>
        <w:rPr>
          <w:b/>
          <w:bCs/>
        </w:rPr>
        <w:t xml:space="preserve">R (≥4.3)</w:t>
      </w:r>
      <w:r>
        <w:t xml:space="preserve"> </w:t>
      </w:r>
      <w:r>
        <w:t xml:space="preserve">(selected for reproducibility, ordinal/penalized regression, FDR, and publication-quality Likert visuals). Key packages:</w:t>
      </w:r>
      <w:r>
        <w:t xml:space="preserve"> </w:t>
      </w:r>
      <w:r>
        <w:rPr>
          <w:rStyle w:val="VerbatimChar"/>
        </w:rPr>
        <w:t xml:space="preserve">MASS</w:t>
      </w:r>
      <w:r>
        <w:t xml:space="preserve">/</w:t>
      </w:r>
      <w:r>
        <w:rPr>
          <w:rStyle w:val="VerbatimChar"/>
        </w:rPr>
        <w:t xml:space="preserve">VGAM</w:t>
      </w:r>
      <w:r>
        <w:t xml:space="preserve"> </w:t>
      </w:r>
      <w:r>
        <w:t xml:space="preserve">(ordinal),</w:t>
      </w:r>
      <w:r>
        <w:t xml:space="preserve"> </w:t>
      </w:r>
      <w:r>
        <w:rPr>
          <w:rStyle w:val="VerbatimChar"/>
        </w:rPr>
        <w:t xml:space="preserve">logistf</w:t>
      </w:r>
      <w:r>
        <w:t xml:space="preserve">/</w:t>
      </w:r>
      <w:r>
        <w:rPr>
          <w:rStyle w:val="VerbatimChar"/>
        </w:rPr>
        <w:t xml:space="preserve">brglm2</w:t>
      </w:r>
      <w:r>
        <w:t xml:space="preserve"> </w:t>
      </w:r>
      <w:r>
        <w:t xml:space="preserve">(Firth),</w:t>
      </w:r>
      <w:r>
        <w:t xml:space="preserve"> </w:t>
      </w:r>
      <w:r>
        <w:rPr>
          <w:rStyle w:val="VerbatimChar"/>
        </w:rPr>
        <w:t xml:space="preserve">brant</w:t>
      </w:r>
      <w:r>
        <w:t xml:space="preserve"> </w:t>
      </w:r>
      <w:r>
        <w:t xml:space="preserve">(assumption check),</w:t>
      </w:r>
      <w:r>
        <w:t xml:space="preserve"> </w:t>
      </w:r>
      <w:r>
        <w:rPr>
          <w:rStyle w:val="VerbatimChar"/>
        </w:rPr>
        <w:t xml:space="preserve">car</w:t>
      </w:r>
      <w:r>
        <w:t xml:space="preserve"> </w:t>
      </w:r>
      <w:r>
        <w:t xml:space="preserve">(VIF),</w:t>
      </w:r>
      <w:r>
        <w:t xml:space="preserve"> </w:t>
      </w:r>
      <w:r>
        <w:rPr>
          <w:rStyle w:val="VerbatimChar"/>
        </w:rPr>
        <w:t xml:space="preserve">rstatix</w:t>
      </w:r>
      <w:r>
        <w:t xml:space="preserve">/</w:t>
      </w:r>
      <w:r>
        <w:rPr>
          <w:rStyle w:val="VerbatimChar"/>
        </w:rPr>
        <w:t xml:space="preserve">FSA</w:t>
      </w:r>
      <w:r>
        <w:t xml:space="preserve"> </w:t>
      </w:r>
      <w:r>
        <w:t xml:space="preserve">(non-parametric + Dunn),</w:t>
      </w:r>
      <w:r>
        <w:t xml:space="preserve"> </w:t>
      </w:r>
      <w:r>
        <w:rPr>
          <w:rStyle w:val="VerbatimChar"/>
        </w:rPr>
        <w:t xml:space="preserve">likert</w:t>
      </w:r>
      <w:r>
        <w:t xml:space="preserve">/</w:t>
      </w:r>
      <w:r>
        <w:rPr>
          <w:rStyle w:val="VerbatimChar"/>
        </w:rPr>
        <w:t xml:space="preserve">ggplot2</w:t>
      </w:r>
      <w:r>
        <w:t xml:space="preserve"> </w:t>
      </w:r>
      <w:r>
        <w:t xml:space="preserve">(diverging bars),</w:t>
      </w:r>
      <w:r>
        <w:t xml:space="preserve"> </w:t>
      </w:r>
      <w:r>
        <w:rPr>
          <w:rStyle w:val="VerbatimChar"/>
        </w:rPr>
        <w:t xml:space="preserve">p.adjust</w:t>
      </w:r>
      <w:r>
        <w:t xml:space="preserve"> </w:t>
      </w:r>
      <w:r>
        <w:t xml:space="preserve">(BH). Random seed fixed where resampling is used. Analysis script + codebook archived; de-identified dataset available per journal data-availability policy. Figures: colorblind-safe palettes, grayscale-readable.</w:t>
      </w:r>
    </w:p>
    <w:bookmarkEnd w:id="20"/>
    <w:bookmarkStart w:id="21" w:name="Xdec290482bbbec0ce7db7dfd25fa74dedcbf079"/>
    <w:p>
      <w:pPr>
        <w:pStyle w:val="Heading2"/>
      </w:pPr>
      <w:r>
        <w:t xml:space="preserve">12. Reporting outputs (map to manuscript)</w:t>
      </w:r>
    </w:p>
    <w:p>
      <w:pPr>
        <w:pStyle w:val="Compact"/>
        <w:numPr>
          <w:ilvl w:val="0"/>
          <w:numId w:val="1007"/>
        </w:numPr>
      </w:pPr>
      <w:r>
        <w:t xml:space="preserve">Main text: Table 1 (participant characteristics); Table 2 (multivariable models). Supplementary Tables S1–S6 (Additional file 5): S1 awareness/knowledge (B); S2 clinical use (C); S3 research/writing use (D); S4 trust/ethics/governance (E); S5 patient-chatbot attitudes (F); S6 education needs &amp; future (G).</w:t>
      </w:r>
    </w:p>
    <w:p>
      <w:pPr>
        <w:pStyle w:val="Compact"/>
        <w:numPr>
          <w:ilvl w:val="0"/>
          <w:numId w:val="1007"/>
        </w:numPr>
      </w:pPr>
      <w:r>
        <w:t xml:space="preserve">Figures (citation order): Fig 1 clinical purposes of AI use (C3); Fig 2 governance, safety, and responsible-use indicators; Fig 3 educational-need ranking (G1); Fig 4 agreement-anchored attitudes (diverging Likert bars).</w:t>
      </w:r>
    </w:p>
    <w:p>
      <w:pPr>
        <w:pStyle w:val="Compact"/>
        <w:numPr>
          <w:ilvl w:val="0"/>
          <w:numId w:val="1007"/>
        </w:numPr>
      </w:pPr>
      <w:r>
        <w:t xml:space="preserve">Survey instrument, CHERRIES, and STROBE provided as Additional files.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2026-06-21T18:19:44Z</dcterms:created>
  <dcterms:modified xsi:type="dcterms:W3CDTF">2026-06-21T18:19:44Z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