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STROBE checklist</w:t>
      </w:r>
    </w:p>
    <w:p>
      <w:pPr>
        <w:spacing w:after="200" w:line="276"/>
      </w:pPr>
      <w:r>
        <w:rPr>
          <w:i/>
          <w:iCs/>
          <w:color w:val="000000"/>
          <w:sz w:val="22"/>
          <w:szCs w:val="22"/>
        </w:rPr>
        <w:t xml:space="preserve">Manuscript: “Omitting axillary lymph node dissection for sentinel-node macrometastases in a resource-limited region: a single-centre study.”</w:t>
      </w:r>
    </w:p>
    <w:p>
      <w:pPr>
        <w:spacing w:after="160" w:line="276"/>
      </w:pPr>
      <w:r>
        <w:rPr>
          <w:color w:val="000000"/>
          <w:sz w:val="22"/>
          <w:szCs w:val="22"/>
        </w:rPr>
        <w:t xml:space="preserve">Reporting follows the STROBE statement for observational (cross-sectional/cohort) studies. Page numbers should be inserted to match the final typeset manuscript.</w:t>
      </w:r>
    </w:p>
    <w:tbl>
      <w:tblPr>
        <w:tblW w:type="dxa" w:w="9360"/>
        <w:tblBorders>
          <w:top w:val="single" w:color="000000" w:sz="8"/>
          <w:left w:val="none" w:color="FFFFFF" w:sz="0"/>
          <w:bottom w:val="single" w:color="000000" w:sz="8"/>
          <w:right w:val="none" w:color="FFFFFF" w:sz="0"/>
          <w:insideH w:val="none" w:color="FFFFFF" w:sz="0"/>
          <w:insideV w:val="none" w:color="FFFFFF" w:sz="0"/>
        </w:tblBorders>
      </w:tblPr>
      <w:tblGrid>
        <w:gridCol w:w="2400"/>
        <w:gridCol w:w="4360"/>
        <w:gridCol w:w="2600"/>
      </w:tblGrid>
      <w:tr>
        <w:trPr>
          <w:tblHeader/>
        </w:trPr>
        <w:tc>
          <w:tcPr>
            <w:tcW w:type="dxa" w:w="3000"/>
            <w:tcBorders>
              <w:top w:val="single" w:color="000000" w:sz="8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Item</w:t>
            </w:r>
          </w:p>
        </w:tc>
        <w:tc>
          <w:tcPr>
            <w:tcW w:type="dxa" w:w="3000"/>
            <w:tcBorders>
              <w:top w:val="single" w:color="000000" w:sz="8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STROBE recommendation (observational study)</w:t>
            </w:r>
          </w:p>
        </w:tc>
        <w:tc>
          <w:tcPr>
            <w:tcW w:type="dxa" w:w="3000"/>
            <w:tcBorders>
              <w:top w:val="single" w:color="000000" w:sz="8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Reported in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Title &amp; abstract (1)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Study design in title/abstract; structured summary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Title; Abstract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Background/rationale (2)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Scientific background and rationale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Introduction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Objectives (3)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Specific objectives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Introduction (final paragraph)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Study design (4)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Key elements of design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Patients and Methods – Study design and cohorts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Setting (5)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Setting, locations, relevant dates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Patients and Methods – Setting; Study design and cohorts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Participants (6)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Eligibility criteria, sources, selection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Patients and Methods – Study design and cohorts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Variables (7)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Outcomes, exposures, predictors, definitions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Patients and Methods – Data collection; Definitions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Data sources/measurement (8)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Sources and methods of assessment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Patients and Methods – Data collection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Bias (9)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Efforts to address potential bias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Patients and Methods; Limitations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Study size (10)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How study size was arrived at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Patients and Methods – Study design and cohorts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Quantitative variables (11)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Handling of quantitative variables/groupings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Patients and Methods – Data collection; Statistical analysis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Statistical methods (12)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All statistical methods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Patients and Methods – Statistical analysis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Participants (13)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Numbers at each stage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Results; Tables 1, 3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Descriptive data (14)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Characteristics of participants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Results; Tables 1, 3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Outcome data (15)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Numbers of outcome events/summary measures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Results; Tables 2, 4, 5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Main results (16)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Estimates and, where relevant, precision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Results (descriptive; no multivariable model fitted)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Other analyses (17)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Subgroups/interactions/sensitivity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Results (mastectomy vs BCS subgroups)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Key results (18)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Summarise key results with reference to objectives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Discussion (first paragraph)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Limitations (19)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Limitations, sources of bias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Discussion – Limitations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Interpretation (20)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Cautious overall interpretation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Discussion; Conclusion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Generalisability (21)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External validity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Discussion – Limitations; Conclusion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Funding (22)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Source of funding/role of funders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line="252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Declarations – Funding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40"/>
    </w:pPr>
    <w:rPr>
      <w:rFonts w:ascii="Calibri" w:cs="Calibri" w:eastAsia="Calibri" w:hAnsi="Calibri"/>
      <w:b/>
      <w:bCs/>
      <w:color w:val="1F4E79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2026-06-23T08:42:37.246Z</dcterms:created>
  <dcterms:modified xsi:type="dcterms:W3CDTF">2026-06-23T08:42:37.246Z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