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FD7" w14:textId="77777777" w:rsidR="001A3BDB" w:rsidRPr="00644164" w:rsidRDefault="001A3BDB" w:rsidP="001A3BDB">
      <w:pPr>
        <w:spacing w:line="360" w:lineRule="auto"/>
        <w:jc w:val="center"/>
        <w:rPr>
          <w:sz w:val="24"/>
          <w:szCs w:val="24"/>
        </w:rPr>
      </w:pPr>
      <w:r w:rsidRPr="00644164">
        <w:rPr>
          <w:sz w:val="24"/>
          <w:szCs w:val="24"/>
        </w:rPr>
        <w:t>Supporting Information for</w:t>
      </w:r>
    </w:p>
    <w:p w14:paraId="68A11A4C" w14:textId="77777777" w:rsidR="001A3BDB" w:rsidRPr="00644164" w:rsidRDefault="001A3BDB" w:rsidP="001A3BDB">
      <w:pPr>
        <w:pStyle w:val="NormalWeb"/>
      </w:pPr>
      <w:r w:rsidRPr="00644164">
        <w:rPr>
          <w:rStyle w:val="Strong"/>
          <w:rFonts w:eastAsia="SimSun"/>
          <w:sz w:val="28"/>
          <w:szCs w:val="28"/>
        </w:rPr>
        <w:t>Two independent classes of allosteric transcription factors expand the regulatory landscape of bacterial guanidine metabolism</w:t>
      </w:r>
    </w:p>
    <w:p w14:paraId="077AC4BB" w14:textId="77777777" w:rsidR="001A3BDB" w:rsidRPr="00644164" w:rsidRDefault="001A3BDB" w:rsidP="001A3BDB">
      <w:pPr>
        <w:spacing w:line="360" w:lineRule="auto"/>
        <w:rPr>
          <w:vertAlign w:val="superscript"/>
        </w:rPr>
      </w:pPr>
      <w:r w:rsidRPr="00644164">
        <w:t>M. Sinn</w:t>
      </w:r>
      <w:r w:rsidRPr="00644164">
        <w:rPr>
          <w:vertAlign w:val="superscript"/>
        </w:rPr>
        <w:t>1</w:t>
      </w:r>
      <w:r w:rsidRPr="00644164">
        <w:t>, I. Martin</w:t>
      </w:r>
      <w:r w:rsidRPr="00644164">
        <w:rPr>
          <w:vertAlign w:val="superscript"/>
        </w:rPr>
        <w:t>2,3</w:t>
      </w:r>
      <w:r w:rsidRPr="00644164">
        <w:t>, A. Herman</w:t>
      </w:r>
      <w:r w:rsidRPr="00644164">
        <w:rPr>
          <w:vertAlign w:val="superscript"/>
        </w:rPr>
        <w:t>1</w:t>
      </w:r>
      <w:r w:rsidRPr="00644164">
        <w:t>, A. Theisen</w:t>
      </w:r>
      <w:r w:rsidRPr="00644164">
        <w:rPr>
          <w:vertAlign w:val="superscript"/>
        </w:rPr>
        <w:t>1</w:t>
      </w:r>
      <w:r w:rsidRPr="00644164">
        <w:t>, O. Mayans</w:t>
      </w:r>
      <w:r w:rsidRPr="00644164">
        <w:rPr>
          <w:vertAlign w:val="superscript"/>
        </w:rPr>
        <w:t>2</w:t>
      </w:r>
      <w:r w:rsidRPr="00644164">
        <w:t xml:space="preserve"> and J. S. Hartig</w:t>
      </w:r>
      <w:r w:rsidRPr="00644164">
        <w:rPr>
          <w:vertAlign w:val="superscript"/>
        </w:rPr>
        <w:t>1,3</w:t>
      </w:r>
    </w:p>
    <w:p w14:paraId="0BD9FBB9" w14:textId="77777777" w:rsidR="001A3BDB" w:rsidRPr="00644164" w:rsidRDefault="001A3BDB" w:rsidP="001A3BDB">
      <w:pPr>
        <w:spacing w:line="360" w:lineRule="auto"/>
      </w:pPr>
      <w:r w:rsidRPr="00644164">
        <w:rPr>
          <w:vertAlign w:val="superscript"/>
        </w:rPr>
        <w:t>1</w:t>
      </w:r>
      <w:r w:rsidRPr="00644164">
        <w:t xml:space="preserve"> Department of Chemistry, University of Konstanz, Germany</w:t>
      </w:r>
    </w:p>
    <w:p w14:paraId="449AAE1D" w14:textId="77777777" w:rsidR="001A3BDB" w:rsidRPr="00644164" w:rsidRDefault="001A3BDB" w:rsidP="001A3BDB">
      <w:pPr>
        <w:spacing w:line="360" w:lineRule="auto"/>
      </w:pPr>
      <w:r w:rsidRPr="00644164">
        <w:rPr>
          <w:vertAlign w:val="superscript"/>
        </w:rPr>
        <w:t>2</w:t>
      </w:r>
      <w:r w:rsidRPr="00644164">
        <w:t>Department of Biology, University of Konstanz, Germany</w:t>
      </w:r>
    </w:p>
    <w:p w14:paraId="7D167A6E" w14:textId="77777777" w:rsidR="001A3BDB" w:rsidRPr="00644164" w:rsidRDefault="001A3BDB" w:rsidP="001A3BDB">
      <w:pPr>
        <w:spacing w:line="360" w:lineRule="auto"/>
      </w:pPr>
      <w:r w:rsidRPr="00644164">
        <w:rPr>
          <w:vertAlign w:val="superscript"/>
        </w:rPr>
        <w:t xml:space="preserve">3 </w:t>
      </w:r>
      <w:r w:rsidRPr="00644164">
        <w:t>Konstanz Research School Chemical Biology (KoRS-CB), University of Konstanz, Germany</w:t>
      </w:r>
    </w:p>
    <w:p w14:paraId="6263BD61" w14:textId="77777777" w:rsidR="001A3BDB" w:rsidRPr="00644164" w:rsidRDefault="001A3BDB" w:rsidP="001A3BDB">
      <w:pPr>
        <w:spacing w:line="360" w:lineRule="auto"/>
      </w:pPr>
    </w:p>
    <w:p w14:paraId="27650FFA" w14:textId="77777777" w:rsidR="001A3BDB" w:rsidRPr="00644164" w:rsidRDefault="001A3BDB" w:rsidP="001A3BDB">
      <w:pPr>
        <w:spacing w:line="360" w:lineRule="auto"/>
        <w:rPr>
          <w:b/>
          <w:bCs/>
        </w:rPr>
      </w:pPr>
      <w:r w:rsidRPr="00644164">
        <w:rPr>
          <w:b/>
          <w:bCs/>
        </w:rPr>
        <w:t>Table of Content</w:t>
      </w:r>
    </w:p>
    <w:p w14:paraId="6B22A636" w14:textId="77777777" w:rsidR="001A3BDB" w:rsidRPr="00644164" w:rsidRDefault="001A3BDB" w:rsidP="001A3BDB">
      <w:pPr>
        <w:spacing w:line="360" w:lineRule="auto"/>
        <w:ind w:left="-284"/>
      </w:pPr>
      <w:r w:rsidRPr="00644164">
        <w:tab/>
        <w:t>Supplementary Figure 1: Guanidine concentration-dependent filter binding assay for GdnR.</w:t>
      </w:r>
      <w:r w:rsidRPr="00644164">
        <w:br/>
      </w:r>
      <w:r w:rsidRPr="00644164">
        <w:tab/>
        <w:t xml:space="preserve">Supplementary Figure 2: GdnR filter binding assay. </w:t>
      </w:r>
      <w:r w:rsidRPr="00644164">
        <w:br/>
      </w:r>
      <w:r w:rsidRPr="00644164">
        <w:tab/>
        <w:t>Supplementary Figure 3: SPR analysis of C. cellasea GdnR.</w:t>
      </w:r>
      <w:r w:rsidRPr="00644164">
        <w:br/>
      </w:r>
      <w:r w:rsidRPr="00644164">
        <w:tab/>
        <w:t xml:space="preserve">Supplementary Figure 4: SPR analysis of </w:t>
      </w:r>
      <w:r w:rsidRPr="00644164">
        <w:rPr>
          <w:i/>
          <w:iCs/>
        </w:rPr>
        <w:t>C. cellasea</w:t>
      </w:r>
      <w:r w:rsidRPr="00644164">
        <w:t xml:space="preserve"> GdnR binding to the </w:t>
      </w:r>
      <w:r w:rsidRPr="00644164">
        <w:rPr>
          <w:i/>
          <w:iCs/>
        </w:rPr>
        <w:t>S. griseus</w:t>
      </w:r>
      <w:r w:rsidRPr="00644164">
        <w:t xml:space="preserve"> consensus motif.</w:t>
      </w:r>
      <w:r w:rsidRPr="00644164">
        <w:br/>
      </w:r>
      <w:r w:rsidRPr="00644164">
        <w:tab/>
        <w:t xml:space="preserve">Supplementary Figure 5: </w:t>
      </w:r>
      <w:r w:rsidRPr="00644164">
        <w:rPr>
          <w:i/>
          <w:iCs/>
        </w:rPr>
        <w:t>S. griseus</w:t>
      </w:r>
      <w:r w:rsidRPr="00644164">
        <w:t xml:space="preserve"> GdnR- and guanidine-dependent eGFP expression</w:t>
      </w:r>
      <w:r w:rsidRPr="00644164">
        <w:br/>
      </w:r>
      <w:r w:rsidRPr="00644164">
        <w:tab/>
        <w:t xml:space="preserve">Supplementary Figure 6: Purification of </w:t>
      </w:r>
      <w:r w:rsidRPr="00644164">
        <w:rPr>
          <w:i/>
          <w:iCs/>
        </w:rPr>
        <w:t>S. boeckii</w:t>
      </w:r>
      <w:r w:rsidRPr="00644164">
        <w:t xml:space="preserve"> GdcR.</w:t>
      </w:r>
      <w:r w:rsidRPr="00644164">
        <w:br/>
      </w:r>
      <w:r w:rsidRPr="00644164">
        <w:tab/>
        <w:t>Supplementary Figure 7: Radiograph of the NC and NY membranes from the GdcR filter binding assay.</w:t>
      </w:r>
      <w:r w:rsidRPr="00644164">
        <w:br/>
      </w:r>
      <w:r w:rsidRPr="00644164">
        <w:tab/>
        <w:t xml:space="preserve">Supplementary Table 1: Statistics for diffraction data processing and model building. </w:t>
      </w:r>
      <w:r w:rsidRPr="00644164">
        <w:br/>
      </w:r>
      <w:r w:rsidRPr="00644164">
        <w:tab/>
        <w:t>Supplementary Table 2: Sequences of DNA oligonucleotides used in this study.</w:t>
      </w:r>
      <w:r w:rsidRPr="00644164">
        <w:br w:type="page"/>
      </w:r>
      <w:r w:rsidRPr="00644164">
        <w:rPr>
          <w:noProof/>
          <w:lang w:val="de-DE" w:eastAsia="de-DE"/>
        </w:rPr>
        <w:lastRenderedPageBreak/>
        <w:drawing>
          <wp:anchor distT="0" distB="0" distL="114300" distR="114300" simplePos="0" relativeHeight="251664384" behindDoc="0" locked="0" layoutInCell="1" allowOverlap="1" wp14:anchorId="07015F15" wp14:editId="5AA96638">
            <wp:simplePos x="0" y="0"/>
            <wp:positionH relativeFrom="column">
              <wp:posOffset>23495</wp:posOffset>
            </wp:positionH>
            <wp:positionV relativeFrom="paragraph">
              <wp:posOffset>0</wp:posOffset>
            </wp:positionV>
            <wp:extent cx="2626995" cy="1632585"/>
            <wp:effectExtent l="0" t="0" r="1905" b="5715"/>
            <wp:wrapTopAndBottom/>
            <wp:docPr id="1717195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95417"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26995" cy="1632585"/>
                    </a:xfrm>
                    <a:prstGeom prst="rect">
                      <a:avLst/>
                    </a:prstGeom>
                  </pic:spPr>
                </pic:pic>
              </a:graphicData>
            </a:graphic>
            <wp14:sizeRelV relativeFrom="margin">
              <wp14:pctHeight>0</wp14:pctHeight>
            </wp14:sizeRelV>
          </wp:anchor>
        </w:drawing>
      </w:r>
      <w:r w:rsidRPr="00644164">
        <w:rPr>
          <w:b/>
          <w:bCs/>
        </w:rPr>
        <w:t>S</w:t>
      </w:r>
      <w:r w:rsidRPr="00644164">
        <w:rPr>
          <w:b/>
          <w:bCs/>
          <w:sz w:val="20"/>
          <w:szCs w:val="20"/>
        </w:rPr>
        <w:t>upplementary Figure 1</w:t>
      </w:r>
      <w:r w:rsidRPr="00644164">
        <w:rPr>
          <w:sz w:val="20"/>
          <w:szCs w:val="20"/>
        </w:rPr>
        <w:t xml:space="preserve">: </w:t>
      </w:r>
      <w:r w:rsidRPr="00644164">
        <w:rPr>
          <w:b/>
          <w:bCs/>
          <w:sz w:val="20"/>
          <w:szCs w:val="20"/>
        </w:rPr>
        <w:t xml:space="preserve">Guanidine concentration-dependent filter binding assay for GdnR. </w:t>
      </w:r>
      <w:r w:rsidRPr="00644164">
        <w:rPr>
          <w:i/>
          <w:iCs/>
          <w:sz w:val="20"/>
          <w:szCs w:val="20"/>
        </w:rPr>
        <w:t>C. cellasea</w:t>
      </w:r>
      <w:r w:rsidRPr="00644164">
        <w:rPr>
          <w:sz w:val="20"/>
          <w:szCs w:val="20"/>
        </w:rPr>
        <w:t xml:space="preserve"> GdnR was incubated with radioactively labelled DNA containing its cognate binding site. The binding reactions were supplemented with increasing guanidine concentration (0 µM to 500 µM). Relative intensity was calculated as the ratio of intensity on the nitrocellulose membrane to the combined intensities of the nitrocellulose and nylon membrane. The relative intensity of the control reaction without GdnR was subtracted. Data represent mean of technical replicates with error bars (n=3, s.d.). </w:t>
      </w:r>
      <w:r w:rsidRPr="00644164">
        <w:br w:type="page"/>
      </w:r>
    </w:p>
    <w:p w14:paraId="2B4F4EE5" w14:textId="77777777" w:rsidR="001A3BDB" w:rsidRPr="00644164" w:rsidRDefault="001A3BDB" w:rsidP="001A3BDB">
      <w:pPr>
        <w:jc w:val="both"/>
      </w:pPr>
      <w:r w:rsidRPr="00644164">
        <w:rPr>
          <w:b/>
          <w:bCs/>
        </w:rPr>
        <w:lastRenderedPageBreak/>
        <w:t>S</w:t>
      </w:r>
      <w:r w:rsidRPr="00644164">
        <w:rPr>
          <w:b/>
          <w:bCs/>
          <w:sz w:val="20"/>
          <w:szCs w:val="20"/>
        </w:rPr>
        <w:t>upplementary Figure 2</w:t>
      </w:r>
      <w:r w:rsidRPr="00644164">
        <w:rPr>
          <w:sz w:val="20"/>
          <w:szCs w:val="20"/>
        </w:rPr>
        <w:t xml:space="preserve">: </w:t>
      </w:r>
      <w:r w:rsidRPr="00644164">
        <w:rPr>
          <w:b/>
          <w:bCs/>
          <w:sz w:val="20"/>
          <w:szCs w:val="20"/>
        </w:rPr>
        <w:t>GdnR filter binding assay</w:t>
      </w:r>
      <w:r w:rsidRPr="00644164">
        <w:rPr>
          <w:sz w:val="20"/>
          <w:szCs w:val="20"/>
        </w:rPr>
        <w:t xml:space="preserve">. Radiograph of the nitrocellulose and nylon membrane of the GdnR filter binding assay. GdnR from </w:t>
      </w:r>
      <w:r w:rsidRPr="00644164">
        <w:rPr>
          <w:i/>
          <w:iCs/>
          <w:sz w:val="20"/>
          <w:szCs w:val="20"/>
        </w:rPr>
        <w:t>S. griseus</w:t>
      </w:r>
      <w:r w:rsidRPr="00644164">
        <w:rPr>
          <w:sz w:val="20"/>
          <w:szCs w:val="20"/>
        </w:rPr>
        <w:t xml:space="preserve"> and </w:t>
      </w:r>
      <w:r w:rsidRPr="00644164">
        <w:rPr>
          <w:i/>
          <w:iCs/>
          <w:sz w:val="20"/>
          <w:szCs w:val="20"/>
        </w:rPr>
        <w:t>C. cellasea</w:t>
      </w:r>
      <w:r w:rsidRPr="00644164">
        <w:rPr>
          <w:sz w:val="20"/>
          <w:szCs w:val="20"/>
        </w:rPr>
        <w:t xml:space="preserve"> was incubated with radioactively labelled DNA comprising the respective binding site. The binding reaction was supplemented with 1 mM guanidine (+ Gd). Control reactions were set up without guanidine (-Gd) and without GdnR (-GdnR).</w:t>
      </w:r>
      <w:r w:rsidRPr="00644164">
        <w:rPr>
          <w:noProof/>
          <w:lang w:val="de-DE" w:eastAsia="de-DE"/>
        </w:rPr>
        <w:drawing>
          <wp:anchor distT="0" distB="0" distL="114300" distR="114300" simplePos="0" relativeHeight="251662336" behindDoc="0" locked="0" layoutInCell="1" allowOverlap="1" wp14:anchorId="2FC35806" wp14:editId="7414A44F">
            <wp:simplePos x="0" y="0"/>
            <wp:positionH relativeFrom="column">
              <wp:posOffset>-4445</wp:posOffset>
            </wp:positionH>
            <wp:positionV relativeFrom="paragraph">
              <wp:posOffset>0</wp:posOffset>
            </wp:positionV>
            <wp:extent cx="2855982" cy="1392939"/>
            <wp:effectExtent l="0" t="0" r="1905" b="0"/>
            <wp:wrapTopAndBottom/>
            <wp:docPr id="91639430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94308" name="Grafik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5982" cy="1392939"/>
                    </a:xfrm>
                    <a:prstGeom prst="rect">
                      <a:avLst/>
                    </a:prstGeom>
                  </pic:spPr>
                </pic:pic>
              </a:graphicData>
            </a:graphic>
          </wp:anchor>
        </w:drawing>
      </w:r>
      <w:r w:rsidRPr="00644164">
        <w:br w:type="page"/>
      </w:r>
    </w:p>
    <w:p w14:paraId="1C92629D" w14:textId="77777777" w:rsidR="001A3BDB" w:rsidRPr="00644164" w:rsidRDefault="001A3BDB" w:rsidP="001A3BDB">
      <w:r w:rsidRPr="00644164">
        <w:rPr>
          <w:noProof/>
          <w:lang w:val="de-DE" w:eastAsia="de-DE"/>
        </w:rPr>
        <w:lastRenderedPageBreak/>
        <w:drawing>
          <wp:inline distT="0" distB="0" distL="0" distR="0" wp14:anchorId="56F06B80" wp14:editId="6058F0A1">
            <wp:extent cx="5035306" cy="1880620"/>
            <wp:effectExtent l="0" t="0" r="0" b="5715"/>
            <wp:docPr id="176146499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64995" name="Grafik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35306" cy="1880620"/>
                    </a:xfrm>
                    <a:prstGeom prst="rect">
                      <a:avLst/>
                    </a:prstGeom>
                  </pic:spPr>
                </pic:pic>
              </a:graphicData>
            </a:graphic>
          </wp:inline>
        </w:drawing>
      </w:r>
    </w:p>
    <w:p w14:paraId="36DDD616" w14:textId="77777777" w:rsidR="001A3BDB" w:rsidRPr="00644164" w:rsidRDefault="001A3BDB" w:rsidP="001A3BDB">
      <w:pPr>
        <w:jc w:val="both"/>
      </w:pPr>
      <w:r w:rsidRPr="00644164">
        <w:rPr>
          <w:b/>
          <w:bCs/>
        </w:rPr>
        <w:t>S</w:t>
      </w:r>
      <w:r w:rsidRPr="00644164">
        <w:rPr>
          <w:b/>
          <w:bCs/>
          <w:sz w:val="20"/>
          <w:szCs w:val="20"/>
        </w:rPr>
        <w:t>upplementary Figure 3</w:t>
      </w:r>
      <w:r w:rsidRPr="00644164">
        <w:rPr>
          <w:sz w:val="20"/>
          <w:szCs w:val="20"/>
        </w:rPr>
        <w:t xml:space="preserve">: </w:t>
      </w:r>
      <w:r w:rsidRPr="00644164">
        <w:rPr>
          <w:b/>
          <w:bCs/>
          <w:sz w:val="20"/>
          <w:szCs w:val="20"/>
        </w:rPr>
        <w:t xml:space="preserve">SPR analysis of </w:t>
      </w:r>
      <w:r w:rsidRPr="00644164">
        <w:rPr>
          <w:b/>
          <w:bCs/>
          <w:i/>
          <w:iCs/>
          <w:sz w:val="20"/>
          <w:szCs w:val="20"/>
        </w:rPr>
        <w:t>C. cellasea</w:t>
      </w:r>
      <w:r w:rsidRPr="00644164">
        <w:rPr>
          <w:b/>
          <w:bCs/>
          <w:sz w:val="20"/>
          <w:szCs w:val="20"/>
        </w:rPr>
        <w:t xml:space="preserve"> GdnR. A</w:t>
      </w:r>
      <w:r w:rsidRPr="00644164">
        <w:rPr>
          <w:sz w:val="20"/>
          <w:szCs w:val="20"/>
        </w:rPr>
        <w:t xml:space="preserve"> For the SPR analysis biotinylated DNA containing the binding motif of </w:t>
      </w:r>
      <w:r w:rsidRPr="00644164">
        <w:rPr>
          <w:i/>
          <w:iCs/>
          <w:sz w:val="20"/>
          <w:szCs w:val="20"/>
        </w:rPr>
        <w:t>S. griseus</w:t>
      </w:r>
      <w:r w:rsidRPr="00644164">
        <w:rPr>
          <w:sz w:val="20"/>
          <w:szCs w:val="20"/>
        </w:rPr>
        <w:t xml:space="preserve"> or </w:t>
      </w:r>
      <w:r w:rsidRPr="00644164">
        <w:rPr>
          <w:i/>
          <w:iCs/>
          <w:sz w:val="20"/>
          <w:szCs w:val="20"/>
        </w:rPr>
        <w:t>C. cellasea</w:t>
      </w:r>
      <w:r w:rsidRPr="00644164">
        <w:rPr>
          <w:sz w:val="20"/>
          <w:szCs w:val="20"/>
        </w:rPr>
        <w:t xml:space="preserve"> were immobilized on a SA-sensor chip. The scrambled </w:t>
      </w:r>
      <w:r w:rsidRPr="00644164">
        <w:rPr>
          <w:i/>
          <w:iCs/>
          <w:sz w:val="20"/>
          <w:szCs w:val="20"/>
        </w:rPr>
        <w:t>C. cellasea</w:t>
      </w:r>
      <w:r w:rsidRPr="00644164">
        <w:rPr>
          <w:sz w:val="20"/>
          <w:szCs w:val="20"/>
        </w:rPr>
        <w:t xml:space="preserve"> DNA served as a control (Supplementary Table 2). GdnR (5 nM) of was injected and binding was monitored for all DNA. Experiment was performed in technical duplicates. </w:t>
      </w:r>
      <w:r w:rsidRPr="00644164">
        <w:rPr>
          <w:b/>
          <w:bCs/>
          <w:sz w:val="20"/>
          <w:szCs w:val="20"/>
        </w:rPr>
        <w:t>B</w:t>
      </w:r>
      <w:r w:rsidRPr="00644164">
        <w:rPr>
          <w:sz w:val="20"/>
          <w:szCs w:val="20"/>
        </w:rPr>
        <w:t xml:space="preserve"> Replication of the SPR analysis of the </w:t>
      </w:r>
      <w:r w:rsidRPr="00644164">
        <w:rPr>
          <w:i/>
          <w:iCs/>
          <w:sz w:val="20"/>
          <w:szCs w:val="20"/>
        </w:rPr>
        <w:t>C. cellasea</w:t>
      </w:r>
      <w:r w:rsidRPr="00644164">
        <w:rPr>
          <w:sz w:val="20"/>
          <w:szCs w:val="20"/>
        </w:rPr>
        <w:t xml:space="preserve"> interaction with its cognate DNA binding site (Figure 2E). GdnR was injected at different concentrations. Data were fitted by kinetic analysis assuming 1:1 binding (black lines). Experiment was performed in technical duplicates.</w:t>
      </w:r>
      <w:r w:rsidRPr="00644164">
        <w:br w:type="page"/>
      </w:r>
    </w:p>
    <w:p w14:paraId="776AD48B" w14:textId="77777777" w:rsidR="001A3BDB" w:rsidRPr="00644164" w:rsidRDefault="001A3BDB" w:rsidP="001A3BDB">
      <w:pPr>
        <w:jc w:val="both"/>
      </w:pPr>
      <w:r w:rsidRPr="00644164">
        <w:rPr>
          <w:noProof/>
          <w:lang w:val="de-DE" w:eastAsia="de-DE"/>
        </w:rPr>
        <w:lastRenderedPageBreak/>
        <w:drawing>
          <wp:anchor distT="0" distB="0" distL="114300" distR="114300" simplePos="0" relativeHeight="251661312" behindDoc="0" locked="0" layoutInCell="1" allowOverlap="1" wp14:anchorId="4F14363E" wp14:editId="5571B5A0">
            <wp:simplePos x="0" y="0"/>
            <wp:positionH relativeFrom="column">
              <wp:posOffset>24130</wp:posOffset>
            </wp:positionH>
            <wp:positionV relativeFrom="paragraph">
              <wp:posOffset>149860</wp:posOffset>
            </wp:positionV>
            <wp:extent cx="5019675" cy="1889760"/>
            <wp:effectExtent l="0" t="0" r="9525" b="0"/>
            <wp:wrapTopAndBottom/>
            <wp:docPr id="149635433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54336" name="Grafik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9675" cy="1889760"/>
                    </a:xfrm>
                    <a:prstGeom prst="rect">
                      <a:avLst/>
                    </a:prstGeom>
                  </pic:spPr>
                </pic:pic>
              </a:graphicData>
            </a:graphic>
          </wp:anchor>
        </w:drawing>
      </w:r>
      <w:r w:rsidRPr="00644164">
        <w:rPr>
          <w:b/>
          <w:bCs/>
        </w:rPr>
        <w:t>S</w:t>
      </w:r>
      <w:r w:rsidRPr="00644164">
        <w:rPr>
          <w:b/>
          <w:bCs/>
          <w:sz w:val="20"/>
          <w:szCs w:val="20"/>
        </w:rPr>
        <w:t>upplementary Figure 4</w:t>
      </w:r>
      <w:r w:rsidRPr="00644164">
        <w:rPr>
          <w:sz w:val="20"/>
          <w:szCs w:val="20"/>
        </w:rPr>
        <w:t xml:space="preserve">: </w:t>
      </w:r>
      <w:r w:rsidRPr="00644164">
        <w:rPr>
          <w:b/>
          <w:bCs/>
          <w:sz w:val="20"/>
          <w:szCs w:val="20"/>
        </w:rPr>
        <w:t xml:space="preserve">SPR analysis of </w:t>
      </w:r>
      <w:r w:rsidRPr="00644164">
        <w:rPr>
          <w:b/>
          <w:bCs/>
          <w:i/>
          <w:iCs/>
          <w:sz w:val="20"/>
          <w:szCs w:val="20"/>
        </w:rPr>
        <w:t>C. cellasea</w:t>
      </w:r>
      <w:r w:rsidRPr="00644164">
        <w:rPr>
          <w:b/>
          <w:bCs/>
          <w:sz w:val="20"/>
          <w:szCs w:val="20"/>
        </w:rPr>
        <w:t xml:space="preserve"> GdnR binding to the </w:t>
      </w:r>
      <w:r w:rsidRPr="00644164">
        <w:rPr>
          <w:b/>
          <w:bCs/>
          <w:i/>
          <w:iCs/>
          <w:sz w:val="20"/>
          <w:szCs w:val="20"/>
        </w:rPr>
        <w:t>S. griseus</w:t>
      </w:r>
      <w:r w:rsidRPr="00644164">
        <w:rPr>
          <w:b/>
          <w:bCs/>
          <w:sz w:val="20"/>
          <w:szCs w:val="20"/>
        </w:rPr>
        <w:t xml:space="preserve"> consensus motif. </w:t>
      </w:r>
      <w:r w:rsidRPr="00644164">
        <w:rPr>
          <w:i/>
          <w:iCs/>
          <w:sz w:val="20"/>
          <w:szCs w:val="20"/>
        </w:rPr>
        <w:t>C. cellasea</w:t>
      </w:r>
      <w:r w:rsidRPr="00644164">
        <w:rPr>
          <w:sz w:val="20"/>
          <w:szCs w:val="20"/>
        </w:rPr>
        <w:t xml:space="preserve"> GdnR was injected at different concentrations. Data were fitted by kinetic analysis assuming 1:1 binding (black lines). Experiment was performed in technical duplicates. A and B represent two independent experiments.</w:t>
      </w:r>
      <w:r w:rsidRPr="00644164">
        <w:br w:type="page"/>
      </w:r>
    </w:p>
    <w:p w14:paraId="5868CE6F" w14:textId="77777777" w:rsidR="001A3BDB" w:rsidRPr="00644164" w:rsidRDefault="001A3BDB" w:rsidP="001A3BDB">
      <w:pPr>
        <w:jc w:val="both"/>
      </w:pPr>
      <w:r w:rsidRPr="00644164">
        <w:rPr>
          <w:noProof/>
          <w:lang w:val="de-DE" w:eastAsia="de-DE"/>
        </w:rPr>
        <w:lastRenderedPageBreak/>
        <w:drawing>
          <wp:anchor distT="0" distB="0" distL="114300" distR="114300" simplePos="0" relativeHeight="251660288" behindDoc="0" locked="0" layoutInCell="1" allowOverlap="1" wp14:anchorId="06519172" wp14:editId="02457F7C">
            <wp:simplePos x="0" y="0"/>
            <wp:positionH relativeFrom="column">
              <wp:posOffset>33655</wp:posOffset>
            </wp:positionH>
            <wp:positionV relativeFrom="paragraph">
              <wp:posOffset>0</wp:posOffset>
            </wp:positionV>
            <wp:extent cx="1929130" cy="1868170"/>
            <wp:effectExtent l="0" t="0" r="0" b="0"/>
            <wp:wrapTopAndBottom/>
            <wp:docPr id="213216246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62468" name="Grafik 21321624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130" cy="1868170"/>
                    </a:xfrm>
                    <a:prstGeom prst="rect">
                      <a:avLst/>
                    </a:prstGeom>
                  </pic:spPr>
                </pic:pic>
              </a:graphicData>
            </a:graphic>
          </wp:anchor>
        </w:drawing>
      </w:r>
      <w:r w:rsidRPr="00644164">
        <w:rPr>
          <w:b/>
          <w:bCs/>
        </w:rPr>
        <w:t>S</w:t>
      </w:r>
      <w:r w:rsidRPr="00644164">
        <w:rPr>
          <w:b/>
          <w:bCs/>
          <w:sz w:val="20"/>
          <w:szCs w:val="20"/>
        </w:rPr>
        <w:t>upplementary Figure 5</w:t>
      </w:r>
      <w:r w:rsidRPr="00644164">
        <w:rPr>
          <w:sz w:val="20"/>
          <w:szCs w:val="20"/>
        </w:rPr>
        <w:t xml:space="preserve">: </w:t>
      </w:r>
      <w:r w:rsidRPr="00644164">
        <w:rPr>
          <w:b/>
          <w:bCs/>
          <w:i/>
          <w:iCs/>
          <w:sz w:val="20"/>
          <w:szCs w:val="20"/>
        </w:rPr>
        <w:t>S. griseus</w:t>
      </w:r>
      <w:r w:rsidRPr="00644164">
        <w:rPr>
          <w:sz w:val="20"/>
          <w:szCs w:val="20"/>
        </w:rPr>
        <w:t xml:space="preserve"> </w:t>
      </w:r>
      <w:r w:rsidRPr="00644164">
        <w:rPr>
          <w:b/>
          <w:bCs/>
          <w:sz w:val="20"/>
          <w:szCs w:val="20"/>
        </w:rPr>
        <w:t>GdnR- and guanidine-dependent eGFP expression</w:t>
      </w:r>
      <w:r w:rsidRPr="00644164">
        <w:rPr>
          <w:sz w:val="20"/>
          <w:szCs w:val="20"/>
        </w:rPr>
        <w:t xml:space="preserve">. eGFP expression was put under control of GdnR by cloning the </w:t>
      </w:r>
      <w:r w:rsidRPr="00644164">
        <w:rPr>
          <w:i/>
          <w:iCs/>
          <w:sz w:val="20"/>
          <w:szCs w:val="20"/>
        </w:rPr>
        <w:t>S. griseus</w:t>
      </w:r>
      <w:r w:rsidRPr="00644164">
        <w:rPr>
          <w:sz w:val="20"/>
          <w:szCs w:val="20"/>
        </w:rPr>
        <w:t xml:space="preserve"> GdnR binding site close to the constitutive eGFP promoter. </w:t>
      </w:r>
      <w:r w:rsidRPr="00644164">
        <w:rPr>
          <w:i/>
          <w:iCs/>
          <w:sz w:val="20"/>
          <w:szCs w:val="20"/>
        </w:rPr>
        <w:t>S. griseus</w:t>
      </w:r>
      <w:r w:rsidRPr="00644164">
        <w:rPr>
          <w:sz w:val="20"/>
          <w:szCs w:val="20"/>
        </w:rPr>
        <w:t xml:space="preserve"> GdnR expression was induced by 10 µM of IPTG (+ GdnR). Samples without IPTG were run as control (-GdnR). Medium was supplemented with guanidine (10 µM to 10 mM). eGFP fluorescence was corrected by cell density and normalized. Data represent the mean of biological triplicates with error bars (n=3, s.d.).</w:t>
      </w:r>
      <w:r w:rsidRPr="00644164">
        <w:br w:type="page"/>
      </w:r>
    </w:p>
    <w:p w14:paraId="47C44E91" w14:textId="77777777" w:rsidR="001A3BDB" w:rsidRPr="00644164" w:rsidRDefault="001A3BDB" w:rsidP="001A3BDB">
      <w:pPr>
        <w:rPr>
          <w:b/>
          <w:bCs/>
          <w:sz w:val="20"/>
          <w:szCs w:val="20"/>
        </w:rPr>
      </w:pPr>
      <w:r w:rsidRPr="00644164">
        <w:rPr>
          <w:b/>
          <w:bCs/>
          <w:noProof/>
          <w:sz w:val="20"/>
          <w:szCs w:val="20"/>
          <w:lang w:val="de-DE" w:eastAsia="de-DE"/>
        </w:rPr>
        <w:lastRenderedPageBreak/>
        <w:drawing>
          <wp:anchor distT="0" distB="0" distL="114300" distR="114300" simplePos="0" relativeHeight="251663360" behindDoc="0" locked="0" layoutInCell="1" allowOverlap="1" wp14:anchorId="3F386CF2" wp14:editId="72B862E5">
            <wp:simplePos x="0" y="0"/>
            <wp:positionH relativeFrom="column">
              <wp:posOffset>33655</wp:posOffset>
            </wp:positionH>
            <wp:positionV relativeFrom="paragraph">
              <wp:posOffset>0</wp:posOffset>
            </wp:positionV>
            <wp:extent cx="3086100" cy="2773680"/>
            <wp:effectExtent l="0" t="0" r="0" b="7620"/>
            <wp:wrapTopAndBottom/>
            <wp:docPr id="12013981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2773680"/>
                    </a:xfrm>
                    <a:prstGeom prst="rect">
                      <a:avLst/>
                    </a:prstGeom>
                    <a:noFill/>
                    <a:ln>
                      <a:noFill/>
                    </a:ln>
                  </pic:spPr>
                </pic:pic>
              </a:graphicData>
            </a:graphic>
          </wp:anchor>
        </w:drawing>
      </w:r>
      <w:r w:rsidRPr="00644164">
        <w:rPr>
          <w:b/>
          <w:bCs/>
          <w:sz w:val="20"/>
          <w:szCs w:val="20"/>
        </w:rPr>
        <w:t>Supplementary Figure 6</w:t>
      </w:r>
      <w:r w:rsidRPr="00644164">
        <w:rPr>
          <w:sz w:val="20"/>
          <w:szCs w:val="20"/>
        </w:rPr>
        <w:t xml:space="preserve">: </w:t>
      </w:r>
      <w:r w:rsidRPr="00644164">
        <w:rPr>
          <w:b/>
          <w:bCs/>
          <w:sz w:val="20"/>
          <w:szCs w:val="20"/>
        </w:rPr>
        <w:t xml:space="preserve">Purification of </w:t>
      </w:r>
      <w:r w:rsidRPr="00644164">
        <w:rPr>
          <w:b/>
          <w:bCs/>
          <w:i/>
          <w:iCs/>
          <w:sz w:val="20"/>
          <w:szCs w:val="20"/>
        </w:rPr>
        <w:t>S. boeckii</w:t>
      </w:r>
      <w:r w:rsidRPr="00644164">
        <w:rPr>
          <w:b/>
          <w:bCs/>
          <w:sz w:val="20"/>
          <w:szCs w:val="20"/>
        </w:rPr>
        <w:t xml:space="preserve"> GdcR</w:t>
      </w:r>
      <w:r w:rsidRPr="00644164">
        <w:rPr>
          <w:sz w:val="20"/>
          <w:szCs w:val="20"/>
        </w:rPr>
        <w:t>. Coomassie-stained denaturing PA-gel analysing the steps of GdcR purification. Desalted protein was used for experiments.</w:t>
      </w:r>
      <w:r w:rsidRPr="00644164">
        <w:rPr>
          <w:b/>
          <w:bCs/>
          <w:sz w:val="20"/>
          <w:szCs w:val="20"/>
        </w:rPr>
        <w:br w:type="page"/>
      </w:r>
    </w:p>
    <w:p w14:paraId="5106ED23" w14:textId="77777777" w:rsidR="001A3BDB" w:rsidRPr="00644164" w:rsidRDefault="001A3BDB" w:rsidP="001A3BDB">
      <w:pPr>
        <w:rPr>
          <w:sz w:val="20"/>
          <w:szCs w:val="20"/>
        </w:rPr>
      </w:pPr>
      <w:r w:rsidRPr="00644164">
        <w:rPr>
          <w:b/>
          <w:bCs/>
          <w:noProof/>
          <w:lang w:val="de-DE" w:eastAsia="de-DE"/>
        </w:rPr>
        <w:lastRenderedPageBreak/>
        <w:drawing>
          <wp:anchor distT="0" distB="0" distL="114300" distR="114300" simplePos="0" relativeHeight="251659264" behindDoc="0" locked="0" layoutInCell="1" allowOverlap="1" wp14:anchorId="26B6DA03" wp14:editId="4FD67171">
            <wp:simplePos x="0" y="0"/>
            <wp:positionH relativeFrom="column">
              <wp:posOffset>33655</wp:posOffset>
            </wp:positionH>
            <wp:positionV relativeFrom="paragraph">
              <wp:posOffset>0</wp:posOffset>
            </wp:positionV>
            <wp:extent cx="3919736" cy="3813056"/>
            <wp:effectExtent l="0" t="0" r="5080" b="0"/>
            <wp:wrapTopAndBottom/>
            <wp:docPr id="198886290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62906" name="Grafik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19736" cy="3813056"/>
                    </a:xfrm>
                    <a:prstGeom prst="rect">
                      <a:avLst/>
                    </a:prstGeom>
                  </pic:spPr>
                </pic:pic>
              </a:graphicData>
            </a:graphic>
          </wp:anchor>
        </w:drawing>
      </w:r>
      <w:r w:rsidRPr="00644164">
        <w:rPr>
          <w:b/>
          <w:bCs/>
        </w:rPr>
        <w:t>S</w:t>
      </w:r>
      <w:r w:rsidRPr="00644164">
        <w:rPr>
          <w:b/>
          <w:bCs/>
          <w:sz w:val="20"/>
          <w:szCs w:val="20"/>
        </w:rPr>
        <w:t>upplementary Figure 7</w:t>
      </w:r>
      <w:r w:rsidRPr="00644164">
        <w:rPr>
          <w:sz w:val="20"/>
          <w:szCs w:val="20"/>
        </w:rPr>
        <w:t>: Radiograph of the NC and NY membranes from the GdcR filter binding assay (Figure 4).</w:t>
      </w:r>
    </w:p>
    <w:p w14:paraId="11C4371A" w14:textId="77777777" w:rsidR="001A3BDB" w:rsidRPr="00644164" w:rsidRDefault="001A3BDB" w:rsidP="001A3BDB">
      <w:r w:rsidRPr="00644164">
        <w:br w:type="page"/>
      </w:r>
    </w:p>
    <w:p w14:paraId="2F829CB0" w14:textId="77777777" w:rsidR="001A3BDB" w:rsidRPr="00644164" w:rsidRDefault="001A3BDB" w:rsidP="001A3BDB">
      <w:pPr>
        <w:spacing w:after="0" w:line="360" w:lineRule="auto"/>
        <w:jc w:val="both"/>
        <w:rPr>
          <w:b/>
          <w:bCs/>
          <w:sz w:val="20"/>
          <w:szCs w:val="20"/>
        </w:rPr>
      </w:pPr>
      <w:r w:rsidRPr="00644164">
        <w:rPr>
          <w:b/>
          <w:bCs/>
          <w:sz w:val="20"/>
          <w:szCs w:val="20"/>
        </w:rPr>
        <w:lastRenderedPageBreak/>
        <w:t xml:space="preserve">Supplementary Table 1: </w:t>
      </w:r>
      <w:r w:rsidRPr="00644164">
        <w:rPr>
          <w:sz w:val="20"/>
          <w:szCs w:val="20"/>
        </w:rPr>
        <w:t>Statistics for diffraction data processing and model building.</w:t>
      </w:r>
      <w:r w:rsidRPr="00644164">
        <w:rPr>
          <w:b/>
          <w:bCs/>
          <w:sz w:val="20"/>
          <w:szCs w:val="20"/>
        </w:rPr>
        <w:t xml:space="preserve"> </w:t>
      </w:r>
    </w:p>
    <w:p w14:paraId="40C1E746" w14:textId="77777777" w:rsidR="001A3BDB" w:rsidRPr="00644164" w:rsidRDefault="001A3BDB" w:rsidP="001A3BDB">
      <w:pPr>
        <w:pBdr>
          <w:bottom w:val="single" w:sz="4" w:space="1" w:color="auto"/>
        </w:pBdr>
        <w:spacing w:after="0" w:line="240" w:lineRule="auto"/>
        <w:ind w:right="-613"/>
        <w:rPr>
          <w:rFonts w:eastAsia="Times New Roman" w:cs="Times New Roman"/>
          <w:b/>
          <w:bCs/>
          <w:sz w:val="20"/>
          <w:szCs w:val="20"/>
          <w:lang w:val="de-DE" w:eastAsia="en-GB"/>
        </w:rPr>
      </w:pP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b/>
          <w:bCs/>
          <w:sz w:val="20"/>
          <w:szCs w:val="20"/>
          <w:lang w:val="de-DE" w:eastAsia="en-GB"/>
        </w:rPr>
        <w:t>GdnR/Gd</w:t>
      </w:r>
      <w:r w:rsidRPr="00644164">
        <w:rPr>
          <w:rFonts w:eastAsia="Times New Roman" w:cs="Times New Roman"/>
          <w:b/>
          <w:bCs/>
          <w:sz w:val="20"/>
          <w:szCs w:val="20"/>
          <w:lang w:val="de-DE" w:eastAsia="en-GB"/>
        </w:rPr>
        <w:tab/>
      </w:r>
      <w:r w:rsidRPr="00644164">
        <w:rPr>
          <w:rFonts w:eastAsia="Times New Roman" w:cs="Times New Roman"/>
          <w:b/>
          <w:bCs/>
          <w:sz w:val="20"/>
          <w:szCs w:val="20"/>
          <w:lang w:val="de-DE" w:eastAsia="en-GB"/>
        </w:rPr>
        <w:tab/>
      </w:r>
      <w:r w:rsidRPr="00644164">
        <w:rPr>
          <w:rFonts w:eastAsia="Times New Roman" w:cs="Times New Roman"/>
          <w:b/>
          <w:bCs/>
          <w:sz w:val="20"/>
          <w:szCs w:val="20"/>
          <w:lang w:val="de-DE" w:eastAsia="en-GB"/>
        </w:rPr>
        <w:tab/>
        <w:t xml:space="preserve"> </w:t>
      </w:r>
    </w:p>
    <w:p w14:paraId="69D25260" w14:textId="77777777" w:rsidR="001A3BDB" w:rsidRPr="00644164" w:rsidRDefault="001A3BDB" w:rsidP="001A3BDB">
      <w:pPr>
        <w:pBdr>
          <w:bottom w:val="single" w:sz="4" w:space="1" w:color="auto"/>
        </w:pBdr>
        <w:spacing w:after="0" w:line="240" w:lineRule="auto"/>
        <w:ind w:right="-613"/>
        <w:rPr>
          <w:rFonts w:eastAsia="Times New Roman" w:cs="Times New Roman"/>
          <w:sz w:val="20"/>
          <w:szCs w:val="20"/>
          <w:lang w:val="de-DE" w:eastAsia="en-GB"/>
        </w:rPr>
      </w:pPr>
    </w:p>
    <w:p w14:paraId="44AF26EF" w14:textId="77777777" w:rsidR="001A3BDB" w:rsidRPr="00644164" w:rsidRDefault="001A3BDB" w:rsidP="001A3BDB">
      <w:pPr>
        <w:pBdr>
          <w:bottom w:val="single" w:sz="4" w:space="1" w:color="auto"/>
        </w:pBdr>
        <w:spacing w:after="0" w:line="240" w:lineRule="auto"/>
        <w:ind w:right="-613"/>
        <w:rPr>
          <w:rFonts w:eastAsia="Times New Roman" w:cs="Times New Roman"/>
          <w:sz w:val="20"/>
          <w:szCs w:val="20"/>
          <w:lang w:val="de-DE" w:eastAsia="en-GB"/>
        </w:rPr>
      </w:pPr>
      <w:r w:rsidRPr="00644164">
        <w:rPr>
          <w:rFonts w:eastAsia="Times New Roman" w:cs="Times New Roman"/>
          <w:sz w:val="20"/>
          <w:szCs w:val="20"/>
          <w:lang w:val="de-DE" w:eastAsia="en-GB"/>
        </w:rPr>
        <w:t>PDB code</w:t>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t>30PE</w:t>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p>
    <w:p w14:paraId="0E75748C" w14:textId="77777777" w:rsidR="001A3BDB" w:rsidRPr="00644164" w:rsidRDefault="001A3BDB" w:rsidP="001A3BDB">
      <w:pPr>
        <w:spacing w:after="0" w:line="240" w:lineRule="auto"/>
        <w:ind w:right="-613"/>
        <w:rPr>
          <w:rFonts w:eastAsia="Times New Roman" w:cs="Times New Roman"/>
          <w:sz w:val="20"/>
          <w:szCs w:val="20"/>
          <w:lang w:val="de-DE" w:eastAsia="en-GB"/>
        </w:rPr>
      </w:pPr>
    </w:p>
    <w:p w14:paraId="4B04CA8B"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Space group</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P3</w:t>
      </w:r>
      <w:r w:rsidRPr="00644164">
        <w:rPr>
          <w:rFonts w:eastAsia="Times New Roman" w:cs="Times New Roman"/>
          <w:sz w:val="20"/>
          <w:szCs w:val="20"/>
          <w:vertAlign w:val="subscript"/>
          <w:lang w:eastAsia="en-GB"/>
        </w:rPr>
        <w:t>1</w:t>
      </w:r>
      <w:r w:rsidRPr="00644164">
        <w:rPr>
          <w:rFonts w:eastAsia="Times New Roman" w:cs="Times New Roman"/>
          <w:sz w:val="20"/>
          <w:szCs w:val="20"/>
          <w:lang w:eastAsia="en-GB"/>
        </w:rPr>
        <w:t>12</w:t>
      </w:r>
      <w:r w:rsidRPr="00644164">
        <w:rPr>
          <w:rFonts w:eastAsia="Times New Roman" w:cs="Times New Roman"/>
          <w:sz w:val="20"/>
          <w:szCs w:val="20"/>
          <w:vertAlign w:val="subscript"/>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11DB0C5E"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 xml:space="preserve">Cell dimensions: a,b,c (Å) </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95.09, 95.20, 181.100</w:t>
      </w:r>
      <w:r w:rsidRPr="00644164">
        <w:rPr>
          <w:rFonts w:eastAsia="Times New Roman" w:cs="Times New Roman"/>
          <w:sz w:val="20"/>
          <w:szCs w:val="20"/>
          <w:lang w:eastAsia="en-GB"/>
        </w:rPr>
        <w:tab/>
      </w:r>
    </w:p>
    <w:p w14:paraId="1B762BC5"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Copies in a.u.</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1</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1F79F232" w14:textId="77777777" w:rsidR="001A3BDB" w:rsidRPr="00644164" w:rsidRDefault="001A3BDB" w:rsidP="001A3BDB">
      <w:pPr>
        <w:spacing w:after="0" w:line="240" w:lineRule="auto"/>
        <w:ind w:right="-613"/>
        <w:rPr>
          <w:rFonts w:eastAsia="Times New Roman" w:cs="Times New Roman"/>
          <w:sz w:val="20"/>
          <w:szCs w:val="20"/>
          <w:lang w:eastAsia="en-GB"/>
        </w:rPr>
      </w:pPr>
    </w:p>
    <w:p w14:paraId="244D2289" w14:textId="77777777" w:rsidR="001A3BDB" w:rsidRPr="00644164" w:rsidRDefault="001A3BDB" w:rsidP="001A3BDB">
      <w:pPr>
        <w:pBdr>
          <w:bottom w:val="single" w:sz="4" w:space="1" w:color="auto"/>
        </w:pBdr>
        <w:spacing w:after="0" w:line="240" w:lineRule="auto"/>
        <w:ind w:right="-613"/>
        <w:rPr>
          <w:rFonts w:eastAsia="Times New Roman" w:cs="Times New Roman"/>
          <w:b/>
          <w:bCs/>
          <w:sz w:val="20"/>
          <w:szCs w:val="20"/>
          <w:lang w:eastAsia="en-GB"/>
        </w:rPr>
      </w:pPr>
      <w:r w:rsidRPr="00644164">
        <w:rPr>
          <w:rFonts w:eastAsia="Times New Roman" w:cs="Times New Roman"/>
          <w:b/>
          <w:bCs/>
          <w:sz w:val="20"/>
          <w:szCs w:val="20"/>
          <w:lang w:eastAsia="en-GB"/>
        </w:rPr>
        <w:t>Data Processing</w:t>
      </w:r>
    </w:p>
    <w:p w14:paraId="3E32A85A" w14:textId="77777777" w:rsidR="001A3BDB" w:rsidRPr="00644164" w:rsidRDefault="001A3BDB" w:rsidP="001A3BDB">
      <w:pPr>
        <w:spacing w:after="0" w:line="240" w:lineRule="auto"/>
        <w:ind w:right="-613"/>
        <w:rPr>
          <w:rFonts w:eastAsia="Times New Roman" w:cs="Times New Roman"/>
          <w:sz w:val="20"/>
          <w:szCs w:val="20"/>
          <w:lang w:eastAsia="en-GB"/>
        </w:rPr>
      </w:pPr>
    </w:p>
    <w:p w14:paraId="38716295" w14:textId="77777777" w:rsidR="001A3BDB" w:rsidRPr="00644164" w:rsidRDefault="001A3BDB" w:rsidP="001A3BDB">
      <w:pPr>
        <w:spacing w:after="0" w:line="240" w:lineRule="auto"/>
        <w:ind w:right="-613"/>
        <w:rPr>
          <w:rFonts w:eastAsia="Times New Roman" w:cs="Times New Roman"/>
          <w:sz w:val="20"/>
          <w:szCs w:val="20"/>
          <w:lang w:val="de-DE" w:eastAsia="en-GB"/>
        </w:rPr>
      </w:pPr>
      <w:r w:rsidRPr="00644164">
        <w:rPr>
          <w:rFonts w:eastAsia="Times New Roman" w:cs="Times New Roman"/>
          <w:sz w:val="20"/>
          <w:szCs w:val="20"/>
          <w:lang w:val="de-DE" w:eastAsia="en-GB"/>
        </w:rPr>
        <w:t>Beamline</w:t>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t>P13, PETRA III, DESY</w:t>
      </w:r>
      <w:r w:rsidRPr="00644164">
        <w:rPr>
          <w:rFonts w:eastAsia="Times New Roman" w:cs="Times New Roman"/>
          <w:sz w:val="20"/>
          <w:szCs w:val="20"/>
          <w:lang w:val="de-DE" w:eastAsia="en-GB"/>
        </w:rPr>
        <w:tab/>
      </w:r>
      <w:r w:rsidRPr="00644164">
        <w:rPr>
          <w:rFonts w:eastAsia="Times New Roman" w:cs="Times New Roman"/>
          <w:sz w:val="20"/>
          <w:szCs w:val="20"/>
          <w:lang w:val="de-DE" w:eastAsia="en-GB"/>
        </w:rPr>
        <w:tab/>
      </w:r>
    </w:p>
    <w:p w14:paraId="70DFB875"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Detector</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Dectris EIGER1 Si 16M</w:t>
      </w:r>
      <w:r w:rsidRPr="00644164">
        <w:rPr>
          <w:rFonts w:eastAsia="Times New Roman" w:cs="Times New Roman"/>
          <w:sz w:val="20"/>
          <w:szCs w:val="20"/>
          <w:lang w:eastAsia="en-GB"/>
        </w:rPr>
        <w:tab/>
      </w:r>
    </w:p>
    <w:p w14:paraId="51B44189"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Wavelength (Å)</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0.9763</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0B43074E"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Resolution (Å)</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25.0 - 1.22 (1.23 -1.22)</w:t>
      </w:r>
      <w:r w:rsidRPr="00644164">
        <w:rPr>
          <w:rFonts w:eastAsia="Times New Roman" w:cs="Times New Roman"/>
          <w:sz w:val="20"/>
          <w:szCs w:val="20"/>
          <w:vertAlign w:val="superscript"/>
          <w:lang w:eastAsia="en-GB"/>
        </w:rPr>
        <w:t>a</w:t>
      </w:r>
      <w:r w:rsidRPr="00644164">
        <w:rPr>
          <w:rFonts w:eastAsia="Times New Roman" w:cs="Times New Roman"/>
          <w:sz w:val="20"/>
          <w:szCs w:val="20"/>
          <w:lang w:eastAsia="en-GB"/>
        </w:rPr>
        <w:tab/>
      </w:r>
    </w:p>
    <w:p w14:paraId="257BE958"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 xml:space="preserve">No. Reflections </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68648 (1624)</w:t>
      </w:r>
      <w:r w:rsidRPr="00644164">
        <w:rPr>
          <w:rFonts w:eastAsia="Times New Roman" w:cs="Times New Roman"/>
          <w:sz w:val="20"/>
          <w:szCs w:val="20"/>
          <w:vertAlign w:val="superscript"/>
          <w:lang w:eastAsia="en-GB"/>
        </w:rPr>
        <w:t>a</w:t>
      </w:r>
      <w:r w:rsidRPr="00644164">
        <w:rPr>
          <w:rFonts w:eastAsia="Times New Roman" w:cs="Times New Roman"/>
          <w:sz w:val="20"/>
          <w:szCs w:val="20"/>
          <w:vertAlign w:val="superscript"/>
          <w:lang w:eastAsia="en-GB"/>
        </w:rPr>
        <w:tab/>
      </w:r>
      <w:r w:rsidRPr="00644164">
        <w:rPr>
          <w:rFonts w:eastAsia="Times New Roman" w:cs="Times New Roman"/>
          <w:sz w:val="20"/>
          <w:szCs w:val="20"/>
          <w:lang w:eastAsia="en-GB"/>
        </w:rPr>
        <w:tab/>
      </w:r>
    </w:p>
    <w:p w14:paraId="1DB39CAD"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R</w:t>
      </w:r>
      <w:r w:rsidRPr="00644164">
        <w:rPr>
          <w:rFonts w:eastAsia="Times New Roman" w:cs="Times New Roman"/>
          <w:sz w:val="20"/>
          <w:szCs w:val="20"/>
          <w:vertAlign w:val="subscript"/>
          <w:lang w:eastAsia="en-GB"/>
        </w:rPr>
        <w:t>sym</w:t>
      </w:r>
      <w:r w:rsidRPr="00644164">
        <w:rPr>
          <w:rFonts w:eastAsia="Times New Roman" w:cs="Times New Roman"/>
          <w:sz w:val="20"/>
          <w:szCs w:val="20"/>
          <w:lang w:eastAsia="en-GB"/>
        </w:rPr>
        <w:t>(I) (%)</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5.5 (293.2)</w:t>
      </w:r>
      <w:r w:rsidRPr="00644164">
        <w:rPr>
          <w:rFonts w:eastAsia="Times New Roman" w:cs="Times New Roman"/>
          <w:sz w:val="20"/>
          <w:szCs w:val="20"/>
          <w:vertAlign w:val="superscript"/>
          <w:lang w:eastAsia="en-GB"/>
        </w:rPr>
        <w:t>a</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0E8E6C2C" w14:textId="77777777" w:rsidR="001A3BDB" w:rsidRPr="00644164" w:rsidRDefault="001A3BDB" w:rsidP="001A3BDB">
      <w:pPr>
        <w:spacing w:after="0" w:line="240" w:lineRule="auto"/>
        <w:ind w:right="-613"/>
        <w:rPr>
          <w:rFonts w:eastAsia="Times New Roman" w:cs="Times New Roman"/>
          <w:sz w:val="20"/>
          <w:szCs w:val="20"/>
          <w:lang w:eastAsia="en-GB"/>
        </w:rPr>
      </w:pPr>
      <m:oMath>
        <m:r>
          <w:rPr>
            <w:rFonts w:ascii="Cambria Math" w:eastAsia="Times New Roman" w:hAnsi="Cambria Math" w:cs="Times New Roman"/>
            <w:sz w:val="20"/>
            <w:szCs w:val="20"/>
            <w:lang w:eastAsia="en-GB"/>
          </w:rPr>
          <m:t>&lt;I</m:t>
        </m:r>
        <m:r>
          <m:rPr>
            <m:lit/>
          </m:rPr>
          <w:rPr>
            <w:rFonts w:ascii="Cambria Math" w:eastAsia="Times New Roman" w:hAnsi="Cambria Math" w:cs="Times New Roman"/>
            <w:sz w:val="20"/>
            <w:szCs w:val="20"/>
            <w:lang w:eastAsia="en-GB"/>
          </w:rPr>
          <m:t>/</m:t>
        </m:r>
        <m:r>
          <w:rPr>
            <w:rFonts w:ascii="Cambria Math" w:eastAsia="Times New Roman" w:hAnsi="Cambria Math" w:cs="Times New Roman"/>
            <w:sz w:val="20"/>
            <w:szCs w:val="20"/>
            <w:lang w:eastAsia="en-GB"/>
          </w:rPr>
          <m:t>σ</m:t>
        </m:r>
        <m:d>
          <m:dPr>
            <m:ctrlPr>
              <w:rPr>
                <w:rFonts w:ascii="Cambria Math" w:eastAsia="Times New Roman" w:hAnsi="Cambria Math" w:cs="Times New Roman"/>
                <w:i/>
                <w:sz w:val="20"/>
                <w:szCs w:val="20"/>
                <w:lang w:eastAsia="en-GB"/>
              </w:rPr>
            </m:ctrlPr>
          </m:dPr>
          <m:e>
            <m:r>
              <w:rPr>
                <w:rFonts w:ascii="Cambria Math" w:eastAsia="Times New Roman" w:hAnsi="Cambria Math" w:cs="Times New Roman"/>
                <w:sz w:val="20"/>
                <w:szCs w:val="20"/>
                <w:lang w:eastAsia="en-GB"/>
              </w:rPr>
              <m:t>I</m:t>
            </m:r>
          </m:e>
        </m:d>
        <m:r>
          <w:rPr>
            <w:rFonts w:ascii="Cambria Math" w:eastAsia="Times New Roman" w:hAnsi="Cambria Math" w:cs="Times New Roman"/>
            <w:sz w:val="20"/>
            <w:szCs w:val="20"/>
            <w:lang w:eastAsia="en-GB"/>
          </w:rPr>
          <m:t>&gt;</m:t>
        </m:r>
      </m:oMath>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23.76 (1.03)</w:t>
      </w:r>
      <w:r w:rsidRPr="00644164">
        <w:rPr>
          <w:rFonts w:eastAsia="Times New Roman" w:cs="Times New Roman"/>
          <w:sz w:val="20"/>
          <w:szCs w:val="20"/>
          <w:vertAlign w:val="superscript"/>
          <w:lang w:eastAsia="en-GB"/>
        </w:rPr>
        <w:t>a</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08D886DD"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CC1/2 (%)</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100.0 (36.4)</w:t>
      </w:r>
      <w:r w:rsidRPr="00644164">
        <w:rPr>
          <w:rFonts w:eastAsia="Times New Roman" w:cs="Times New Roman"/>
          <w:sz w:val="20"/>
          <w:szCs w:val="20"/>
          <w:vertAlign w:val="superscript"/>
          <w:lang w:eastAsia="en-GB"/>
        </w:rPr>
        <w:t>a</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75BA8C92"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Completeness (%)</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100.0 (100.0)</w:t>
      </w:r>
      <w:r w:rsidRPr="00644164">
        <w:rPr>
          <w:rFonts w:eastAsia="Times New Roman" w:cs="Times New Roman"/>
          <w:sz w:val="20"/>
          <w:szCs w:val="20"/>
          <w:vertAlign w:val="superscript"/>
          <w:lang w:eastAsia="en-GB"/>
        </w:rPr>
        <w:t>a</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10AFB766"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 xml:space="preserve">Multiplicity </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20.0 (20.4)</w:t>
      </w:r>
      <w:r w:rsidRPr="00644164">
        <w:rPr>
          <w:rFonts w:eastAsia="Times New Roman" w:cs="Times New Roman"/>
          <w:sz w:val="20"/>
          <w:szCs w:val="20"/>
          <w:vertAlign w:val="superscript"/>
          <w:lang w:eastAsia="en-GB"/>
        </w:rPr>
        <w:t>a</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401B8F5C" w14:textId="77777777" w:rsidR="001A3BDB" w:rsidRPr="00644164" w:rsidRDefault="001A3BDB" w:rsidP="001A3BDB">
      <w:pPr>
        <w:spacing w:after="0" w:line="240" w:lineRule="auto"/>
        <w:ind w:right="-613"/>
        <w:rPr>
          <w:rFonts w:eastAsia="Times New Roman" w:cs="Times New Roman"/>
          <w:sz w:val="20"/>
          <w:szCs w:val="20"/>
          <w:vertAlign w:val="superscript"/>
          <w:lang w:eastAsia="en-GB"/>
        </w:rPr>
      </w:pPr>
    </w:p>
    <w:p w14:paraId="7C5784F3" w14:textId="77777777" w:rsidR="001A3BDB" w:rsidRPr="00644164" w:rsidRDefault="001A3BDB" w:rsidP="001A3BDB">
      <w:pPr>
        <w:pBdr>
          <w:bottom w:val="single" w:sz="4" w:space="1" w:color="auto"/>
        </w:pBdr>
        <w:spacing w:after="0" w:line="240" w:lineRule="auto"/>
        <w:ind w:right="-613"/>
        <w:rPr>
          <w:rFonts w:eastAsia="Times New Roman" w:cs="Times New Roman"/>
          <w:b/>
          <w:bCs/>
          <w:sz w:val="20"/>
          <w:szCs w:val="20"/>
          <w:lang w:eastAsia="en-GB"/>
        </w:rPr>
      </w:pPr>
      <w:r w:rsidRPr="00644164">
        <w:rPr>
          <w:rFonts w:eastAsia="Times New Roman" w:cs="Times New Roman"/>
          <w:b/>
          <w:bCs/>
          <w:sz w:val="20"/>
          <w:szCs w:val="20"/>
          <w:lang w:eastAsia="en-GB"/>
        </w:rPr>
        <w:t>Model Refinement</w:t>
      </w:r>
    </w:p>
    <w:p w14:paraId="449457E3" w14:textId="77777777" w:rsidR="001A3BDB" w:rsidRPr="00644164" w:rsidRDefault="001A3BDB" w:rsidP="001A3BDB">
      <w:pPr>
        <w:spacing w:after="0" w:line="240" w:lineRule="auto"/>
        <w:ind w:right="-613"/>
        <w:rPr>
          <w:rFonts w:eastAsia="Times New Roman" w:cs="Times New Roman"/>
          <w:sz w:val="20"/>
          <w:szCs w:val="20"/>
          <w:lang w:eastAsia="en-GB"/>
        </w:rPr>
      </w:pPr>
    </w:p>
    <w:p w14:paraId="09FC71D1"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No. working/free reflections</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68586/2008</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34A703F1"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Rwork/Rfree (%)</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13.68/15.24</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064F040E"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No. Atoms Protein</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3316</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205B35D9"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No. Atoms Solvent</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296</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662D987A"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No. of Ligands / Atoms</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1 x Gd</w:t>
      </w:r>
      <w:r w:rsidRPr="00644164">
        <w:rPr>
          <w:rFonts w:eastAsia="Times New Roman" w:cs="Times New Roman"/>
          <w:sz w:val="20"/>
          <w:szCs w:val="20"/>
          <w:vertAlign w:val="superscript"/>
          <w:lang w:eastAsia="en-GB"/>
        </w:rPr>
        <w:t>b</w:t>
      </w:r>
      <w:r w:rsidRPr="00644164">
        <w:rPr>
          <w:rFonts w:eastAsia="Times New Roman" w:cs="Times New Roman"/>
          <w:sz w:val="20"/>
          <w:szCs w:val="20"/>
          <w:lang w:eastAsia="en-GB"/>
        </w:rPr>
        <w:t xml:space="preserve"> / 9</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 xml:space="preserve"> </w:t>
      </w:r>
    </w:p>
    <w:p w14:paraId="7E3F6791"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Average B factors (Å</w:t>
      </w:r>
      <w:r w:rsidRPr="00644164">
        <w:rPr>
          <w:rFonts w:eastAsia="Times New Roman" w:cs="Times New Roman"/>
          <w:sz w:val="20"/>
          <w:szCs w:val="20"/>
          <w:vertAlign w:val="superscript"/>
          <w:lang w:eastAsia="en-GB"/>
        </w:rPr>
        <w:t>2</w:t>
      </w:r>
      <w:r w:rsidRPr="00644164">
        <w:rPr>
          <w:rFonts w:eastAsia="Times New Roman" w:cs="Times New Roman"/>
          <w:sz w:val="20"/>
          <w:szCs w:val="20"/>
          <w:lang w:eastAsia="en-GB"/>
        </w:rPr>
        <w:t>)</w:t>
      </w:r>
    </w:p>
    <w:p w14:paraId="6175316A"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ab/>
        <w:t>Protein</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31.66</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67F5A691"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ab/>
        <w:t>Solvent</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45.15</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5603FA91"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ab/>
        <w:t>Ligands</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18.37</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71B06A1C"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R.m.s.d. bond length (Å)</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0.007</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17E3A16C"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R.m.s.d. angles (°)</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0.932</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12B4596B"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lang w:eastAsia="en-GB"/>
        </w:rPr>
        <w:t xml:space="preserve">Ramachandran plot </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2BD725A7" w14:textId="77777777" w:rsidR="001A3BDB" w:rsidRPr="00644164" w:rsidRDefault="001A3BDB" w:rsidP="001A3BDB">
      <w:pPr>
        <w:pBdr>
          <w:bottom w:val="single" w:sz="4" w:space="1" w:color="auto"/>
        </w:pBdr>
        <w:spacing w:after="0" w:line="240" w:lineRule="auto"/>
        <w:ind w:right="-613" w:firstLine="720"/>
        <w:rPr>
          <w:rFonts w:eastAsia="Times New Roman" w:cs="Times New Roman"/>
          <w:sz w:val="20"/>
          <w:szCs w:val="20"/>
          <w:lang w:eastAsia="en-GB"/>
        </w:rPr>
      </w:pPr>
      <w:r w:rsidRPr="00644164">
        <w:rPr>
          <w:rFonts w:eastAsia="Times New Roman" w:cs="Times New Roman"/>
          <w:sz w:val="20"/>
          <w:szCs w:val="20"/>
          <w:lang w:eastAsia="en-GB"/>
        </w:rPr>
        <w:t>Favoured/Outliers (%)</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t>98.07/0.0</w:t>
      </w:r>
      <w:r w:rsidRPr="00644164">
        <w:rPr>
          <w:rFonts w:eastAsia="Times New Roman" w:cs="Times New Roman"/>
          <w:sz w:val="20"/>
          <w:szCs w:val="20"/>
          <w:lang w:eastAsia="en-GB"/>
        </w:rPr>
        <w:tab/>
      </w:r>
      <w:r w:rsidRPr="00644164">
        <w:rPr>
          <w:rFonts w:eastAsia="Times New Roman" w:cs="Times New Roman"/>
          <w:sz w:val="20"/>
          <w:szCs w:val="20"/>
          <w:lang w:eastAsia="en-GB"/>
        </w:rPr>
        <w:tab/>
      </w:r>
      <w:r w:rsidRPr="00644164">
        <w:rPr>
          <w:rFonts w:eastAsia="Times New Roman" w:cs="Times New Roman"/>
          <w:sz w:val="20"/>
          <w:szCs w:val="20"/>
          <w:lang w:eastAsia="en-GB"/>
        </w:rPr>
        <w:tab/>
      </w:r>
    </w:p>
    <w:p w14:paraId="77CC51F4" w14:textId="77777777" w:rsidR="001A3BDB" w:rsidRPr="00644164" w:rsidRDefault="001A3BDB" w:rsidP="001A3BDB">
      <w:pPr>
        <w:spacing w:after="0" w:line="240" w:lineRule="auto"/>
        <w:ind w:right="-613"/>
        <w:rPr>
          <w:rFonts w:eastAsia="Times New Roman" w:cs="Times New Roman"/>
          <w:sz w:val="20"/>
          <w:szCs w:val="20"/>
          <w:lang w:eastAsia="en-GB"/>
        </w:rPr>
      </w:pPr>
    </w:p>
    <w:p w14:paraId="7470F91F" w14:textId="77777777" w:rsidR="001A3BDB" w:rsidRPr="00644164" w:rsidRDefault="001A3BDB" w:rsidP="001A3BDB">
      <w:pPr>
        <w:spacing w:after="0" w:line="240" w:lineRule="auto"/>
        <w:ind w:right="-613"/>
        <w:rPr>
          <w:rFonts w:eastAsia="Times New Roman" w:cs="Times New Roman"/>
          <w:sz w:val="20"/>
          <w:szCs w:val="20"/>
          <w:lang w:eastAsia="en-GB"/>
        </w:rPr>
      </w:pPr>
      <w:r w:rsidRPr="00644164">
        <w:rPr>
          <w:rFonts w:eastAsia="Times New Roman" w:cs="Times New Roman"/>
          <w:sz w:val="20"/>
          <w:szCs w:val="20"/>
          <w:vertAlign w:val="superscript"/>
          <w:lang w:eastAsia="en-GB"/>
        </w:rPr>
        <w:t>a</w:t>
      </w:r>
      <w:r w:rsidRPr="00644164">
        <w:rPr>
          <w:rFonts w:eastAsia="Times New Roman" w:cs="Times New Roman"/>
          <w:sz w:val="20"/>
          <w:szCs w:val="20"/>
          <w:lang w:eastAsia="en-GB"/>
        </w:rPr>
        <w:t xml:space="preserve"> Values in parentheses correspond to the highest resolution shell; </w:t>
      </w:r>
      <w:r w:rsidRPr="00644164">
        <w:rPr>
          <w:rFonts w:eastAsia="Times New Roman" w:cs="Times New Roman"/>
          <w:sz w:val="20"/>
          <w:szCs w:val="20"/>
          <w:vertAlign w:val="superscript"/>
          <w:lang w:eastAsia="en-GB"/>
        </w:rPr>
        <w:t>b</w:t>
      </w:r>
      <w:r w:rsidRPr="00644164">
        <w:rPr>
          <w:rFonts w:eastAsia="Times New Roman" w:cs="Times New Roman"/>
          <w:sz w:val="20"/>
          <w:szCs w:val="20"/>
          <w:lang w:eastAsia="en-GB"/>
        </w:rPr>
        <w:t xml:space="preserve"> Gd: Guanidinium.</w:t>
      </w:r>
    </w:p>
    <w:p w14:paraId="2D12014A" w14:textId="77777777" w:rsidR="001A3BDB" w:rsidRPr="00644164" w:rsidRDefault="001A3BDB" w:rsidP="001A3BDB">
      <w:pPr>
        <w:rPr>
          <w:rFonts w:ascii="Arial" w:eastAsia="Times New Roman" w:hAnsi="Arial" w:cs="Arial"/>
          <w:lang w:eastAsia="en-GB"/>
        </w:rPr>
      </w:pPr>
      <w:r w:rsidRPr="00644164">
        <w:rPr>
          <w:rFonts w:ascii="Arial" w:eastAsia="Times New Roman" w:hAnsi="Arial" w:cs="Arial"/>
          <w:lang w:eastAsia="en-GB"/>
        </w:rPr>
        <w:br w:type="page"/>
      </w:r>
    </w:p>
    <w:p w14:paraId="26C8446F" w14:textId="77777777" w:rsidR="001A3BDB" w:rsidRPr="00644164" w:rsidRDefault="001A3BDB" w:rsidP="001A3BDB">
      <w:pPr>
        <w:rPr>
          <w:sz w:val="20"/>
          <w:szCs w:val="20"/>
        </w:rPr>
      </w:pPr>
      <w:r w:rsidRPr="00644164">
        <w:rPr>
          <w:b/>
          <w:bCs/>
          <w:sz w:val="20"/>
          <w:szCs w:val="20"/>
        </w:rPr>
        <w:lastRenderedPageBreak/>
        <w:t>Supplementary Table 2:</w:t>
      </w:r>
      <w:r w:rsidRPr="00644164">
        <w:rPr>
          <w:sz w:val="20"/>
          <w:szCs w:val="20"/>
        </w:rPr>
        <w:t xml:space="preserve"> Sequences of DNA oligonucleotides used in this study.</w:t>
      </w:r>
    </w:p>
    <w:tbl>
      <w:tblPr>
        <w:tblStyle w:val="TableGrid"/>
        <w:tblpPr w:leftFromText="180" w:rightFromText="180" w:vertAnchor="text" w:horzAnchor="margin" w:tblpY="-186"/>
        <w:tblW w:w="0" w:type="auto"/>
        <w:tblLayout w:type="fixed"/>
        <w:tblLook w:val="04A0" w:firstRow="1" w:lastRow="0" w:firstColumn="1" w:lastColumn="0" w:noHBand="0" w:noVBand="1"/>
      </w:tblPr>
      <w:tblGrid>
        <w:gridCol w:w="4106"/>
        <w:gridCol w:w="5290"/>
      </w:tblGrid>
      <w:tr w:rsidR="001A3BDB" w:rsidRPr="00644164" w14:paraId="37536F25" w14:textId="77777777" w:rsidTr="004E7F92">
        <w:tc>
          <w:tcPr>
            <w:tcW w:w="4106" w:type="dxa"/>
          </w:tcPr>
          <w:p w14:paraId="6BF613EA" w14:textId="77777777" w:rsidR="001A3BDB" w:rsidRPr="00644164" w:rsidRDefault="001A3BDB" w:rsidP="004E7F92">
            <w:pPr>
              <w:jc w:val="center"/>
              <w:rPr>
                <w:rFonts w:cs="Times New Roman"/>
                <w:sz w:val="20"/>
                <w:szCs w:val="20"/>
              </w:rPr>
            </w:pPr>
            <w:r w:rsidRPr="00644164">
              <w:rPr>
                <w:rFonts w:cs="Times New Roman"/>
                <w:sz w:val="20"/>
                <w:szCs w:val="20"/>
              </w:rPr>
              <w:t>Description</w:t>
            </w:r>
          </w:p>
        </w:tc>
        <w:tc>
          <w:tcPr>
            <w:tcW w:w="5290" w:type="dxa"/>
          </w:tcPr>
          <w:p w14:paraId="5A66DDAF" w14:textId="77777777" w:rsidR="001A3BDB" w:rsidRPr="00644164" w:rsidRDefault="001A3BDB" w:rsidP="004E7F92">
            <w:pPr>
              <w:jc w:val="center"/>
              <w:rPr>
                <w:rFonts w:cs="Times New Roman"/>
                <w:sz w:val="20"/>
                <w:szCs w:val="20"/>
              </w:rPr>
            </w:pPr>
            <w:r w:rsidRPr="00644164">
              <w:rPr>
                <w:rFonts w:cs="Times New Roman"/>
                <w:sz w:val="20"/>
                <w:szCs w:val="20"/>
              </w:rPr>
              <w:t>Sequence (5’ to 3’)</w:t>
            </w:r>
          </w:p>
        </w:tc>
      </w:tr>
      <w:tr w:rsidR="001A3BDB" w:rsidRPr="00644164" w14:paraId="66E52C5C" w14:textId="77777777" w:rsidTr="004E7F92">
        <w:tc>
          <w:tcPr>
            <w:tcW w:w="4106" w:type="dxa"/>
          </w:tcPr>
          <w:p w14:paraId="16DBBFDA" w14:textId="77777777" w:rsidR="001A3BDB" w:rsidRPr="00644164" w:rsidRDefault="001A3BDB" w:rsidP="004E7F92">
            <w:pPr>
              <w:jc w:val="both"/>
              <w:rPr>
                <w:rFonts w:cs="Times New Roman"/>
                <w:sz w:val="20"/>
                <w:szCs w:val="20"/>
              </w:rPr>
            </w:pPr>
            <w:r w:rsidRPr="00644164">
              <w:rPr>
                <w:rFonts w:cs="Times New Roman"/>
                <w:sz w:val="20"/>
                <w:szCs w:val="20"/>
              </w:rPr>
              <w:t xml:space="preserve">GdnR binding site, </w:t>
            </w:r>
            <w:r w:rsidRPr="00644164">
              <w:rPr>
                <w:rFonts w:cs="Times New Roman"/>
                <w:i/>
                <w:iCs/>
                <w:sz w:val="20"/>
                <w:szCs w:val="20"/>
              </w:rPr>
              <w:t>S. griseus</w:t>
            </w:r>
            <w:r w:rsidRPr="00644164">
              <w:rPr>
                <w:rFonts w:cs="Times New Roman"/>
                <w:sz w:val="20"/>
                <w:szCs w:val="20"/>
              </w:rPr>
              <w:t>, fwd</w:t>
            </w:r>
          </w:p>
        </w:tc>
        <w:tc>
          <w:tcPr>
            <w:tcW w:w="5290" w:type="dxa"/>
          </w:tcPr>
          <w:p w14:paraId="075BC6C5" w14:textId="77777777" w:rsidR="001A3BDB" w:rsidRPr="00644164" w:rsidRDefault="001A3BDB" w:rsidP="004E7F92">
            <w:pPr>
              <w:jc w:val="both"/>
              <w:rPr>
                <w:rFonts w:cs="Times New Roman"/>
                <w:sz w:val="20"/>
                <w:szCs w:val="20"/>
              </w:rPr>
            </w:pPr>
            <w:r w:rsidRPr="00644164">
              <w:rPr>
                <w:rFonts w:cs="Times New Roman"/>
                <w:sz w:val="20"/>
                <w:szCs w:val="20"/>
              </w:rPr>
              <w:t>[Btn]AATCCATAGAGGTATACCTGTCGATCGACAGGTATTGCGATAGTGAGG</w:t>
            </w:r>
          </w:p>
        </w:tc>
      </w:tr>
      <w:tr w:rsidR="001A3BDB" w:rsidRPr="00644164" w14:paraId="199A6258" w14:textId="77777777" w:rsidTr="004E7F92">
        <w:tc>
          <w:tcPr>
            <w:tcW w:w="4106" w:type="dxa"/>
          </w:tcPr>
          <w:p w14:paraId="00E3B97D" w14:textId="77777777" w:rsidR="001A3BDB" w:rsidRPr="00644164" w:rsidRDefault="001A3BDB" w:rsidP="004E7F92">
            <w:pPr>
              <w:jc w:val="both"/>
              <w:rPr>
                <w:rFonts w:cs="Times New Roman"/>
                <w:sz w:val="20"/>
                <w:szCs w:val="20"/>
              </w:rPr>
            </w:pPr>
            <w:r w:rsidRPr="00644164">
              <w:rPr>
                <w:rFonts w:cs="Times New Roman"/>
                <w:sz w:val="20"/>
                <w:szCs w:val="20"/>
              </w:rPr>
              <w:t xml:space="preserve">GdnR binding site, </w:t>
            </w:r>
            <w:r w:rsidRPr="00644164">
              <w:rPr>
                <w:rFonts w:cs="Times New Roman"/>
                <w:i/>
                <w:iCs/>
                <w:sz w:val="20"/>
                <w:szCs w:val="20"/>
              </w:rPr>
              <w:t>S. griseus</w:t>
            </w:r>
            <w:r w:rsidRPr="00644164">
              <w:rPr>
                <w:rFonts w:cs="Times New Roman"/>
                <w:sz w:val="20"/>
                <w:szCs w:val="20"/>
              </w:rPr>
              <w:t>, rev</w:t>
            </w:r>
          </w:p>
        </w:tc>
        <w:tc>
          <w:tcPr>
            <w:tcW w:w="5290" w:type="dxa"/>
          </w:tcPr>
          <w:p w14:paraId="3B4FB1C0" w14:textId="77777777" w:rsidR="001A3BDB" w:rsidRPr="00644164" w:rsidRDefault="001A3BDB" w:rsidP="004E7F92">
            <w:pPr>
              <w:jc w:val="both"/>
              <w:rPr>
                <w:rFonts w:cs="Times New Roman"/>
                <w:sz w:val="20"/>
                <w:szCs w:val="20"/>
              </w:rPr>
            </w:pPr>
            <w:r w:rsidRPr="00644164">
              <w:rPr>
                <w:rFonts w:cs="Times New Roman"/>
                <w:sz w:val="20"/>
                <w:szCs w:val="20"/>
              </w:rPr>
              <w:t>CCTCACTATCGCAATACCTGTCGATCGACAGG</w:t>
            </w:r>
          </w:p>
          <w:p w14:paraId="7B62D536" w14:textId="77777777" w:rsidR="001A3BDB" w:rsidRPr="00644164" w:rsidRDefault="001A3BDB" w:rsidP="004E7F92">
            <w:pPr>
              <w:jc w:val="both"/>
              <w:rPr>
                <w:rFonts w:cs="Times New Roman"/>
                <w:sz w:val="20"/>
                <w:szCs w:val="20"/>
              </w:rPr>
            </w:pPr>
            <w:r w:rsidRPr="00644164">
              <w:rPr>
                <w:rFonts w:cs="Times New Roman"/>
                <w:sz w:val="20"/>
                <w:szCs w:val="20"/>
              </w:rPr>
              <w:t>TATACCTCTATGGATT</w:t>
            </w:r>
          </w:p>
        </w:tc>
      </w:tr>
      <w:tr w:rsidR="001A3BDB" w:rsidRPr="00644164" w14:paraId="201D5DB9" w14:textId="77777777" w:rsidTr="004E7F92">
        <w:tc>
          <w:tcPr>
            <w:tcW w:w="4106" w:type="dxa"/>
          </w:tcPr>
          <w:p w14:paraId="52BB88D5" w14:textId="77777777" w:rsidR="001A3BDB" w:rsidRPr="00644164" w:rsidRDefault="001A3BDB" w:rsidP="004E7F92">
            <w:pPr>
              <w:jc w:val="both"/>
              <w:rPr>
                <w:rFonts w:cs="Times New Roman"/>
                <w:sz w:val="20"/>
                <w:szCs w:val="20"/>
              </w:rPr>
            </w:pPr>
            <w:r w:rsidRPr="00644164">
              <w:rPr>
                <w:rFonts w:cs="Times New Roman"/>
                <w:sz w:val="20"/>
                <w:szCs w:val="20"/>
              </w:rPr>
              <w:t xml:space="preserve">GdnR binding site, </w:t>
            </w:r>
            <w:r w:rsidRPr="00644164">
              <w:rPr>
                <w:rFonts w:cs="Times New Roman"/>
                <w:i/>
                <w:iCs/>
                <w:sz w:val="20"/>
                <w:szCs w:val="20"/>
              </w:rPr>
              <w:t>C. cellasea</w:t>
            </w:r>
            <w:r w:rsidRPr="00644164">
              <w:rPr>
                <w:rFonts w:cs="Times New Roman"/>
                <w:sz w:val="20"/>
                <w:szCs w:val="20"/>
              </w:rPr>
              <w:t xml:space="preserve">, fwd </w:t>
            </w:r>
          </w:p>
        </w:tc>
        <w:tc>
          <w:tcPr>
            <w:tcW w:w="5290" w:type="dxa"/>
          </w:tcPr>
          <w:p w14:paraId="7F7D3C6D" w14:textId="77777777" w:rsidR="001A3BDB" w:rsidRPr="00644164" w:rsidRDefault="001A3BDB" w:rsidP="004E7F92">
            <w:pPr>
              <w:jc w:val="both"/>
              <w:rPr>
                <w:rFonts w:cs="Times New Roman"/>
                <w:sz w:val="20"/>
                <w:szCs w:val="20"/>
              </w:rPr>
            </w:pPr>
            <w:r w:rsidRPr="00644164">
              <w:rPr>
                <w:rFonts w:cs="Times New Roman"/>
                <w:sz w:val="20"/>
                <w:szCs w:val="20"/>
              </w:rPr>
              <w:t>[Btn]GGCCCTCCCCGTGGTTCCTGTCGGCTGACAG</w:t>
            </w:r>
          </w:p>
          <w:p w14:paraId="028414C4" w14:textId="77777777" w:rsidR="001A3BDB" w:rsidRPr="00644164" w:rsidRDefault="001A3BDB" w:rsidP="004E7F92">
            <w:pPr>
              <w:jc w:val="both"/>
              <w:rPr>
                <w:rFonts w:cs="Times New Roman"/>
                <w:sz w:val="20"/>
                <w:szCs w:val="20"/>
              </w:rPr>
            </w:pPr>
            <w:r w:rsidRPr="00644164">
              <w:rPr>
                <w:rFonts w:cs="Times New Roman"/>
                <w:sz w:val="20"/>
                <w:szCs w:val="20"/>
              </w:rPr>
              <w:t>GAACACAGTGCGAGGCG</w:t>
            </w:r>
          </w:p>
        </w:tc>
      </w:tr>
      <w:tr w:rsidR="001A3BDB" w:rsidRPr="00644164" w14:paraId="506825DF" w14:textId="77777777" w:rsidTr="004E7F92">
        <w:tc>
          <w:tcPr>
            <w:tcW w:w="4106" w:type="dxa"/>
          </w:tcPr>
          <w:p w14:paraId="21A156BB" w14:textId="77777777" w:rsidR="001A3BDB" w:rsidRPr="00644164" w:rsidRDefault="001A3BDB" w:rsidP="004E7F92">
            <w:pPr>
              <w:jc w:val="both"/>
              <w:rPr>
                <w:rFonts w:cs="Times New Roman"/>
                <w:sz w:val="20"/>
                <w:szCs w:val="20"/>
              </w:rPr>
            </w:pPr>
            <w:r w:rsidRPr="00644164">
              <w:rPr>
                <w:rFonts w:cs="Times New Roman"/>
                <w:sz w:val="20"/>
                <w:szCs w:val="20"/>
              </w:rPr>
              <w:t xml:space="preserve">GdnR binding site, </w:t>
            </w:r>
            <w:r w:rsidRPr="00644164">
              <w:rPr>
                <w:rFonts w:cs="Times New Roman"/>
                <w:i/>
                <w:iCs/>
                <w:sz w:val="20"/>
                <w:szCs w:val="20"/>
              </w:rPr>
              <w:t>C. cellasea</w:t>
            </w:r>
            <w:r w:rsidRPr="00644164">
              <w:rPr>
                <w:rFonts w:cs="Times New Roman"/>
                <w:sz w:val="20"/>
                <w:szCs w:val="20"/>
              </w:rPr>
              <w:t>, rev</w:t>
            </w:r>
          </w:p>
        </w:tc>
        <w:tc>
          <w:tcPr>
            <w:tcW w:w="5290" w:type="dxa"/>
          </w:tcPr>
          <w:p w14:paraId="45890A37" w14:textId="77777777" w:rsidR="001A3BDB" w:rsidRPr="00644164" w:rsidRDefault="001A3BDB" w:rsidP="004E7F92">
            <w:pPr>
              <w:jc w:val="both"/>
              <w:rPr>
                <w:rFonts w:cs="Times New Roman"/>
                <w:sz w:val="20"/>
                <w:szCs w:val="20"/>
              </w:rPr>
            </w:pPr>
            <w:r w:rsidRPr="00644164">
              <w:rPr>
                <w:rFonts w:cs="Times New Roman"/>
                <w:sz w:val="20"/>
                <w:szCs w:val="20"/>
              </w:rPr>
              <w:t>CGCCTCGCACTGTGTTCCTGTCAGCCGACAG</w:t>
            </w:r>
          </w:p>
          <w:p w14:paraId="3559C85B" w14:textId="77777777" w:rsidR="001A3BDB" w:rsidRPr="00644164" w:rsidRDefault="001A3BDB" w:rsidP="004E7F92">
            <w:pPr>
              <w:jc w:val="both"/>
              <w:rPr>
                <w:rFonts w:cs="Times New Roman"/>
                <w:sz w:val="20"/>
                <w:szCs w:val="20"/>
              </w:rPr>
            </w:pPr>
            <w:r w:rsidRPr="00644164">
              <w:rPr>
                <w:rFonts w:cs="Times New Roman"/>
                <w:sz w:val="20"/>
                <w:szCs w:val="20"/>
              </w:rPr>
              <w:t>GAACCACGGGGAGGGCC</w:t>
            </w:r>
          </w:p>
        </w:tc>
      </w:tr>
      <w:tr w:rsidR="001A3BDB" w:rsidRPr="00644164" w14:paraId="221DE858" w14:textId="77777777" w:rsidTr="004E7F92">
        <w:tc>
          <w:tcPr>
            <w:tcW w:w="4106" w:type="dxa"/>
          </w:tcPr>
          <w:p w14:paraId="4681BB8C" w14:textId="77777777" w:rsidR="001A3BDB" w:rsidRPr="00644164" w:rsidRDefault="001A3BDB" w:rsidP="004E7F92">
            <w:pPr>
              <w:jc w:val="both"/>
              <w:rPr>
                <w:rFonts w:cs="Times New Roman"/>
                <w:sz w:val="20"/>
                <w:szCs w:val="20"/>
              </w:rPr>
            </w:pPr>
            <w:r w:rsidRPr="00644164">
              <w:rPr>
                <w:rFonts w:cs="Times New Roman"/>
                <w:sz w:val="20"/>
                <w:szCs w:val="20"/>
              </w:rPr>
              <w:t xml:space="preserve">Scrambled GdnR binding site, C. </w:t>
            </w:r>
            <w:r w:rsidRPr="00644164">
              <w:rPr>
                <w:rFonts w:cs="Times New Roman"/>
                <w:i/>
                <w:iCs/>
                <w:sz w:val="20"/>
                <w:szCs w:val="20"/>
              </w:rPr>
              <w:t xml:space="preserve">cellasea, </w:t>
            </w:r>
            <w:r w:rsidRPr="00644164">
              <w:rPr>
                <w:rFonts w:cs="Times New Roman"/>
                <w:sz w:val="20"/>
                <w:szCs w:val="20"/>
              </w:rPr>
              <w:t>fwd</w:t>
            </w:r>
          </w:p>
        </w:tc>
        <w:tc>
          <w:tcPr>
            <w:tcW w:w="5290" w:type="dxa"/>
          </w:tcPr>
          <w:p w14:paraId="7A04B409" w14:textId="77777777" w:rsidR="001A3BDB" w:rsidRPr="00644164" w:rsidRDefault="001A3BDB" w:rsidP="004E7F92">
            <w:pPr>
              <w:jc w:val="both"/>
              <w:rPr>
                <w:rFonts w:cs="Times New Roman"/>
                <w:sz w:val="20"/>
                <w:szCs w:val="20"/>
              </w:rPr>
            </w:pPr>
            <w:r w:rsidRPr="00644164">
              <w:rPr>
                <w:rFonts w:cs="Times New Roman"/>
                <w:sz w:val="20"/>
                <w:szCs w:val="20"/>
              </w:rPr>
              <w:t>[BTn]CAGGAATGGAGCAGTAGCAACTGTTAGC</w:t>
            </w:r>
          </w:p>
          <w:p w14:paraId="217BB6BB" w14:textId="77777777" w:rsidR="001A3BDB" w:rsidRPr="00644164" w:rsidRDefault="001A3BDB" w:rsidP="004E7F92">
            <w:pPr>
              <w:jc w:val="both"/>
              <w:rPr>
                <w:rFonts w:cs="Times New Roman"/>
                <w:sz w:val="20"/>
                <w:szCs w:val="20"/>
              </w:rPr>
            </w:pPr>
            <w:r w:rsidRPr="00644164">
              <w:rPr>
                <w:rFonts w:cs="Times New Roman"/>
                <w:sz w:val="20"/>
                <w:szCs w:val="20"/>
              </w:rPr>
              <w:t>TAGTTAAATTTGCCTACGGG</w:t>
            </w:r>
          </w:p>
        </w:tc>
      </w:tr>
      <w:tr w:rsidR="001A3BDB" w:rsidRPr="00644164" w14:paraId="4FFD6BAF" w14:textId="77777777" w:rsidTr="004E7F92">
        <w:tc>
          <w:tcPr>
            <w:tcW w:w="4106" w:type="dxa"/>
          </w:tcPr>
          <w:p w14:paraId="70674B96" w14:textId="77777777" w:rsidR="001A3BDB" w:rsidRPr="00644164" w:rsidRDefault="001A3BDB" w:rsidP="004E7F92">
            <w:pPr>
              <w:jc w:val="both"/>
              <w:rPr>
                <w:rFonts w:cs="Times New Roman"/>
                <w:sz w:val="20"/>
                <w:szCs w:val="20"/>
              </w:rPr>
            </w:pPr>
            <w:r w:rsidRPr="00644164">
              <w:rPr>
                <w:rFonts w:cs="Times New Roman"/>
                <w:sz w:val="20"/>
                <w:szCs w:val="20"/>
              </w:rPr>
              <w:t xml:space="preserve">Scrambled GdnR binding site, C. </w:t>
            </w:r>
            <w:r w:rsidRPr="00644164">
              <w:rPr>
                <w:rFonts w:cs="Times New Roman"/>
                <w:i/>
                <w:iCs/>
                <w:sz w:val="20"/>
                <w:szCs w:val="20"/>
              </w:rPr>
              <w:t xml:space="preserve">cellasea </w:t>
            </w:r>
            <w:r w:rsidRPr="00644164">
              <w:rPr>
                <w:rFonts w:cs="Times New Roman"/>
                <w:sz w:val="20"/>
                <w:szCs w:val="20"/>
              </w:rPr>
              <w:t>rev</w:t>
            </w:r>
          </w:p>
        </w:tc>
        <w:tc>
          <w:tcPr>
            <w:tcW w:w="5290" w:type="dxa"/>
          </w:tcPr>
          <w:p w14:paraId="45CBAE9B" w14:textId="77777777" w:rsidR="001A3BDB" w:rsidRPr="00644164" w:rsidRDefault="001A3BDB" w:rsidP="004E7F92">
            <w:pPr>
              <w:jc w:val="both"/>
              <w:rPr>
                <w:rFonts w:cs="Times New Roman"/>
                <w:sz w:val="20"/>
                <w:szCs w:val="20"/>
              </w:rPr>
            </w:pPr>
            <w:r w:rsidRPr="00644164">
              <w:rPr>
                <w:rFonts w:cs="Times New Roman"/>
                <w:sz w:val="20"/>
                <w:szCs w:val="20"/>
              </w:rPr>
              <w:t>CCCGTAGGCAAATTTAACTAGCTAACAGTTG</w:t>
            </w:r>
          </w:p>
          <w:p w14:paraId="31F6468D" w14:textId="77777777" w:rsidR="001A3BDB" w:rsidRPr="00644164" w:rsidRDefault="001A3BDB" w:rsidP="004E7F92">
            <w:pPr>
              <w:jc w:val="both"/>
              <w:rPr>
                <w:rFonts w:cs="Times New Roman"/>
                <w:sz w:val="20"/>
                <w:szCs w:val="20"/>
              </w:rPr>
            </w:pPr>
            <w:r w:rsidRPr="00644164">
              <w:rPr>
                <w:rFonts w:cs="Times New Roman"/>
                <w:sz w:val="20"/>
                <w:szCs w:val="20"/>
              </w:rPr>
              <w:t>CTACTGCTCCATTCCTG</w:t>
            </w:r>
          </w:p>
        </w:tc>
      </w:tr>
      <w:tr w:rsidR="001A3BDB" w:rsidRPr="00644164" w14:paraId="2BD3C003" w14:textId="77777777" w:rsidTr="004E7F92">
        <w:tc>
          <w:tcPr>
            <w:tcW w:w="4106" w:type="dxa"/>
          </w:tcPr>
          <w:p w14:paraId="4818F7F5" w14:textId="77777777" w:rsidR="001A3BDB" w:rsidRPr="00644164" w:rsidRDefault="001A3BDB" w:rsidP="004E7F92">
            <w:pPr>
              <w:jc w:val="both"/>
              <w:rPr>
                <w:rFonts w:cs="Times New Roman"/>
                <w:sz w:val="20"/>
                <w:szCs w:val="20"/>
              </w:rPr>
            </w:pPr>
            <w:r w:rsidRPr="00644164">
              <w:rPr>
                <w:rFonts w:cs="Times New Roman"/>
                <w:sz w:val="20"/>
                <w:szCs w:val="20"/>
              </w:rPr>
              <w:t>Backbone generation for reporter construct, fwd</w:t>
            </w:r>
          </w:p>
        </w:tc>
        <w:tc>
          <w:tcPr>
            <w:tcW w:w="5290" w:type="dxa"/>
          </w:tcPr>
          <w:p w14:paraId="00ED549D" w14:textId="77777777" w:rsidR="001A3BDB" w:rsidRPr="00644164" w:rsidRDefault="001A3BDB" w:rsidP="004E7F92">
            <w:pPr>
              <w:jc w:val="both"/>
              <w:rPr>
                <w:rFonts w:cs="Times New Roman"/>
                <w:sz w:val="20"/>
                <w:szCs w:val="20"/>
              </w:rPr>
            </w:pPr>
            <w:r w:rsidRPr="00644164">
              <w:rPr>
                <w:rFonts w:cs="Times New Roman"/>
                <w:sz w:val="20"/>
                <w:szCs w:val="20"/>
              </w:rPr>
              <w:t>GCTAGCATTATACCTAGGACTGAGC</w:t>
            </w:r>
          </w:p>
        </w:tc>
      </w:tr>
      <w:tr w:rsidR="001A3BDB" w:rsidRPr="00644164" w14:paraId="0BCECC7A" w14:textId="77777777" w:rsidTr="004E7F92">
        <w:tc>
          <w:tcPr>
            <w:tcW w:w="4106" w:type="dxa"/>
          </w:tcPr>
          <w:p w14:paraId="7579F6AC" w14:textId="77777777" w:rsidR="001A3BDB" w:rsidRPr="00644164" w:rsidRDefault="001A3BDB" w:rsidP="004E7F92">
            <w:pPr>
              <w:jc w:val="both"/>
              <w:rPr>
                <w:rFonts w:cs="Times New Roman"/>
                <w:sz w:val="20"/>
                <w:szCs w:val="20"/>
              </w:rPr>
            </w:pPr>
            <w:r w:rsidRPr="00644164">
              <w:rPr>
                <w:rFonts w:cs="Times New Roman"/>
                <w:sz w:val="20"/>
                <w:szCs w:val="20"/>
              </w:rPr>
              <w:t>Backbone generation for reporter construct, rev</w:t>
            </w:r>
          </w:p>
        </w:tc>
        <w:tc>
          <w:tcPr>
            <w:tcW w:w="5290" w:type="dxa"/>
          </w:tcPr>
          <w:p w14:paraId="62F92A0B" w14:textId="77777777" w:rsidR="001A3BDB" w:rsidRPr="00644164" w:rsidRDefault="001A3BDB" w:rsidP="004E7F92">
            <w:pPr>
              <w:jc w:val="both"/>
              <w:rPr>
                <w:rFonts w:cs="Times New Roman"/>
                <w:sz w:val="20"/>
                <w:szCs w:val="20"/>
              </w:rPr>
            </w:pPr>
            <w:r w:rsidRPr="00644164">
              <w:rPr>
                <w:rFonts w:cs="Times New Roman"/>
                <w:sz w:val="20"/>
                <w:szCs w:val="20"/>
              </w:rPr>
              <w:t>AAGAAGGAGATATACCATGGGCC</w:t>
            </w:r>
          </w:p>
        </w:tc>
      </w:tr>
      <w:tr w:rsidR="001A3BDB" w:rsidRPr="00644164" w14:paraId="385CB193" w14:textId="77777777" w:rsidTr="004E7F92">
        <w:tc>
          <w:tcPr>
            <w:tcW w:w="4106" w:type="dxa"/>
          </w:tcPr>
          <w:p w14:paraId="17872E0D" w14:textId="77777777" w:rsidR="001A3BDB" w:rsidRPr="00644164" w:rsidRDefault="001A3BDB" w:rsidP="004E7F92">
            <w:pPr>
              <w:jc w:val="both"/>
              <w:rPr>
                <w:rFonts w:cs="Times New Roman"/>
                <w:sz w:val="20"/>
                <w:szCs w:val="20"/>
              </w:rPr>
            </w:pPr>
            <w:r w:rsidRPr="00644164">
              <w:rPr>
                <w:rFonts w:cs="Times New Roman"/>
                <w:sz w:val="20"/>
                <w:szCs w:val="20"/>
              </w:rPr>
              <w:t xml:space="preserve">Gibson assembly insert with GdnR binding site for reporter construct, </w:t>
            </w:r>
            <w:r w:rsidRPr="00644164">
              <w:rPr>
                <w:rFonts w:cs="Times New Roman"/>
                <w:i/>
                <w:iCs/>
                <w:sz w:val="20"/>
                <w:szCs w:val="20"/>
              </w:rPr>
              <w:t>S. griseus</w:t>
            </w:r>
            <w:r w:rsidRPr="00644164">
              <w:rPr>
                <w:rFonts w:cs="Times New Roman"/>
                <w:sz w:val="20"/>
                <w:szCs w:val="20"/>
              </w:rPr>
              <w:t>, fwd</w:t>
            </w:r>
          </w:p>
        </w:tc>
        <w:tc>
          <w:tcPr>
            <w:tcW w:w="5290" w:type="dxa"/>
          </w:tcPr>
          <w:p w14:paraId="37FE785F" w14:textId="77777777" w:rsidR="001A3BDB" w:rsidRPr="00644164" w:rsidRDefault="001A3BDB" w:rsidP="004E7F92">
            <w:pPr>
              <w:jc w:val="both"/>
              <w:rPr>
                <w:rFonts w:cs="Times New Roman"/>
                <w:sz w:val="20"/>
                <w:szCs w:val="20"/>
              </w:rPr>
            </w:pPr>
            <w:r w:rsidRPr="00644164">
              <w:rPr>
                <w:rFonts w:cs="Times New Roman"/>
                <w:sz w:val="20"/>
                <w:szCs w:val="20"/>
              </w:rPr>
              <w:t>CTAGGTATAATGCTAGCCATAGAGGTATACCTGTCGATCGACAGGTATTGCGATAGTAAGAAGGAGATATAC</w:t>
            </w:r>
          </w:p>
        </w:tc>
      </w:tr>
      <w:tr w:rsidR="001A3BDB" w:rsidRPr="00644164" w14:paraId="52326C13" w14:textId="77777777" w:rsidTr="004E7F92">
        <w:tc>
          <w:tcPr>
            <w:tcW w:w="4106" w:type="dxa"/>
          </w:tcPr>
          <w:p w14:paraId="57151ECE" w14:textId="77777777" w:rsidR="001A3BDB" w:rsidRPr="00644164" w:rsidRDefault="001A3BDB" w:rsidP="004E7F92">
            <w:pPr>
              <w:jc w:val="both"/>
              <w:rPr>
                <w:rFonts w:cs="Times New Roman"/>
                <w:sz w:val="20"/>
                <w:szCs w:val="20"/>
              </w:rPr>
            </w:pPr>
            <w:r w:rsidRPr="00644164">
              <w:rPr>
                <w:rFonts w:cs="Times New Roman"/>
                <w:sz w:val="20"/>
                <w:szCs w:val="20"/>
              </w:rPr>
              <w:t xml:space="preserve">Gibson assembly insert with GdnR binding site for reporter construct, </w:t>
            </w:r>
            <w:r w:rsidRPr="00644164">
              <w:rPr>
                <w:rFonts w:cs="Times New Roman"/>
                <w:i/>
                <w:iCs/>
                <w:sz w:val="20"/>
                <w:szCs w:val="20"/>
              </w:rPr>
              <w:t>S. griseus</w:t>
            </w:r>
            <w:r w:rsidRPr="00644164">
              <w:rPr>
                <w:rFonts w:cs="Times New Roman"/>
                <w:sz w:val="20"/>
                <w:szCs w:val="20"/>
              </w:rPr>
              <w:t>, rev</w:t>
            </w:r>
          </w:p>
        </w:tc>
        <w:tc>
          <w:tcPr>
            <w:tcW w:w="5290" w:type="dxa"/>
          </w:tcPr>
          <w:p w14:paraId="604BACD6" w14:textId="77777777" w:rsidR="001A3BDB" w:rsidRPr="00644164" w:rsidRDefault="001A3BDB" w:rsidP="004E7F92">
            <w:pPr>
              <w:jc w:val="both"/>
              <w:rPr>
                <w:rFonts w:cs="Times New Roman"/>
                <w:sz w:val="20"/>
                <w:szCs w:val="20"/>
              </w:rPr>
            </w:pPr>
            <w:r w:rsidRPr="00644164">
              <w:rPr>
                <w:rFonts w:cs="Times New Roman"/>
                <w:sz w:val="20"/>
                <w:szCs w:val="20"/>
              </w:rPr>
              <w:t>GTATATCTCCTTCTTACTATCGCAATACCTGTCGATCGACAGGTATACCTCTATGGCTAGCATTATACCTAG</w:t>
            </w:r>
          </w:p>
        </w:tc>
      </w:tr>
      <w:tr w:rsidR="001A3BDB" w:rsidRPr="00644164" w14:paraId="73C775C0" w14:textId="77777777" w:rsidTr="004E7F92">
        <w:tc>
          <w:tcPr>
            <w:tcW w:w="4106" w:type="dxa"/>
          </w:tcPr>
          <w:p w14:paraId="7369090A" w14:textId="77777777" w:rsidR="001A3BDB" w:rsidRPr="00644164" w:rsidRDefault="001A3BDB" w:rsidP="004E7F92">
            <w:pPr>
              <w:jc w:val="both"/>
              <w:rPr>
                <w:rFonts w:cs="Times New Roman"/>
                <w:sz w:val="20"/>
                <w:szCs w:val="20"/>
              </w:rPr>
            </w:pPr>
            <w:r w:rsidRPr="00644164">
              <w:rPr>
                <w:rFonts w:cs="Times New Roman"/>
                <w:sz w:val="20"/>
                <w:szCs w:val="20"/>
              </w:rPr>
              <w:t xml:space="preserve">GdcR binding site, </w:t>
            </w:r>
            <w:r w:rsidRPr="00644164">
              <w:rPr>
                <w:rFonts w:cs="Times New Roman"/>
                <w:i/>
                <w:iCs/>
                <w:sz w:val="20"/>
                <w:szCs w:val="20"/>
              </w:rPr>
              <w:t>S. boeckii</w:t>
            </w:r>
            <w:r w:rsidRPr="00644164">
              <w:rPr>
                <w:rFonts w:cs="Times New Roman"/>
                <w:sz w:val="20"/>
                <w:szCs w:val="20"/>
              </w:rPr>
              <w:t>, fwd</w:t>
            </w:r>
          </w:p>
        </w:tc>
        <w:tc>
          <w:tcPr>
            <w:tcW w:w="5290" w:type="dxa"/>
          </w:tcPr>
          <w:p w14:paraId="1F8CB34E" w14:textId="77777777" w:rsidR="001A3BDB" w:rsidRPr="00644164" w:rsidRDefault="001A3BDB" w:rsidP="004E7F92">
            <w:pPr>
              <w:jc w:val="both"/>
              <w:rPr>
                <w:rFonts w:cs="Times New Roman"/>
                <w:sz w:val="20"/>
                <w:szCs w:val="20"/>
              </w:rPr>
            </w:pPr>
            <w:r w:rsidRPr="00644164">
              <w:rPr>
                <w:rFonts w:cs="Times New Roman"/>
                <w:sz w:val="20"/>
                <w:szCs w:val="20"/>
              </w:rPr>
              <w:t>TTCAGTATTACATATTGCATCCTTCGTAATATCGC</w:t>
            </w:r>
          </w:p>
        </w:tc>
      </w:tr>
      <w:tr w:rsidR="001A3BDB" w:rsidRPr="00644164" w14:paraId="0F7A8F45" w14:textId="77777777" w:rsidTr="004E7F92">
        <w:tc>
          <w:tcPr>
            <w:tcW w:w="4106" w:type="dxa"/>
          </w:tcPr>
          <w:p w14:paraId="45FD2C5A" w14:textId="77777777" w:rsidR="001A3BDB" w:rsidRPr="00644164" w:rsidRDefault="001A3BDB" w:rsidP="004E7F92">
            <w:pPr>
              <w:jc w:val="both"/>
              <w:rPr>
                <w:rFonts w:cs="Times New Roman"/>
                <w:sz w:val="20"/>
                <w:szCs w:val="20"/>
              </w:rPr>
            </w:pPr>
            <w:r w:rsidRPr="00644164">
              <w:rPr>
                <w:rFonts w:cs="Times New Roman"/>
                <w:sz w:val="20"/>
                <w:szCs w:val="20"/>
              </w:rPr>
              <w:t xml:space="preserve">GdcR binding site, </w:t>
            </w:r>
            <w:r w:rsidRPr="00644164">
              <w:rPr>
                <w:rFonts w:cs="Times New Roman"/>
                <w:i/>
                <w:iCs/>
                <w:sz w:val="20"/>
                <w:szCs w:val="20"/>
              </w:rPr>
              <w:t>S. boeckii</w:t>
            </w:r>
            <w:r w:rsidRPr="00644164">
              <w:rPr>
                <w:rFonts w:cs="Times New Roman"/>
                <w:sz w:val="20"/>
                <w:szCs w:val="20"/>
              </w:rPr>
              <w:t>, rev</w:t>
            </w:r>
          </w:p>
        </w:tc>
        <w:tc>
          <w:tcPr>
            <w:tcW w:w="5290" w:type="dxa"/>
          </w:tcPr>
          <w:p w14:paraId="1C9B5E3A" w14:textId="77777777" w:rsidR="001A3BDB" w:rsidRPr="00644164" w:rsidRDefault="001A3BDB" w:rsidP="004E7F92">
            <w:pPr>
              <w:jc w:val="both"/>
              <w:rPr>
                <w:rFonts w:cs="Times New Roman"/>
                <w:sz w:val="20"/>
                <w:szCs w:val="20"/>
              </w:rPr>
            </w:pPr>
            <w:r w:rsidRPr="00644164">
              <w:rPr>
                <w:rFonts w:cs="Times New Roman"/>
                <w:sz w:val="20"/>
                <w:szCs w:val="20"/>
              </w:rPr>
              <w:t>GGCGATATTACGAAGGATGCAATATGTAATACT</w:t>
            </w:r>
          </w:p>
        </w:tc>
      </w:tr>
      <w:tr w:rsidR="001A3BDB" w:rsidRPr="00644164" w14:paraId="70FB0D1B" w14:textId="77777777" w:rsidTr="004E7F92">
        <w:tc>
          <w:tcPr>
            <w:tcW w:w="4106" w:type="dxa"/>
          </w:tcPr>
          <w:p w14:paraId="6BD70662" w14:textId="77777777" w:rsidR="001A3BDB" w:rsidRPr="00644164" w:rsidRDefault="001A3BDB" w:rsidP="004E7F92">
            <w:pPr>
              <w:jc w:val="both"/>
              <w:rPr>
                <w:rFonts w:cs="Times New Roman"/>
                <w:sz w:val="20"/>
                <w:szCs w:val="20"/>
              </w:rPr>
            </w:pPr>
            <w:r w:rsidRPr="00644164">
              <w:rPr>
                <w:rFonts w:cs="Times New Roman"/>
                <w:sz w:val="20"/>
                <w:szCs w:val="20"/>
              </w:rPr>
              <w:t xml:space="preserve">GdcR binding site, </w:t>
            </w:r>
            <w:r w:rsidRPr="00644164">
              <w:rPr>
                <w:rFonts w:cs="Times New Roman"/>
                <w:i/>
                <w:iCs/>
                <w:sz w:val="20"/>
                <w:szCs w:val="20"/>
              </w:rPr>
              <w:t>C. rhizosphaerae</w:t>
            </w:r>
            <w:r w:rsidRPr="00644164">
              <w:rPr>
                <w:rFonts w:cs="Times New Roman"/>
                <w:sz w:val="20"/>
                <w:szCs w:val="20"/>
              </w:rPr>
              <w:t>, fwd</w:t>
            </w:r>
          </w:p>
        </w:tc>
        <w:tc>
          <w:tcPr>
            <w:tcW w:w="5290" w:type="dxa"/>
          </w:tcPr>
          <w:p w14:paraId="331CBFE9" w14:textId="77777777" w:rsidR="001A3BDB" w:rsidRPr="00644164" w:rsidRDefault="001A3BDB" w:rsidP="004E7F92">
            <w:pPr>
              <w:jc w:val="both"/>
              <w:rPr>
                <w:rFonts w:cs="Times New Roman"/>
                <w:sz w:val="20"/>
                <w:szCs w:val="20"/>
              </w:rPr>
            </w:pPr>
            <w:r w:rsidRPr="00644164">
              <w:rPr>
                <w:rFonts w:cs="Times New Roman"/>
                <w:sz w:val="20"/>
                <w:szCs w:val="20"/>
              </w:rPr>
              <w:t>ATTGATATTACCAATTCCCGCAATAGTAATAATCG</w:t>
            </w:r>
          </w:p>
        </w:tc>
      </w:tr>
      <w:tr w:rsidR="001A3BDB" w:rsidRPr="00644164" w14:paraId="14395965" w14:textId="77777777" w:rsidTr="004E7F92">
        <w:tc>
          <w:tcPr>
            <w:tcW w:w="4106" w:type="dxa"/>
          </w:tcPr>
          <w:p w14:paraId="6A32BF3D" w14:textId="77777777" w:rsidR="001A3BDB" w:rsidRPr="00644164" w:rsidRDefault="001A3BDB" w:rsidP="004E7F92">
            <w:pPr>
              <w:jc w:val="both"/>
              <w:rPr>
                <w:rFonts w:cs="Times New Roman"/>
                <w:sz w:val="20"/>
                <w:szCs w:val="20"/>
              </w:rPr>
            </w:pPr>
            <w:r w:rsidRPr="00644164">
              <w:rPr>
                <w:rFonts w:cs="Times New Roman"/>
                <w:sz w:val="20"/>
                <w:szCs w:val="20"/>
              </w:rPr>
              <w:t xml:space="preserve">GdcR binding site, </w:t>
            </w:r>
            <w:r w:rsidRPr="00644164">
              <w:rPr>
                <w:rFonts w:cs="Times New Roman"/>
                <w:i/>
                <w:iCs/>
                <w:sz w:val="20"/>
                <w:szCs w:val="20"/>
              </w:rPr>
              <w:t>C. rhizosphaerae</w:t>
            </w:r>
            <w:r w:rsidRPr="00644164">
              <w:rPr>
                <w:rFonts w:cs="Times New Roman"/>
                <w:sz w:val="20"/>
                <w:szCs w:val="20"/>
              </w:rPr>
              <w:t>, rev</w:t>
            </w:r>
          </w:p>
        </w:tc>
        <w:tc>
          <w:tcPr>
            <w:tcW w:w="5290" w:type="dxa"/>
          </w:tcPr>
          <w:p w14:paraId="37DF7FDF" w14:textId="77777777" w:rsidR="001A3BDB" w:rsidRPr="00644164" w:rsidRDefault="001A3BDB" w:rsidP="004E7F92">
            <w:pPr>
              <w:jc w:val="both"/>
              <w:rPr>
                <w:rFonts w:cs="Times New Roman"/>
                <w:sz w:val="20"/>
                <w:szCs w:val="20"/>
              </w:rPr>
            </w:pPr>
            <w:r w:rsidRPr="00644164">
              <w:rPr>
                <w:rFonts w:cs="Times New Roman"/>
                <w:sz w:val="20"/>
                <w:szCs w:val="20"/>
              </w:rPr>
              <w:t>CCGATTATTACTATTGCGGGAATTGGTAATATCA</w:t>
            </w:r>
          </w:p>
        </w:tc>
      </w:tr>
      <w:tr w:rsidR="001A3BDB" w:rsidRPr="00644164" w14:paraId="68941BB9" w14:textId="77777777" w:rsidTr="004E7F92">
        <w:tc>
          <w:tcPr>
            <w:tcW w:w="4106" w:type="dxa"/>
          </w:tcPr>
          <w:p w14:paraId="772720D3" w14:textId="77777777" w:rsidR="001A3BDB" w:rsidRPr="00644164" w:rsidRDefault="001A3BDB" w:rsidP="004E7F92">
            <w:pPr>
              <w:jc w:val="both"/>
              <w:rPr>
                <w:rFonts w:cs="Times New Roman"/>
                <w:sz w:val="20"/>
                <w:szCs w:val="20"/>
              </w:rPr>
            </w:pPr>
            <w:r w:rsidRPr="00644164">
              <w:rPr>
                <w:rFonts w:cs="Times New Roman"/>
                <w:sz w:val="20"/>
                <w:szCs w:val="20"/>
              </w:rPr>
              <w:t xml:space="preserve">Scrambled GdcR binding site, </w:t>
            </w:r>
            <w:r w:rsidRPr="00644164">
              <w:rPr>
                <w:rFonts w:cs="Times New Roman"/>
                <w:i/>
                <w:iCs/>
                <w:sz w:val="20"/>
                <w:szCs w:val="20"/>
              </w:rPr>
              <w:t>S. boeckii</w:t>
            </w:r>
            <w:r w:rsidRPr="00644164">
              <w:rPr>
                <w:rFonts w:cs="Times New Roman"/>
                <w:sz w:val="20"/>
                <w:szCs w:val="20"/>
              </w:rPr>
              <w:t>, fwd</w:t>
            </w:r>
          </w:p>
        </w:tc>
        <w:tc>
          <w:tcPr>
            <w:tcW w:w="5290" w:type="dxa"/>
          </w:tcPr>
          <w:p w14:paraId="33233424" w14:textId="77777777" w:rsidR="001A3BDB" w:rsidRPr="00644164" w:rsidRDefault="001A3BDB" w:rsidP="004E7F92">
            <w:pPr>
              <w:jc w:val="both"/>
              <w:rPr>
                <w:rFonts w:cs="Times New Roman"/>
                <w:sz w:val="20"/>
                <w:szCs w:val="20"/>
              </w:rPr>
            </w:pPr>
            <w:r w:rsidRPr="00644164">
              <w:rPr>
                <w:rFonts w:cs="Times New Roman"/>
                <w:sz w:val="20"/>
                <w:szCs w:val="20"/>
              </w:rPr>
              <w:t>ATTGAACTATATATATTACACATGCCTAGACATCG</w:t>
            </w:r>
          </w:p>
        </w:tc>
      </w:tr>
      <w:tr w:rsidR="001A3BDB" w:rsidRPr="00644164" w14:paraId="2B6C6EBA" w14:textId="77777777" w:rsidTr="004E7F92">
        <w:tc>
          <w:tcPr>
            <w:tcW w:w="4106" w:type="dxa"/>
          </w:tcPr>
          <w:p w14:paraId="14F86F76" w14:textId="77777777" w:rsidR="001A3BDB" w:rsidRPr="00644164" w:rsidRDefault="001A3BDB" w:rsidP="004E7F92">
            <w:pPr>
              <w:jc w:val="both"/>
              <w:rPr>
                <w:rFonts w:cs="Times New Roman"/>
                <w:sz w:val="20"/>
                <w:szCs w:val="20"/>
              </w:rPr>
            </w:pPr>
            <w:r w:rsidRPr="00644164">
              <w:rPr>
                <w:rFonts w:cs="Times New Roman"/>
                <w:sz w:val="20"/>
                <w:szCs w:val="20"/>
              </w:rPr>
              <w:t xml:space="preserve">Scrambled GdcR binding site, </w:t>
            </w:r>
            <w:r w:rsidRPr="00644164">
              <w:rPr>
                <w:rFonts w:cs="Times New Roman"/>
                <w:i/>
                <w:iCs/>
                <w:sz w:val="20"/>
                <w:szCs w:val="20"/>
              </w:rPr>
              <w:t>S. boeckii</w:t>
            </w:r>
            <w:r w:rsidRPr="00644164">
              <w:rPr>
                <w:rFonts w:cs="Times New Roman"/>
                <w:sz w:val="20"/>
                <w:szCs w:val="20"/>
              </w:rPr>
              <w:t>, rev</w:t>
            </w:r>
          </w:p>
        </w:tc>
        <w:tc>
          <w:tcPr>
            <w:tcW w:w="5290" w:type="dxa"/>
          </w:tcPr>
          <w:p w14:paraId="19D8C0E2" w14:textId="77777777" w:rsidR="001A3BDB" w:rsidRPr="00644164" w:rsidRDefault="001A3BDB" w:rsidP="004E7F92">
            <w:pPr>
              <w:jc w:val="both"/>
              <w:rPr>
                <w:rFonts w:cs="Times New Roman"/>
                <w:sz w:val="20"/>
                <w:szCs w:val="20"/>
              </w:rPr>
            </w:pPr>
            <w:r w:rsidRPr="00644164">
              <w:rPr>
                <w:rFonts w:cs="Times New Roman"/>
                <w:sz w:val="20"/>
                <w:szCs w:val="20"/>
              </w:rPr>
              <w:t>CCGATGTCTAGGCATGTGTAATATATATAGTTCA</w:t>
            </w:r>
          </w:p>
        </w:tc>
      </w:tr>
      <w:tr w:rsidR="001A3BDB" w:rsidRPr="00644164" w14:paraId="7EF85283" w14:textId="77777777" w:rsidTr="004E7F92">
        <w:tc>
          <w:tcPr>
            <w:tcW w:w="4106" w:type="dxa"/>
          </w:tcPr>
          <w:p w14:paraId="79E09A20" w14:textId="77777777" w:rsidR="001A3BDB" w:rsidRPr="00644164" w:rsidRDefault="001A3BDB" w:rsidP="004E7F92">
            <w:pPr>
              <w:jc w:val="both"/>
              <w:rPr>
                <w:rFonts w:cs="Times New Roman"/>
                <w:sz w:val="20"/>
                <w:szCs w:val="20"/>
              </w:rPr>
            </w:pPr>
            <w:r w:rsidRPr="00644164">
              <w:rPr>
                <w:rFonts w:cs="Times New Roman"/>
                <w:sz w:val="20"/>
                <w:szCs w:val="20"/>
              </w:rPr>
              <w:t xml:space="preserve">Gibson assembly insert with GdnR binding site for reporter construct, </w:t>
            </w:r>
            <w:r w:rsidRPr="00644164">
              <w:rPr>
                <w:rFonts w:cs="Times New Roman"/>
                <w:i/>
                <w:iCs/>
                <w:sz w:val="20"/>
                <w:szCs w:val="20"/>
              </w:rPr>
              <w:t>S. boeckii</w:t>
            </w:r>
            <w:r w:rsidRPr="00644164">
              <w:rPr>
                <w:rFonts w:cs="Times New Roman"/>
                <w:sz w:val="20"/>
                <w:szCs w:val="20"/>
              </w:rPr>
              <w:t>, fwd</w:t>
            </w:r>
          </w:p>
        </w:tc>
        <w:tc>
          <w:tcPr>
            <w:tcW w:w="5290" w:type="dxa"/>
          </w:tcPr>
          <w:p w14:paraId="3885C58C" w14:textId="77777777" w:rsidR="001A3BDB" w:rsidRPr="00644164" w:rsidRDefault="001A3BDB" w:rsidP="004E7F92">
            <w:pPr>
              <w:jc w:val="both"/>
              <w:rPr>
                <w:rFonts w:cs="Times New Roman"/>
                <w:sz w:val="20"/>
                <w:szCs w:val="20"/>
              </w:rPr>
            </w:pPr>
            <w:r w:rsidRPr="00644164">
              <w:rPr>
                <w:rFonts w:cs="Times New Roman"/>
                <w:sz w:val="20"/>
                <w:szCs w:val="20"/>
              </w:rPr>
              <w:t>AGGTATAATGCTAGCTATTACCAATTCCCGCAATAGTAATAAGAAGGAGATATAC</w:t>
            </w:r>
          </w:p>
        </w:tc>
      </w:tr>
      <w:tr w:rsidR="001A3BDB" w:rsidRPr="00B07E6C" w14:paraId="4AB99BEE" w14:textId="77777777" w:rsidTr="004E7F92">
        <w:tc>
          <w:tcPr>
            <w:tcW w:w="4106" w:type="dxa"/>
          </w:tcPr>
          <w:p w14:paraId="178276CF" w14:textId="77777777" w:rsidR="001A3BDB" w:rsidRPr="00644164" w:rsidRDefault="001A3BDB" w:rsidP="004E7F92">
            <w:pPr>
              <w:jc w:val="both"/>
              <w:rPr>
                <w:rFonts w:cs="Times New Roman"/>
                <w:sz w:val="20"/>
                <w:szCs w:val="20"/>
              </w:rPr>
            </w:pPr>
            <w:r w:rsidRPr="00644164">
              <w:rPr>
                <w:rFonts w:cs="Times New Roman"/>
                <w:sz w:val="20"/>
                <w:szCs w:val="20"/>
              </w:rPr>
              <w:t xml:space="preserve">Gibson assembly insert with GdnR binding site for reporter construct, </w:t>
            </w:r>
            <w:r w:rsidRPr="00644164">
              <w:rPr>
                <w:rFonts w:cs="Times New Roman"/>
                <w:i/>
                <w:iCs/>
                <w:sz w:val="20"/>
                <w:szCs w:val="20"/>
              </w:rPr>
              <w:t>S. boeckii</w:t>
            </w:r>
            <w:r w:rsidRPr="00644164">
              <w:rPr>
                <w:rFonts w:cs="Times New Roman"/>
                <w:sz w:val="20"/>
                <w:szCs w:val="20"/>
              </w:rPr>
              <w:t>, rev</w:t>
            </w:r>
          </w:p>
        </w:tc>
        <w:tc>
          <w:tcPr>
            <w:tcW w:w="5290" w:type="dxa"/>
          </w:tcPr>
          <w:p w14:paraId="0314A990" w14:textId="77777777" w:rsidR="001A3BDB" w:rsidRPr="00B07E6C" w:rsidRDefault="001A3BDB" w:rsidP="004E7F92">
            <w:pPr>
              <w:jc w:val="both"/>
              <w:rPr>
                <w:rFonts w:cs="Times New Roman"/>
                <w:sz w:val="20"/>
                <w:szCs w:val="20"/>
              </w:rPr>
            </w:pPr>
            <w:r w:rsidRPr="00644164">
              <w:rPr>
                <w:rFonts w:cs="Times New Roman"/>
                <w:sz w:val="20"/>
                <w:szCs w:val="20"/>
              </w:rPr>
              <w:t>GTATATCTCCTTCTTTATTACTATTGCGGGAATTGGTATAGCTAGCATTATACCT</w:t>
            </w:r>
          </w:p>
        </w:tc>
      </w:tr>
    </w:tbl>
    <w:p w14:paraId="4D9FD028" w14:textId="77777777" w:rsidR="001A3BDB" w:rsidRDefault="001A3BDB" w:rsidP="001A3BDB"/>
    <w:p w14:paraId="1ED82340" w14:textId="77777777" w:rsidR="00EB4A2D" w:rsidRDefault="00EB4A2D"/>
    <w:sectPr w:rsidR="00EB4A2D" w:rsidSect="001A3BDB">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DB"/>
    <w:rsid w:val="001A3BDB"/>
    <w:rsid w:val="001D3053"/>
    <w:rsid w:val="001E3A92"/>
    <w:rsid w:val="00217E67"/>
    <w:rsid w:val="002C7D54"/>
    <w:rsid w:val="0033371E"/>
    <w:rsid w:val="005C0D39"/>
    <w:rsid w:val="0070406C"/>
    <w:rsid w:val="00724754"/>
    <w:rsid w:val="007B36B1"/>
    <w:rsid w:val="008E7C5B"/>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7CD8"/>
  <w15:chartTrackingRefBased/>
  <w15:docId w15:val="{ACB5B18A-9DC6-4577-A482-06CF629A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BDB"/>
    <w:pPr>
      <w:spacing w:after="200" w:line="276" w:lineRule="auto"/>
    </w:pPr>
    <w:rPr>
      <w:rFonts w:ascii="Times New Roman" w:hAnsi="Times New Roman"/>
      <w:kern w:val="0"/>
      <w:sz w:val="22"/>
      <w:szCs w:val="22"/>
      <w:lang w:val="en-US"/>
      <w14:ligatures w14:val="none"/>
    </w:rPr>
  </w:style>
  <w:style w:type="paragraph" w:styleId="Heading1">
    <w:name w:val="heading 1"/>
    <w:basedOn w:val="Normal"/>
    <w:next w:val="Normal"/>
    <w:link w:val="Heading1Char"/>
    <w:uiPriority w:val="9"/>
    <w:qFormat/>
    <w:rsid w:val="001A3B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1A3B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1A3B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1A3BD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1A3BD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1A3BD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1A3BD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1A3BD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1A3BD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BDB"/>
    <w:rPr>
      <w:rFonts w:eastAsiaTheme="majorEastAsia" w:cstheme="majorBidi"/>
      <w:color w:val="272727" w:themeColor="text1" w:themeTint="D8"/>
    </w:rPr>
  </w:style>
  <w:style w:type="paragraph" w:styleId="Title">
    <w:name w:val="Title"/>
    <w:basedOn w:val="Normal"/>
    <w:next w:val="Normal"/>
    <w:link w:val="TitleChar"/>
    <w:uiPriority w:val="10"/>
    <w:qFormat/>
    <w:rsid w:val="001A3BDB"/>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1A3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B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1A3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BDB"/>
    <w:pPr>
      <w:spacing w:before="160" w:after="160" w:line="278" w:lineRule="auto"/>
      <w:jc w:val="center"/>
    </w:pPr>
    <w:rPr>
      <w:rFonts w:asciiTheme="minorHAnsi" w:hAnsi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1A3BDB"/>
    <w:rPr>
      <w:i/>
      <w:iCs/>
      <w:color w:val="404040" w:themeColor="text1" w:themeTint="BF"/>
    </w:rPr>
  </w:style>
  <w:style w:type="paragraph" w:styleId="ListParagraph">
    <w:name w:val="List Paragraph"/>
    <w:basedOn w:val="Normal"/>
    <w:uiPriority w:val="34"/>
    <w:qFormat/>
    <w:rsid w:val="001A3BDB"/>
    <w:pPr>
      <w:spacing w:after="160" w:line="278" w:lineRule="auto"/>
      <w:ind w:left="720"/>
      <w:contextualSpacing/>
    </w:pPr>
    <w:rPr>
      <w:rFonts w:asciiTheme="minorHAnsi" w:hAnsiTheme="minorHAnsi"/>
      <w:kern w:val="2"/>
      <w:sz w:val="24"/>
      <w:szCs w:val="24"/>
      <w:lang w:val="en-IN"/>
      <w14:ligatures w14:val="standardContextual"/>
    </w:rPr>
  </w:style>
  <w:style w:type="character" w:styleId="IntenseEmphasis">
    <w:name w:val="Intense Emphasis"/>
    <w:basedOn w:val="DefaultParagraphFont"/>
    <w:uiPriority w:val="21"/>
    <w:qFormat/>
    <w:rsid w:val="001A3BDB"/>
    <w:rPr>
      <w:i/>
      <w:iCs/>
      <w:color w:val="0F4761" w:themeColor="accent1" w:themeShade="BF"/>
    </w:rPr>
  </w:style>
  <w:style w:type="paragraph" w:styleId="IntenseQuote">
    <w:name w:val="Intense Quote"/>
    <w:basedOn w:val="Normal"/>
    <w:next w:val="Normal"/>
    <w:link w:val="IntenseQuoteChar"/>
    <w:uiPriority w:val="30"/>
    <w:qFormat/>
    <w:rsid w:val="001A3B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1A3BDB"/>
    <w:rPr>
      <w:i/>
      <w:iCs/>
      <w:color w:val="0F4761" w:themeColor="accent1" w:themeShade="BF"/>
    </w:rPr>
  </w:style>
  <w:style w:type="character" w:styleId="IntenseReference">
    <w:name w:val="Intense Reference"/>
    <w:basedOn w:val="DefaultParagraphFont"/>
    <w:uiPriority w:val="32"/>
    <w:qFormat/>
    <w:rsid w:val="001A3BDB"/>
    <w:rPr>
      <w:b/>
      <w:bCs/>
      <w:smallCaps/>
      <w:color w:val="0F4761" w:themeColor="accent1" w:themeShade="BF"/>
      <w:spacing w:val="5"/>
    </w:rPr>
  </w:style>
  <w:style w:type="table" w:styleId="TableGrid">
    <w:name w:val="Table Grid"/>
    <w:basedOn w:val="TableNormal"/>
    <w:uiPriority w:val="39"/>
    <w:rsid w:val="001A3BD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3BDB"/>
    <w:pPr>
      <w:spacing w:before="100" w:beforeAutospacing="1" w:after="100" w:afterAutospacing="1" w:line="240" w:lineRule="auto"/>
    </w:pPr>
    <w:rPr>
      <w:rFonts w:eastAsia="Times New Roman" w:cs="Times New Roman"/>
      <w:sz w:val="24"/>
      <w:szCs w:val="24"/>
      <w:lang w:eastAsia="en-GB"/>
    </w:rPr>
  </w:style>
  <w:style w:type="character" w:styleId="Strong">
    <w:name w:val="Strong"/>
    <w:basedOn w:val="DefaultParagraphFont"/>
    <w:uiPriority w:val="22"/>
    <w:qFormat/>
    <w:rsid w:val="001A3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2026-07-15T09:34:00Z</dcterms:created>
  <dcterms:modified xsi:type="dcterms:W3CDTF">2026-07-15T09:34:00Z</dcterms:modified>
</cp:coreProperties>
</file>