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BB82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center"/>
        <w:rPr>
          <w:rFonts w:hint="eastAsia" w:eastAsia="黑体"/>
          <w:b/>
          <w:bCs/>
          <w:lang w:val="en-US" w:eastAsia="zh-CN"/>
        </w:rPr>
      </w:pPr>
      <w:r>
        <w:rPr>
          <w:b/>
          <w:bCs/>
        </w:rPr>
        <w:t>Table S1.</w:t>
      </w:r>
      <w:r>
        <w:rPr>
          <w:rFonts w:hint="eastAsia"/>
          <w:b/>
          <w:bCs/>
          <w:lang w:val="en-US" w:eastAsia="zh-CN"/>
        </w:rPr>
        <w:t xml:space="preserve"> </w:t>
      </w:r>
      <w:r>
        <w:rPr>
          <w:rFonts w:hint="eastAsia" w:eastAsia="宋体" w:cs="Times New Roman"/>
          <w:b/>
          <w:bCs/>
          <w:i w:val="0"/>
          <w:iCs w:val="0"/>
          <w:caps w:val="0"/>
          <w:color w:val="000000"/>
          <w:spacing w:val="0"/>
          <w:kern w:val="0"/>
          <w:sz w:val="21"/>
          <w:szCs w:val="21"/>
          <w:shd w:val="clear" w:fill="FFFFFF"/>
          <w:lang w:val="en-US" w:eastAsia="zh-CN" w:bidi="ar"/>
        </w:rPr>
        <w:t>Subgroup analysis for cumulative HSI (per 1</w:t>
      </w:r>
      <w:r>
        <w:rPr>
          <w:rFonts w:hint="eastAsia" w:eastAsia="宋体" w:cs="Times New Roman"/>
          <w:b/>
          <w:bCs/>
          <w:i w:val="0"/>
          <w:iCs w:val="0"/>
          <w:caps w:val="0"/>
          <w:color w:val="000000"/>
          <w:spacing w:val="0"/>
          <w:kern w:val="0"/>
          <w:sz w:val="21"/>
          <w:szCs w:val="21"/>
          <w:shd w:val="clear" w:fill="FFFFFF"/>
          <w:lang w:val="en-US" w:eastAsia="zh-CN" w:bidi="ar"/>
        </w:rPr>
        <w:noBreakHyphen/>
      </w:r>
      <w:r>
        <w:rPr>
          <w:rFonts w:hint="eastAsia" w:eastAsia="宋体" w:cs="Times New Roman"/>
          <w:b/>
          <w:bCs/>
          <w:i w:val="0"/>
          <w:iCs w:val="0"/>
          <w:caps w:val="0"/>
          <w:color w:val="000000"/>
          <w:spacing w:val="0"/>
          <w:kern w:val="0"/>
          <w:sz w:val="21"/>
          <w:szCs w:val="21"/>
          <w:shd w:val="clear" w:fill="FFFFFF"/>
          <w:lang w:val="en-US" w:eastAsia="zh-CN" w:bidi="ar"/>
        </w:rPr>
        <w:t>SD increase)</w:t>
      </w:r>
    </w:p>
    <w:tbl>
      <w:tblPr>
        <w:tblStyle w:val="15"/>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17"/>
        <w:gridCol w:w="885"/>
        <w:gridCol w:w="1006"/>
        <w:gridCol w:w="2059"/>
        <w:gridCol w:w="1121"/>
        <w:gridCol w:w="1732"/>
      </w:tblGrid>
      <w:tr w14:paraId="7611E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717" w:type="dxa"/>
            <w:tcBorders>
              <w:top w:val="single" w:color="000000" w:sz="4" w:space="0"/>
              <w:left w:val="nil"/>
              <w:bottom w:val="single" w:color="000000" w:sz="4" w:space="0"/>
              <w:right w:val="nil"/>
            </w:tcBorders>
            <w:shd w:val="clear" w:color="auto" w:fill="auto"/>
            <w:vAlign w:val="center"/>
          </w:tcPr>
          <w:p w14:paraId="7A39E81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Subgroup</w:t>
            </w:r>
          </w:p>
        </w:tc>
        <w:tc>
          <w:tcPr>
            <w:tcW w:w="885" w:type="dxa"/>
            <w:tcBorders>
              <w:top w:val="single" w:color="000000" w:sz="4" w:space="0"/>
              <w:left w:val="nil"/>
              <w:bottom w:val="single" w:color="000000" w:sz="4" w:space="0"/>
              <w:right w:val="nil"/>
            </w:tcBorders>
            <w:shd w:val="clear" w:color="auto" w:fill="auto"/>
            <w:vAlign w:val="center"/>
          </w:tcPr>
          <w:p w14:paraId="76C6E4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N</w:t>
            </w:r>
          </w:p>
        </w:tc>
        <w:tc>
          <w:tcPr>
            <w:tcW w:w="1006" w:type="dxa"/>
            <w:tcBorders>
              <w:top w:val="single" w:color="000000" w:sz="4" w:space="0"/>
              <w:left w:val="nil"/>
              <w:bottom w:val="single" w:color="000000" w:sz="4" w:space="0"/>
              <w:right w:val="nil"/>
            </w:tcBorders>
            <w:shd w:val="clear" w:color="auto" w:fill="auto"/>
            <w:vAlign w:val="center"/>
          </w:tcPr>
          <w:p w14:paraId="56D9F2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Events</w:t>
            </w:r>
          </w:p>
        </w:tc>
        <w:tc>
          <w:tcPr>
            <w:tcW w:w="2059" w:type="dxa"/>
            <w:tcBorders>
              <w:top w:val="single" w:color="000000" w:sz="4" w:space="0"/>
              <w:left w:val="nil"/>
              <w:bottom w:val="single" w:color="000000" w:sz="4" w:space="0"/>
              <w:right w:val="nil"/>
            </w:tcBorders>
            <w:shd w:val="clear" w:color="auto" w:fill="auto"/>
            <w:vAlign w:val="center"/>
          </w:tcPr>
          <w:p w14:paraId="7353927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HR (95% CI)</w:t>
            </w:r>
          </w:p>
        </w:tc>
        <w:tc>
          <w:tcPr>
            <w:tcW w:w="1121" w:type="dxa"/>
            <w:tcBorders>
              <w:top w:val="single" w:color="000000" w:sz="4" w:space="0"/>
              <w:left w:val="nil"/>
              <w:bottom w:val="single" w:color="000000" w:sz="4" w:space="0"/>
              <w:right w:val="nil"/>
            </w:tcBorders>
            <w:shd w:val="clear" w:color="auto" w:fill="auto"/>
            <w:vAlign w:val="center"/>
          </w:tcPr>
          <w:p w14:paraId="65689AA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iCs/>
                <w:color w:val="000000"/>
                <w:sz w:val="22"/>
                <w:szCs w:val="23"/>
                <w:u w:val="none"/>
              </w:rPr>
            </w:pPr>
            <w:r>
              <w:rPr>
                <w:rFonts w:hint="default" w:ascii="Times New Roman" w:hAnsi="Times New Roman" w:eastAsia="宋体" w:cs="Times New Roman"/>
                <w:b/>
                <w:i/>
                <w:iCs/>
                <w:color w:val="000000"/>
                <w:kern w:val="0"/>
                <w:sz w:val="22"/>
                <w:szCs w:val="23"/>
                <w:u w:val="none"/>
                <w:lang w:val="en-US" w:eastAsia="zh-CN" w:bidi="ar"/>
              </w:rPr>
              <w:t>P</w:t>
            </w:r>
            <w:r>
              <w:rPr>
                <w:rFonts w:hint="default" w:ascii="Times New Roman" w:hAnsi="Times New Roman" w:eastAsia="宋体" w:cs="Times New Roman"/>
                <w:b/>
                <w:i w:val="0"/>
                <w:iCs w:val="0"/>
                <w:color w:val="000000"/>
                <w:kern w:val="0"/>
                <w:sz w:val="22"/>
                <w:szCs w:val="23"/>
                <w:u w:val="none"/>
                <w:lang w:val="en-US" w:eastAsia="zh-CN" w:bidi="ar"/>
              </w:rPr>
              <w:t xml:space="preserve"> value</w:t>
            </w:r>
          </w:p>
        </w:tc>
        <w:tc>
          <w:tcPr>
            <w:tcW w:w="1732" w:type="dxa"/>
            <w:tcBorders>
              <w:top w:val="single" w:color="000000" w:sz="4" w:space="0"/>
              <w:left w:val="nil"/>
              <w:bottom w:val="single" w:color="000000" w:sz="4" w:space="0"/>
              <w:right w:val="nil"/>
            </w:tcBorders>
            <w:shd w:val="clear" w:color="auto" w:fill="auto"/>
            <w:vAlign w:val="center"/>
          </w:tcPr>
          <w:p w14:paraId="2F745CE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3"/>
                <w:u w:val="none"/>
              </w:rPr>
            </w:pPr>
            <w:r>
              <w:rPr>
                <w:rFonts w:hint="default" w:ascii="Times New Roman" w:hAnsi="Times New Roman" w:eastAsia="宋体" w:cs="Times New Roman"/>
                <w:b/>
                <w:i w:val="0"/>
                <w:iCs w:val="0"/>
                <w:color w:val="000000"/>
                <w:kern w:val="0"/>
                <w:sz w:val="22"/>
                <w:szCs w:val="23"/>
                <w:u w:val="none"/>
                <w:lang w:val="en-US" w:eastAsia="zh-CN" w:bidi="ar"/>
              </w:rPr>
              <w:t xml:space="preserve">Interaction </w:t>
            </w:r>
            <w:r>
              <w:rPr>
                <w:rFonts w:hint="default" w:ascii="Times New Roman" w:hAnsi="Times New Roman" w:eastAsia="宋体" w:cs="Times New Roman"/>
                <w:b/>
                <w:i/>
                <w:iCs/>
                <w:color w:val="000000"/>
                <w:kern w:val="0"/>
                <w:sz w:val="22"/>
                <w:szCs w:val="23"/>
                <w:u w:val="none"/>
                <w:lang w:val="en-US" w:eastAsia="zh-CN" w:bidi="ar"/>
              </w:rPr>
              <w:t>P</w:t>
            </w:r>
          </w:p>
        </w:tc>
      </w:tr>
      <w:tr w14:paraId="7B89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7D82614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w:t>
            </w:r>
          </w:p>
        </w:tc>
        <w:tc>
          <w:tcPr>
            <w:tcW w:w="885" w:type="dxa"/>
            <w:tcBorders>
              <w:top w:val="nil"/>
              <w:left w:val="nil"/>
              <w:bottom w:val="nil"/>
              <w:right w:val="nil"/>
            </w:tcBorders>
            <w:shd w:val="clear" w:color="auto" w:fill="auto"/>
            <w:vAlign w:val="center"/>
          </w:tcPr>
          <w:p w14:paraId="6B5D047D">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006" w:type="dxa"/>
            <w:tcBorders>
              <w:top w:val="nil"/>
              <w:left w:val="nil"/>
              <w:bottom w:val="nil"/>
              <w:right w:val="nil"/>
            </w:tcBorders>
            <w:shd w:val="clear" w:color="auto" w:fill="auto"/>
            <w:vAlign w:val="center"/>
          </w:tcPr>
          <w:p w14:paraId="0CFE99F5">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2059" w:type="dxa"/>
            <w:tcBorders>
              <w:top w:val="nil"/>
              <w:left w:val="nil"/>
              <w:bottom w:val="nil"/>
              <w:right w:val="nil"/>
            </w:tcBorders>
            <w:shd w:val="clear" w:color="auto" w:fill="auto"/>
            <w:vAlign w:val="center"/>
          </w:tcPr>
          <w:p w14:paraId="0EBDE321">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121" w:type="dxa"/>
            <w:tcBorders>
              <w:top w:val="nil"/>
              <w:left w:val="nil"/>
              <w:bottom w:val="nil"/>
              <w:right w:val="nil"/>
            </w:tcBorders>
            <w:shd w:val="clear" w:color="auto" w:fill="auto"/>
            <w:vAlign w:val="center"/>
          </w:tcPr>
          <w:p w14:paraId="0ADF8F80">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732" w:type="dxa"/>
            <w:tcBorders>
              <w:top w:val="nil"/>
              <w:left w:val="nil"/>
              <w:bottom w:val="nil"/>
              <w:right w:val="nil"/>
            </w:tcBorders>
            <w:shd w:val="clear" w:color="auto" w:fill="auto"/>
            <w:vAlign w:val="center"/>
          </w:tcPr>
          <w:p w14:paraId="3E0860A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0.224</w:t>
            </w:r>
          </w:p>
        </w:tc>
      </w:tr>
      <w:tr w14:paraId="17ABA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06B65BB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&lt;60 years</w:t>
            </w:r>
          </w:p>
        </w:tc>
        <w:tc>
          <w:tcPr>
            <w:tcW w:w="885" w:type="dxa"/>
            <w:tcBorders>
              <w:top w:val="nil"/>
              <w:left w:val="nil"/>
              <w:bottom w:val="nil"/>
              <w:right w:val="nil"/>
            </w:tcBorders>
            <w:shd w:val="clear" w:color="auto" w:fill="auto"/>
            <w:vAlign w:val="center"/>
          </w:tcPr>
          <w:p w14:paraId="05B3AFC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3219</w:t>
            </w:r>
          </w:p>
        </w:tc>
        <w:tc>
          <w:tcPr>
            <w:tcW w:w="1006" w:type="dxa"/>
            <w:tcBorders>
              <w:top w:val="nil"/>
              <w:left w:val="nil"/>
              <w:bottom w:val="nil"/>
              <w:right w:val="nil"/>
            </w:tcBorders>
            <w:shd w:val="clear" w:color="auto" w:fill="auto"/>
            <w:vAlign w:val="center"/>
          </w:tcPr>
          <w:p w14:paraId="57F2394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2059" w:type="dxa"/>
            <w:tcBorders>
              <w:top w:val="nil"/>
              <w:left w:val="nil"/>
              <w:bottom w:val="nil"/>
              <w:right w:val="nil"/>
            </w:tcBorders>
            <w:shd w:val="clear" w:color="auto" w:fill="auto"/>
            <w:vAlign w:val="center"/>
          </w:tcPr>
          <w:p w14:paraId="4ACFF41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 (1.17–1.45)</w:t>
            </w:r>
          </w:p>
        </w:tc>
        <w:tc>
          <w:tcPr>
            <w:tcW w:w="1121" w:type="dxa"/>
            <w:tcBorders>
              <w:top w:val="nil"/>
              <w:left w:val="nil"/>
              <w:bottom w:val="nil"/>
              <w:right w:val="nil"/>
            </w:tcBorders>
            <w:shd w:val="clear" w:color="auto" w:fill="auto"/>
            <w:vAlign w:val="center"/>
          </w:tcPr>
          <w:p w14:paraId="3CC2BF0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732" w:type="dxa"/>
            <w:tcBorders>
              <w:top w:val="nil"/>
              <w:left w:val="nil"/>
              <w:bottom w:val="nil"/>
              <w:right w:val="nil"/>
            </w:tcBorders>
            <w:shd w:val="clear" w:color="auto" w:fill="auto"/>
            <w:noWrap/>
            <w:vAlign w:val="center"/>
          </w:tcPr>
          <w:p w14:paraId="3649D063">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11065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3B2B046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 years</w:t>
            </w:r>
          </w:p>
        </w:tc>
        <w:tc>
          <w:tcPr>
            <w:tcW w:w="885" w:type="dxa"/>
            <w:tcBorders>
              <w:top w:val="nil"/>
              <w:left w:val="nil"/>
              <w:bottom w:val="nil"/>
              <w:right w:val="nil"/>
            </w:tcBorders>
            <w:shd w:val="clear" w:color="auto" w:fill="auto"/>
            <w:vAlign w:val="center"/>
          </w:tcPr>
          <w:p w14:paraId="02118A2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2522</w:t>
            </w:r>
          </w:p>
        </w:tc>
        <w:tc>
          <w:tcPr>
            <w:tcW w:w="1006" w:type="dxa"/>
            <w:tcBorders>
              <w:top w:val="nil"/>
              <w:left w:val="nil"/>
              <w:bottom w:val="nil"/>
              <w:right w:val="nil"/>
            </w:tcBorders>
            <w:shd w:val="clear" w:color="auto" w:fill="auto"/>
            <w:vAlign w:val="center"/>
          </w:tcPr>
          <w:p w14:paraId="0C7143E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2059" w:type="dxa"/>
            <w:tcBorders>
              <w:top w:val="nil"/>
              <w:left w:val="nil"/>
              <w:bottom w:val="nil"/>
              <w:right w:val="nil"/>
            </w:tcBorders>
            <w:shd w:val="clear" w:color="auto" w:fill="auto"/>
            <w:vAlign w:val="center"/>
          </w:tcPr>
          <w:p w14:paraId="2EE2D87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 (1.08–1.33)</w:t>
            </w:r>
          </w:p>
        </w:tc>
        <w:tc>
          <w:tcPr>
            <w:tcW w:w="1121" w:type="dxa"/>
            <w:tcBorders>
              <w:top w:val="nil"/>
              <w:left w:val="nil"/>
              <w:bottom w:val="nil"/>
              <w:right w:val="nil"/>
            </w:tcBorders>
            <w:shd w:val="clear" w:color="auto" w:fill="auto"/>
            <w:vAlign w:val="center"/>
          </w:tcPr>
          <w:p w14:paraId="56E4CA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732" w:type="dxa"/>
            <w:tcBorders>
              <w:top w:val="nil"/>
              <w:left w:val="nil"/>
              <w:bottom w:val="nil"/>
              <w:right w:val="nil"/>
            </w:tcBorders>
            <w:shd w:val="clear" w:color="auto" w:fill="auto"/>
            <w:vAlign w:val="center"/>
          </w:tcPr>
          <w:p w14:paraId="09887392">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40B0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3B89696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Sex</w:t>
            </w:r>
          </w:p>
        </w:tc>
        <w:tc>
          <w:tcPr>
            <w:tcW w:w="885" w:type="dxa"/>
            <w:tcBorders>
              <w:top w:val="nil"/>
              <w:left w:val="nil"/>
              <w:bottom w:val="nil"/>
              <w:right w:val="nil"/>
            </w:tcBorders>
            <w:shd w:val="clear" w:color="auto" w:fill="auto"/>
            <w:vAlign w:val="center"/>
          </w:tcPr>
          <w:p w14:paraId="196DAD13">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006" w:type="dxa"/>
            <w:tcBorders>
              <w:top w:val="nil"/>
              <w:left w:val="nil"/>
              <w:bottom w:val="nil"/>
              <w:right w:val="nil"/>
            </w:tcBorders>
            <w:shd w:val="clear" w:color="auto" w:fill="auto"/>
            <w:vAlign w:val="center"/>
          </w:tcPr>
          <w:p w14:paraId="11164DE7">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2059" w:type="dxa"/>
            <w:tcBorders>
              <w:top w:val="nil"/>
              <w:left w:val="nil"/>
              <w:bottom w:val="nil"/>
              <w:right w:val="nil"/>
            </w:tcBorders>
            <w:shd w:val="clear" w:color="auto" w:fill="auto"/>
            <w:vAlign w:val="center"/>
          </w:tcPr>
          <w:p w14:paraId="51D3A520">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121" w:type="dxa"/>
            <w:tcBorders>
              <w:top w:val="nil"/>
              <w:left w:val="nil"/>
              <w:bottom w:val="nil"/>
              <w:right w:val="nil"/>
            </w:tcBorders>
            <w:shd w:val="clear" w:color="auto" w:fill="auto"/>
            <w:vAlign w:val="center"/>
          </w:tcPr>
          <w:p w14:paraId="025EA9D8">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732" w:type="dxa"/>
            <w:tcBorders>
              <w:top w:val="nil"/>
              <w:left w:val="nil"/>
              <w:bottom w:val="nil"/>
              <w:right w:val="nil"/>
            </w:tcBorders>
            <w:shd w:val="clear" w:color="auto" w:fill="auto"/>
            <w:vAlign w:val="center"/>
          </w:tcPr>
          <w:p w14:paraId="2C4464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0.631</w:t>
            </w:r>
          </w:p>
        </w:tc>
      </w:tr>
      <w:tr w14:paraId="733F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0DA548E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Female</w:t>
            </w:r>
          </w:p>
        </w:tc>
        <w:tc>
          <w:tcPr>
            <w:tcW w:w="885" w:type="dxa"/>
            <w:tcBorders>
              <w:top w:val="nil"/>
              <w:left w:val="nil"/>
              <w:bottom w:val="nil"/>
              <w:right w:val="nil"/>
            </w:tcBorders>
            <w:shd w:val="clear" w:color="auto" w:fill="auto"/>
            <w:vAlign w:val="center"/>
          </w:tcPr>
          <w:p w14:paraId="0CC644C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3168</w:t>
            </w:r>
          </w:p>
        </w:tc>
        <w:tc>
          <w:tcPr>
            <w:tcW w:w="1006" w:type="dxa"/>
            <w:tcBorders>
              <w:top w:val="nil"/>
              <w:left w:val="nil"/>
              <w:bottom w:val="nil"/>
              <w:right w:val="nil"/>
            </w:tcBorders>
            <w:shd w:val="clear" w:color="auto" w:fill="auto"/>
            <w:vAlign w:val="center"/>
          </w:tcPr>
          <w:p w14:paraId="3A9C158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w:t>
            </w:r>
          </w:p>
        </w:tc>
        <w:tc>
          <w:tcPr>
            <w:tcW w:w="2059" w:type="dxa"/>
            <w:tcBorders>
              <w:top w:val="nil"/>
              <w:left w:val="nil"/>
              <w:bottom w:val="nil"/>
              <w:right w:val="nil"/>
            </w:tcBorders>
            <w:shd w:val="clear" w:color="auto" w:fill="auto"/>
            <w:vAlign w:val="center"/>
          </w:tcPr>
          <w:p w14:paraId="5D3DF92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 (1.12–1.35)</w:t>
            </w:r>
          </w:p>
        </w:tc>
        <w:tc>
          <w:tcPr>
            <w:tcW w:w="1121" w:type="dxa"/>
            <w:tcBorders>
              <w:top w:val="nil"/>
              <w:left w:val="nil"/>
              <w:bottom w:val="nil"/>
              <w:right w:val="nil"/>
            </w:tcBorders>
            <w:shd w:val="clear" w:color="auto" w:fill="auto"/>
            <w:vAlign w:val="center"/>
          </w:tcPr>
          <w:p w14:paraId="2FA1254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732" w:type="dxa"/>
            <w:tcBorders>
              <w:top w:val="nil"/>
              <w:left w:val="nil"/>
              <w:bottom w:val="nil"/>
              <w:right w:val="nil"/>
            </w:tcBorders>
            <w:shd w:val="clear" w:color="auto" w:fill="auto"/>
            <w:noWrap/>
            <w:vAlign w:val="center"/>
          </w:tcPr>
          <w:p w14:paraId="4C147617">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0FFE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1BD6A22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Male</w:t>
            </w:r>
          </w:p>
        </w:tc>
        <w:tc>
          <w:tcPr>
            <w:tcW w:w="885" w:type="dxa"/>
            <w:tcBorders>
              <w:top w:val="nil"/>
              <w:left w:val="nil"/>
              <w:bottom w:val="nil"/>
              <w:right w:val="nil"/>
            </w:tcBorders>
            <w:shd w:val="clear" w:color="auto" w:fill="auto"/>
            <w:vAlign w:val="center"/>
          </w:tcPr>
          <w:p w14:paraId="24200BF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2573</w:t>
            </w:r>
          </w:p>
        </w:tc>
        <w:tc>
          <w:tcPr>
            <w:tcW w:w="1006" w:type="dxa"/>
            <w:tcBorders>
              <w:top w:val="nil"/>
              <w:left w:val="nil"/>
              <w:bottom w:val="nil"/>
              <w:right w:val="nil"/>
            </w:tcBorders>
            <w:shd w:val="clear" w:color="auto" w:fill="auto"/>
            <w:vAlign w:val="center"/>
          </w:tcPr>
          <w:p w14:paraId="2B70A31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2059" w:type="dxa"/>
            <w:tcBorders>
              <w:top w:val="nil"/>
              <w:left w:val="nil"/>
              <w:bottom w:val="nil"/>
              <w:right w:val="nil"/>
            </w:tcBorders>
            <w:shd w:val="clear" w:color="auto" w:fill="auto"/>
            <w:vAlign w:val="center"/>
          </w:tcPr>
          <w:p w14:paraId="77ED176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 (1.09–1.41)</w:t>
            </w:r>
          </w:p>
        </w:tc>
        <w:tc>
          <w:tcPr>
            <w:tcW w:w="1121" w:type="dxa"/>
            <w:tcBorders>
              <w:top w:val="nil"/>
              <w:left w:val="nil"/>
              <w:bottom w:val="nil"/>
              <w:right w:val="nil"/>
            </w:tcBorders>
            <w:shd w:val="clear" w:color="auto" w:fill="auto"/>
            <w:vAlign w:val="center"/>
          </w:tcPr>
          <w:p w14:paraId="10E42B2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732" w:type="dxa"/>
            <w:tcBorders>
              <w:top w:val="nil"/>
              <w:left w:val="nil"/>
              <w:bottom w:val="nil"/>
              <w:right w:val="nil"/>
            </w:tcBorders>
            <w:shd w:val="clear" w:color="auto" w:fill="auto"/>
            <w:vAlign w:val="center"/>
          </w:tcPr>
          <w:p w14:paraId="2F2EFA80">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27D1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4E0387D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885" w:type="dxa"/>
            <w:tcBorders>
              <w:top w:val="nil"/>
              <w:left w:val="nil"/>
              <w:bottom w:val="nil"/>
              <w:right w:val="nil"/>
            </w:tcBorders>
            <w:shd w:val="clear" w:color="auto" w:fill="auto"/>
            <w:vAlign w:val="center"/>
          </w:tcPr>
          <w:p w14:paraId="0B94EDA3">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006" w:type="dxa"/>
            <w:tcBorders>
              <w:top w:val="nil"/>
              <w:left w:val="nil"/>
              <w:bottom w:val="nil"/>
              <w:right w:val="nil"/>
            </w:tcBorders>
            <w:shd w:val="clear" w:color="auto" w:fill="auto"/>
            <w:vAlign w:val="center"/>
          </w:tcPr>
          <w:p w14:paraId="369E7EA5">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2059" w:type="dxa"/>
            <w:tcBorders>
              <w:top w:val="nil"/>
              <w:left w:val="nil"/>
              <w:bottom w:val="nil"/>
              <w:right w:val="nil"/>
            </w:tcBorders>
            <w:shd w:val="clear" w:color="auto" w:fill="auto"/>
            <w:vAlign w:val="center"/>
          </w:tcPr>
          <w:p w14:paraId="1CE6DDCF">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121" w:type="dxa"/>
            <w:tcBorders>
              <w:top w:val="nil"/>
              <w:left w:val="nil"/>
              <w:bottom w:val="nil"/>
              <w:right w:val="nil"/>
            </w:tcBorders>
            <w:shd w:val="clear" w:color="auto" w:fill="auto"/>
            <w:vAlign w:val="center"/>
          </w:tcPr>
          <w:p w14:paraId="3F4CD141">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732" w:type="dxa"/>
            <w:tcBorders>
              <w:top w:val="nil"/>
              <w:left w:val="nil"/>
              <w:bottom w:val="nil"/>
              <w:right w:val="nil"/>
            </w:tcBorders>
            <w:shd w:val="clear" w:color="auto" w:fill="auto"/>
            <w:vAlign w:val="center"/>
          </w:tcPr>
          <w:p w14:paraId="7E4B80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0.251</w:t>
            </w:r>
          </w:p>
        </w:tc>
      </w:tr>
      <w:tr w14:paraId="4CB2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4D46C53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w:t>
            </w:r>
          </w:p>
        </w:tc>
        <w:tc>
          <w:tcPr>
            <w:tcW w:w="885" w:type="dxa"/>
            <w:tcBorders>
              <w:top w:val="nil"/>
              <w:left w:val="nil"/>
              <w:bottom w:val="nil"/>
              <w:right w:val="nil"/>
            </w:tcBorders>
            <w:shd w:val="clear" w:color="auto" w:fill="auto"/>
            <w:vAlign w:val="center"/>
          </w:tcPr>
          <w:p w14:paraId="3BC99FA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3098</w:t>
            </w:r>
          </w:p>
        </w:tc>
        <w:tc>
          <w:tcPr>
            <w:tcW w:w="1006" w:type="dxa"/>
            <w:tcBorders>
              <w:top w:val="nil"/>
              <w:left w:val="nil"/>
              <w:bottom w:val="nil"/>
              <w:right w:val="nil"/>
            </w:tcBorders>
            <w:shd w:val="clear" w:color="auto" w:fill="auto"/>
            <w:vAlign w:val="center"/>
          </w:tcPr>
          <w:p w14:paraId="4A567B0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2059" w:type="dxa"/>
            <w:tcBorders>
              <w:top w:val="nil"/>
              <w:left w:val="nil"/>
              <w:bottom w:val="nil"/>
              <w:right w:val="nil"/>
            </w:tcBorders>
            <w:shd w:val="clear" w:color="auto" w:fill="auto"/>
            <w:vAlign w:val="center"/>
          </w:tcPr>
          <w:p w14:paraId="0E0DCA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 (1.09–1.49)</w:t>
            </w:r>
          </w:p>
        </w:tc>
        <w:tc>
          <w:tcPr>
            <w:tcW w:w="1121" w:type="dxa"/>
            <w:tcBorders>
              <w:top w:val="nil"/>
              <w:left w:val="nil"/>
              <w:bottom w:val="nil"/>
              <w:right w:val="nil"/>
            </w:tcBorders>
            <w:shd w:val="clear" w:color="auto" w:fill="auto"/>
            <w:vAlign w:val="center"/>
          </w:tcPr>
          <w:p w14:paraId="4D49050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w:t>
            </w:r>
          </w:p>
        </w:tc>
        <w:tc>
          <w:tcPr>
            <w:tcW w:w="1732" w:type="dxa"/>
            <w:tcBorders>
              <w:top w:val="nil"/>
              <w:left w:val="nil"/>
              <w:bottom w:val="nil"/>
              <w:right w:val="nil"/>
            </w:tcBorders>
            <w:shd w:val="clear" w:color="auto" w:fill="auto"/>
            <w:noWrap/>
            <w:vAlign w:val="center"/>
          </w:tcPr>
          <w:p w14:paraId="1DCB9CB9">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22647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03EB1B6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885" w:type="dxa"/>
            <w:tcBorders>
              <w:top w:val="nil"/>
              <w:left w:val="nil"/>
              <w:bottom w:val="nil"/>
              <w:right w:val="nil"/>
            </w:tcBorders>
            <w:shd w:val="clear" w:color="auto" w:fill="auto"/>
            <w:vAlign w:val="center"/>
          </w:tcPr>
          <w:p w14:paraId="08860F3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2643</w:t>
            </w:r>
          </w:p>
        </w:tc>
        <w:tc>
          <w:tcPr>
            <w:tcW w:w="1006" w:type="dxa"/>
            <w:tcBorders>
              <w:top w:val="nil"/>
              <w:left w:val="nil"/>
              <w:bottom w:val="nil"/>
              <w:right w:val="nil"/>
            </w:tcBorders>
            <w:shd w:val="clear" w:color="auto" w:fill="auto"/>
            <w:vAlign w:val="center"/>
          </w:tcPr>
          <w:p w14:paraId="361CED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w:t>
            </w:r>
          </w:p>
        </w:tc>
        <w:tc>
          <w:tcPr>
            <w:tcW w:w="2059" w:type="dxa"/>
            <w:tcBorders>
              <w:top w:val="nil"/>
              <w:left w:val="nil"/>
              <w:bottom w:val="nil"/>
              <w:right w:val="nil"/>
            </w:tcBorders>
            <w:shd w:val="clear" w:color="auto" w:fill="auto"/>
            <w:vAlign w:val="center"/>
          </w:tcPr>
          <w:p w14:paraId="6D443C4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 (1.05–1.28)</w:t>
            </w:r>
          </w:p>
        </w:tc>
        <w:tc>
          <w:tcPr>
            <w:tcW w:w="1121" w:type="dxa"/>
            <w:tcBorders>
              <w:top w:val="nil"/>
              <w:left w:val="nil"/>
              <w:bottom w:val="nil"/>
              <w:right w:val="nil"/>
            </w:tcBorders>
            <w:shd w:val="clear" w:color="auto" w:fill="auto"/>
            <w:vAlign w:val="center"/>
          </w:tcPr>
          <w:p w14:paraId="3596262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0.004</w:t>
            </w:r>
          </w:p>
        </w:tc>
        <w:tc>
          <w:tcPr>
            <w:tcW w:w="1732" w:type="dxa"/>
            <w:tcBorders>
              <w:top w:val="nil"/>
              <w:left w:val="nil"/>
              <w:bottom w:val="nil"/>
              <w:right w:val="nil"/>
            </w:tcBorders>
            <w:shd w:val="clear" w:color="auto" w:fill="auto"/>
            <w:vAlign w:val="center"/>
          </w:tcPr>
          <w:p w14:paraId="055F5764">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4949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793C017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Diabetes</w:t>
            </w:r>
          </w:p>
        </w:tc>
        <w:tc>
          <w:tcPr>
            <w:tcW w:w="885" w:type="dxa"/>
            <w:tcBorders>
              <w:top w:val="nil"/>
              <w:left w:val="nil"/>
              <w:bottom w:val="nil"/>
              <w:right w:val="nil"/>
            </w:tcBorders>
            <w:shd w:val="clear" w:color="auto" w:fill="auto"/>
            <w:vAlign w:val="center"/>
          </w:tcPr>
          <w:p w14:paraId="6DB772A3">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006" w:type="dxa"/>
            <w:tcBorders>
              <w:top w:val="nil"/>
              <w:left w:val="nil"/>
              <w:bottom w:val="nil"/>
              <w:right w:val="nil"/>
            </w:tcBorders>
            <w:shd w:val="clear" w:color="auto" w:fill="auto"/>
            <w:vAlign w:val="center"/>
          </w:tcPr>
          <w:p w14:paraId="24AC9B1D">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2059" w:type="dxa"/>
            <w:tcBorders>
              <w:top w:val="nil"/>
              <w:left w:val="nil"/>
              <w:bottom w:val="nil"/>
              <w:right w:val="nil"/>
            </w:tcBorders>
            <w:shd w:val="clear" w:color="auto" w:fill="auto"/>
            <w:vAlign w:val="center"/>
          </w:tcPr>
          <w:p w14:paraId="418E9552">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121" w:type="dxa"/>
            <w:tcBorders>
              <w:top w:val="nil"/>
              <w:left w:val="nil"/>
              <w:bottom w:val="nil"/>
              <w:right w:val="nil"/>
            </w:tcBorders>
            <w:shd w:val="clear" w:color="auto" w:fill="auto"/>
            <w:vAlign w:val="center"/>
          </w:tcPr>
          <w:p w14:paraId="36D31683">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c>
          <w:tcPr>
            <w:tcW w:w="1732" w:type="dxa"/>
            <w:tcBorders>
              <w:top w:val="nil"/>
              <w:left w:val="nil"/>
              <w:bottom w:val="nil"/>
              <w:right w:val="nil"/>
            </w:tcBorders>
            <w:shd w:val="clear" w:color="auto" w:fill="auto"/>
            <w:vAlign w:val="center"/>
          </w:tcPr>
          <w:p w14:paraId="5B4865C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0.103</w:t>
            </w:r>
          </w:p>
        </w:tc>
      </w:tr>
      <w:tr w14:paraId="607E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nil"/>
              <w:right w:val="nil"/>
            </w:tcBorders>
            <w:shd w:val="clear" w:color="auto" w:fill="auto"/>
            <w:vAlign w:val="center"/>
          </w:tcPr>
          <w:p w14:paraId="6C64075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w:t>
            </w:r>
          </w:p>
        </w:tc>
        <w:tc>
          <w:tcPr>
            <w:tcW w:w="885" w:type="dxa"/>
            <w:tcBorders>
              <w:top w:val="nil"/>
              <w:left w:val="nil"/>
              <w:bottom w:val="nil"/>
              <w:right w:val="nil"/>
            </w:tcBorders>
            <w:shd w:val="clear" w:color="auto" w:fill="auto"/>
            <w:vAlign w:val="center"/>
          </w:tcPr>
          <w:p w14:paraId="56AA950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4928</w:t>
            </w:r>
          </w:p>
        </w:tc>
        <w:tc>
          <w:tcPr>
            <w:tcW w:w="1006" w:type="dxa"/>
            <w:tcBorders>
              <w:top w:val="nil"/>
              <w:left w:val="nil"/>
              <w:bottom w:val="nil"/>
              <w:right w:val="nil"/>
            </w:tcBorders>
            <w:shd w:val="clear" w:color="auto" w:fill="auto"/>
            <w:vAlign w:val="center"/>
          </w:tcPr>
          <w:p w14:paraId="40E727A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392</w:t>
            </w:r>
          </w:p>
        </w:tc>
        <w:tc>
          <w:tcPr>
            <w:tcW w:w="2059" w:type="dxa"/>
            <w:tcBorders>
              <w:top w:val="nil"/>
              <w:left w:val="nil"/>
              <w:bottom w:val="nil"/>
              <w:right w:val="nil"/>
            </w:tcBorders>
            <w:shd w:val="clear" w:color="auto" w:fill="auto"/>
            <w:vAlign w:val="center"/>
          </w:tcPr>
          <w:p w14:paraId="0EB0F7D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 (1.21–1.56)</w:t>
            </w:r>
          </w:p>
        </w:tc>
        <w:tc>
          <w:tcPr>
            <w:tcW w:w="1121" w:type="dxa"/>
            <w:tcBorders>
              <w:top w:val="nil"/>
              <w:left w:val="nil"/>
              <w:bottom w:val="nil"/>
              <w:right w:val="nil"/>
            </w:tcBorders>
            <w:shd w:val="clear" w:color="auto" w:fill="auto"/>
            <w:vAlign w:val="center"/>
          </w:tcPr>
          <w:p w14:paraId="0C118FB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732" w:type="dxa"/>
            <w:tcBorders>
              <w:top w:val="nil"/>
              <w:left w:val="nil"/>
              <w:bottom w:val="nil"/>
              <w:right w:val="nil"/>
            </w:tcBorders>
            <w:shd w:val="clear" w:color="auto" w:fill="auto"/>
            <w:noWrap/>
            <w:vAlign w:val="center"/>
          </w:tcPr>
          <w:p w14:paraId="1CE9B366">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r w14:paraId="1044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17" w:type="dxa"/>
            <w:tcBorders>
              <w:top w:val="nil"/>
              <w:left w:val="nil"/>
              <w:bottom w:val="single" w:color="000000" w:sz="4" w:space="0"/>
              <w:right w:val="nil"/>
            </w:tcBorders>
            <w:shd w:val="clear" w:color="auto" w:fill="auto"/>
            <w:vAlign w:val="center"/>
          </w:tcPr>
          <w:p w14:paraId="0148412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885" w:type="dxa"/>
            <w:tcBorders>
              <w:top w:val="nil"/>
              <w:left w:val="nil"/>
              <w:bottom w:val="single" w:color="000000" w:sz="4" w:space="0"/>
              <w:right w:val="nil"/>
            </w:tcBorders>
            <w:shd w:val="clear" w:color="auto" w:fill="auto"/>
            <w:vAlign w:val="center"/>
          </w:tcPr>
          <w:p w14:paraId="1A9744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813</w:t>
            </w:r>
          </w:p>
        </w:tc>
        <w:tc>
          <w:tcPr>
            <w:tcW w:w="1006" w:type="dxa"/>
            <w:tcBorders>
              <w:top w:val="nil"/>
              <w:left w:val="nil"/>
              <w:bottom w:val="single" w:color="000000" w:sz="4" w:space="0"/>
              <w:right w:val="nil"/>
            </w:tcBorders>
            <w:shd w:val="clear" w:color="auto" w:fill="auto"/>
            <w:vAlign w:val="center"/>
          </w:tcPr>
          <w:p w14:paraId="3E63B4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2059" w:type="dxa"/>
            <w:tcBorders>
              <w:top w:val="nil"/>
              <w:left w:val="nil"/>
              <w:bottom w:val="single" w:color="000000" w:sz="4" w:space="0"/>
              <w:right w:val="nil"/>
            </w:tcBorders>
            <w:shd w:val="clear" w:color="auto" w:fill="auto"/>
            <w:vAlign w:val="center"/>
          </w:tcPr>
          <w:p w14:paraId="33E8B1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 (1.07–1.37)</w:t>
            </w:r>
          </w:p>
        </w:tc>
        <w:tc>
          <w:tcPr>
            <w:tcW w:w="1121" w:type="dxa"/>
            <w:tcBorders>
              <w:top w:val="nil"/>
              <w:left w:val="nil"/>
              <w:bottom w:val="single" w:color="000000" w:sz="4" w:space="0"/>
              <w:right w:val="nil"/>
            </w:tcBorders>
            <w:shd w:val="clear" w:color="auto" w:fill="auto"/>
            <w:vAlign w:val="center"/>
          </w:tcPr>
          <w:p w14:paraId="7B8DE93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1732" w:type="dxa"/>
            <w:tcBorders>
              <w:top w:val="nil"/>
              <w:left w:val="nil"/>
              <w:bottom w:val="single" w:color="000000" w:sz="4" w:space="0"/>
              <w:right w:val="nil"/>
            </w:tcBorders>
            <w:shd w:val="clear" w:color="auto" w:fill="auto"/>
            <w:vAlign w:val="center"/>
          </w:tcPr>
          <w:p w14:paraId="0F7BFE99">
            <w:pPr>
              <w:snapToGrid w:val="0"/>
              <w:ind w:left="0" w:leftChars="0" w:right="0" w:rightChars="0" w:firstLine="0" w:firstLineChars="0"/>
              <w:jc w:val="center"/>
              <w:rPr>
                <w:rFonts w:hint="default" w:ascii="Times New Roman" w:hAnsi="Times New Roman" w:eastAsia="宋体" w:cs="Times New Roman"/>
                <w:i w:val="0"/>
                <w:iCs w:val="0"/>
                <w:color w:val="000000"/>
                <w:sz w:val="22"/>
                <w:szCs w:val="22"/>
                <w:u w:val="none"/>
              </w:rPr>
            </w:pPr>
          </w:p>
        </w:tc>
      </w:tr>
    </w:tbl>
    <w:p w14:paraId="7F76246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r>
        <w:t>Models adjusted for age, gender, rural residence, education, smoking, drinking, BMI, dyslipidemia, and heart disease.</w:t>
      </w:r>
      <w:r>
        <w:rPr>
          <w:rFonts w:hint="eastAsia"/>
          <w:lang w:val="en-US" w:eastAsia="zh-CN"/>
        </w:rPr>
        <w:t xml:space="preserve"> </w:t>
      </w:r>
      <w:r>
        <w:rPr>
          <w:rFonts w:hint="default"/>
          <w:lang w:val="en-US" w:eastAsia="zh-CN"/>
        </w:rPr>
        <w:t>Abbreviations: HR, hazard ratio; CI, confidence interval; HSI, hemoglobin A1c-systolic blood pressure index</w:t>
      </w:r>
      <w:r>
        <w:rPr>
          <w:rFonts w:hint="default" w:cs="Times New Roman"/>
          <w:i w:val="0"/>
          <w:iCs w:val="0"/>
          <w:caps w:val="0"/>
          <w:color w:val="000000"/>
          <w:spacing w:val="0"/>
          <w:sz w:val="21"/>
          <w:szCs w:val="21"/>
          <w:shd w:val="clear" w:fill="FFFFFF"/>
          <w:lang w:val="en-US" w:eastAsia="zh-CN"/>
        </w:rPr>
        <w:t>.</w:t>
      </w:r>
    </w:p>
    <w:p w14:paraId="2B6D46B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7E766F7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2"/>
          <w:szCs w:val="22"/>
          <w:u w:val="none"/>
        </w:rPr>
      </w:pPr>
    </w:p>
    <w:p w14:paraId="1D29E6A7">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Table S2.</w:t>
      </w:r>
      <w:r>
        <w:rPr>
          <w:rFonts w:hint="eastAsia"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Fine</w:t>
      </w:r>
      <w:r>
        <w:rPr>
          <w:rFonts w:hint="default" w:ascii="Times New Roman" w:hAnsi="Times New Roman" w:eastAsia="宋体" w:cs="Times New Roman"/>
          <w:b/>
          <w:bCs/>
          <w:i w:val="0"/>
          <w:iCs w:val="0"/>
          <w:color w:val="000000"/>
          <w:kern w:val="0"/>
          <w:sz w:val="22"/>
          <w:szCs w:val="22"/>
          <w:u w:val="none"/>
          <w:lang w:val="en-US" w:eastAsia="zh-CN" w:bidi="ar"/>
        </w:rPr>
        <w:noBreakHyphen/>
      </w:r>
      <w:r>
        <w:rPr>
          <w:rFonts w:hint="default" w:ascii="Times New Roman" w:hAnsi="Times New Roman" w:eastAsia="宋体" w:cs="Times New Roman"/>
          <w:b/>
          <w:bCs/>
          <w:i w:val="0"/>
          <w:iCs w:val="0"/>
          <w:color w:val="000000"/>
          <w:kern w:val="0"/>
          <w:sz w:val="22"/>
          <w:szCs w:val="22"/>
          <w:u w:val="none"/>
          <w:lang w:val="en-US" w:eastAsia="zh-CN" w:bidi="ar"/>
        </w:rPr>
        <w:t>Gray sub</w:t>
      </w:r>
      <w:r>
        <w:rPr>
          <w:rFonts w:hint="eastAsia" w:eastAsia="宋体" w:cs="Times New Roman"/>
          <w:b/>
          <w:bCs/>
          <w:i w:val="0"/>
          <w:iCs w:val="0"/>
          <w:color w:val="000000"/>
          <w:kern w:val="0"/>
          <w:sz w:val="22"/>
          <w:szCs w:val="22"/>
          <w:u w:val="none"/>
          <w:lang w:val="en-US" w:eastAsia="zh-CN" w:bidi="ar"/>
        </w:rPr>
        <w:t>-</w:t>
      </w:r>
      <w:r>
        <w:rPr>
          <w:rFonts w:hint="default" w:ascii="Times New Roman" w:hAnsi="Times New Roman" w:eastAsia="宋体" w:cs="Times New Roman"/>
          <w:b/>
          <w:bCs/>
          <w:i w:val="0"/>
          <w:iCs w:val="0"/>
          <w:color w:val="000000"/>
          <w:kern w:val="0"/>
          <w:sz w:val="22"/>
          <w:szCs w:val="22"/>
          <w:u w:val="none"/>
          <w:lang w:val="en-US" w:eastAsia="zh-CN" w:bidi="ar"/>
        </w:rPr>
        <w:t>distribution hazard models for incident stroke (competing risk of death)</w:t>
      </w:r>
    </w:p>
    <w:tbl>
      <w:tblPr>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28"/>
        <w:gridCol w:w="2596"/>
        <w:gridCol w:w="2371"/>
        <w:gridCol w:w="1224"/>
      </w:tblGrid>
      <w:tr w14:paraId="3A75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328" w:type="dxa"/>
            <w:tcBorders>
              <w:top w:val="single" w:color="000000" w:sz="4" w:space="0"/>
              <w:left w:val="nil"/>
              <w:bottom w:val="single" w:color="000000" w:sz="4" w:space="0"/>
              <w:right w:val="nil"/>
            </w:tcBorders>
            <w:shd w:val="clear" w:color="auto" w:fill="FFFFFF"/>
            <w:vAlign w:val="center"/>
          </w:tcPr>
          <w:p w14:paraId="6A76906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Analysis</w:t>
            </w:r>
          </w:p>
        </w:tc>
        <w:tc>
          <w:tcPr>
            <w:tcW w:w="2596" w:type="dxa"/>
            <w:tcBorders>
              <w:top w:val="single" w:color="000000" w:sz="4" w:space="0"/>
              <w:left w:val="nil"/>
              <w:bottom w:val="single" w:color="000000" w:sz="4" w:space="0"/>
              <w:right w:val="nil"/>
            </w:tcBorders>
            <w:shd w:val="clear" w:color="auto" w:fill="FFFFFF"/>
            <w:vAlign w:val="center"/>
          </w:tcPr>
          <w:p w14:paraId="72B4A21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Exposure</w:t>
            </w:r>
          </w:p>
        </w:tc>
        <w:tc>
          <w:tcPr>
            <w:tcW w:w="2371" w:type="dxa"/>
            <w:tcBorders>
              <w:top w:val="single" w:color="000000" w:sz="4" w:space="0"/>
              <w:left w:val="nil"/>
              <w:bottom w:val="single" w:color="000000" w:sz="4" w:space="0"/>
              <w:right w:val="nil"/>
            </w:tcBorders>
            <w:shd w:val="clear" w:color="auto" w:fill="FFFFFF"/>
            <w:vAlign w:val="center"/>
          </w:tcPr>
          <w:p w14:paraId="64DB2A9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SHR (95% CI)</w:t>
            </w:r>
          </w:p>
        </w:tc>
        <w:tc>
          <w:tcPr>
            <w:tcW w:w="1224" w:type="dxa"/>
            <w:tcBorders>
              <w:top w:val="single" w:color="000000" w:sz="4" w:space="0"/>
              <w:left w:val="nil"/>
              <w:bottom w:val="single" w:color="000000" w:sz="4" w:space="0"/>
              <w:right w:val="nil"/>
            </w:tcBorders>
            <w:shd w:val="clear" w:color="auto" w:fill="FFFFFF"/>
            <w:vAlign w:val="center"/>
          </w:tcPr>
          <w:p w14:paraId="64F96FE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P value</w:t>
            </w:r>
          </w:p>
        </w:tc>
      </w:tr>
      <w:tr w14:paraId="3F2E7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28" w:type="dxa"/>
            <w:tcBorders>
              <w:top w:val="nil"/>
              <w:left w:val="nil"/>
              <w:bottom w:val="nil"/>
              <w:right w:val="nil"/>
            </w:tcBorders>
            <w:shd w:val="clear" w:color="auto" w:fill="FFFFFF"/>
            <w:vAlign w:val="center"/>
          </w:tcPr>
          <w:p w14:paraId="4CD707B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Baseline HSI</w:t>
            </w:r>
          </w:p>
        </w:tc>
        <w:tc>
          <w:tcPr>
            <w:tcW w:w="2596" w:type="dxa"/>
            <w:tcBorders>
              <w:top w:val="nil"/>
              <w:left w:val="nil"/>
              <w:bottom w:val="nil"/>
              <w:right w:val="nil"/>
            </w:tcBorders>
            <w:shd w:val="clear" w:color="auto" w:fill="FFFFFF"/>
            <w:vAlign w:val="center"/>
          </w:tcPr>
          <w:p w14:paraId="40C089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Per 1</w:t>
            </w:r>
            <w:r>
              <w:rPr>
                <w:rFonts w:hint="default" w:ascii="Times New Roman" w:hAnsi="Times New Roman" w:eastAsia="宋体" w:cs="Times New Roman"/>
                <w:i w:val="0"/>
                <w:iCs w:val="0"/>
                <w:color w:val="0F1115"/>
                <w:kern w:val="0"/>
                <w:sz w:val="22"/>
                <w:szCs w:val="22"/>
                <w:u w:val="none"/>
                <w:bdr w:val="none" w:color="auto" w:sz="0" w:space="0"/>
                <w:lang w:val="en-US" w:eastAsia="zh-CN" w:bidi="ar"/>
              </w:rPr>
              <w:noBreakHyphen/>
            </w:r>
            <w:r>
              <w:rPr>
                <w:rFonts w:hint="default" w:ascii="Times New Roman" w:hAnsi="Times New Roman" w:eastAsia="宋体" w:cs="Times New Roman"/>
                <w:i w:val="0"/>
                <w:iCs w:val="0"/>
                <w:color w:val="0F1115"/>
                <w:kern w:val="0"/>
                <w:sz w:val="22"/>
                <w:szCs w:val="22"/>
                <w:u w:val="none"/>
                <w:bdr w:val="none" w:color="auto" w:sz="0" w:space="0"/>
                <w:lang w:val="en-US" w:eastAsia="zh-CN" w:bidi="ar"/>
              </w:rPr>
              <w:t>SD increase</w:t>
            </w:r>
          </w:p>
        </w:tc>
        <w:tc>
          <w:tcPr>
            <w:tcW w:w="2371" w:type="dxa"/>
            <w:tcBorders>
              <w:top w:val="nil"/>
              <w:left w:val="nil"/>
              <w:bottom w:val="nil"/>
              <w:right w:val="nil"/>
            </w:tcBorders>
            <w:shd w:val="clear" w:color="auto" w:fill="FFFFFF"/>
            <w:vAlign w:val="center"/>
          </w:tcPr>
          <w:p w14:paraId="79BA293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1.26 (1.19–1.33)</w:t>
            </w:r>
          </w:p>
        </w:tc>
        <w:tc>
          <w:tcPr>
            <w:tcW w:w="1224" w:type="dxa"/>
            <w:tcBorders>
              <w:top w:val="nil"/>
              <w:left w:val="nil"/>
              <w:bottom w:val="nil"/>
              <w:right w:val="nil"/>
            </w:tcBorders>
            <w:shd w:val="clear" w:color="auto" w:fill="FFFFFF"/>
            <w:vAlign w:val="center"/>
          </w:tcPr>
          <w:p w14:paraId="2D3653A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&lt;0.001</w:t>
            </w:r>
          </w:p>
        </w:tc>
      </w:tr>
      <w:tr w14:paraId="56A2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28" w:type="dxa"/>
            <w:tcBorders>
              <w:top w:val="nil"/>
              <w:left w:val="nil"/>
              <w:bottom w:val="single" w:color="000000" w:sz="4" w:space="0"/>
              <w:right w:val="nil"/>
            </w:tcBorders>
            <w:shd w:val="clear" w:color="auto" w:fill="FFFFFF"/>
            <w:vAlign w:val="center"/>
          </w:tcPr>
          <w:p w14:paraId="3BE64D7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Cumulative HSI</w:t>
            </w:r>
          </w:p>
        </w:tc>
        <w:tc>
          <w:tcPr>
            <w:tcW w:w="2596" w:type="dxa"/>
            <w:tcBorders>
              <w:top w:val="nil"/>
              <w:left w:val="nil"/>
              <w:bottom w:val="single" w:color="000000" w:sz="4" w:space="0"/>
              <w:right w:val="nil"/>
            </w:tcBorders>
            <w:shd w:val="clear" w:color="auto" w:fill="FFFFFF"/>
            <w:vAlign w:val="center"/>
          </w:tcPr>
          <w:p w14:paraId="14414D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Per 1</w:t>
            </w:r>
            <w:r>
              <w:rPr>
                <w:rFonts w:hint="default" w:ascii="Times New Roman" w:hAnsi="Times New Roman" w:eastAsia="宋体" w:cs="Times New Roman"/>
                <w:i w:val="0"/>
                <w:iCs w:val="0"/>
                <w:color w:val="0F1115"/>
                <w:kern w:val="0"/>
                <w:sz w:val="22"/>
                <w:szCs w:val="22"/>
                <w:u w:val="none"/>
                <w:bdr w:val="none" w:color="auto" w:sz="0" w:space="0"/>
                <w:lang w:val="en-US" w:eastAsia="zh-CN" w:bidi="ar"/>
              </w:rPr>
              <w:noBreakHyphen/>
            </w:r>
            <w:r>
              <w:rPr>
                <w:rFonts w:hint="default" w:ascii="Times New Roman" w:hAnsi="Times New Roman" w:eastAsia="宋体" w:cs="Times New Roman"/>
                <w:i w:val="0"/>
                <w:iCs w:val="0"/>
                <w:color w:val="0F1115"/>
                <w:kern w:val="0"/>
                <w:sz w:val="22"/>
                <w:szCs w:val="22"/>
                <w:u w:val="none"/>
                <w:bdr w:val="none" w:color="auto" w:sz="0" w:space="0"/>
                <w:lang w:val="en-US" w:eastAsia="zh-CN" w:bidi="ar"/>
              </w:rPr>
              <w:t>SD increase</w:t>
            </w:r>
          </w:p>
        </w:tc>
        <w:tc>
          <w:tcPr>
            <w:tcW w:w="2371" w:type="dxa"/>
            <w:tcBorders>
              <w:top w:val="nil"/>
              <w:left w:val="nil"/>
              <w:bottom w:val="single" w:color="000000" w:sz="4" w:space="0"/>
              <w:right w:val="nil"/>
            </w:tcBorders>
            <w:shd w:val="clear" w:color="auto" w:fill="FFFFFF"/>
            <w:vAlign w:val="center"/>
          </w:tcPr>
          <w:p w14:paraId="6330209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1.24 (1.15–1.33)</w:t>
            </w:r>
          </w:p>
        </w:tc>
        <w:tc>
          <w:tcPr>
            <w:tcW w:w="1224" w:type="dxa"/>
            <w:tcBorders>
              <w:top w:val="nil"/>
              <w:left w:val="nil"/>
              <w:bottom w:val="single" w:color="000000" w:sz="4" w:space="0"/>
              <w:right w:val="nil"/>
            </w:tcBorders>
            <w:shd w:val="clear" w:color="auto" w:fill="FFFFFF"/>
            <w:vAlign w:val="center"/>
          </w:tcPr>
          <w:p w14:paraId="13B107A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&lt;0.001</w:t>
            </w:r>
          </w:p>
        </w:tc>
      </w:tr>
    </w:tbl>
    <w:p w14:paraId="6F80184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r>
        <w:t>Models adjusted for age, gender, rural residence, education, smoking, drinking, BMI, dyslipidemia, and heart disease.</w:t>
      </w:r>
      <w:r>
        <w:rPr>
          <w:rFonts w:hint="eastAsia"/>
          <w:lang w:val="en-US" w:eastAsia="zh-CN"/>
        </w:rPr>
        <w:t xml:space="preserve"> </w:t>
      </w:r>
      <w:r>
        <w:rPr>
          <w:rFonts w:hint="default"/>
          <w:lang w:val="en-US" w:eastAsia="zh-CN"/>
        </w:rPr>
        <w:t>Abbreviations: HR, hazard ratio; CI, confidence interval; HSI, hemoglobin A1c-systolic blood pressure index</w:t>
      </w:r>
      <w:r>
        <w:rPr>
          <w:rFonts w:hint="default" w:cs="Times New Roman"/>
          <w:i w:val="0"/>
          <w:iCs w:val="0"/>
          <w:caps w:val="0"/>
          <w:color w:val="000000"/>
          <w:spacing w:val="0"/>
          <w:sz w:val="21"/>
          <w:szCs w:val="21"/>
          <w:shd w:val="clear" w:fill="FFFFFF"/>
          <w:lang w:val="en-US" w:eastAsia="zh-CN"/>
        </w:rPr>
        <w:t>.</w:t>
      </w:r>
    </w:p>
    <w:p w14:paraId="403345C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589089E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1E47AF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06E4757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6903DD1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cs="Times New Roman"/>
          <w:i w:val="0"/>
          <w:iCs w:val="0"/>
          <w:caps w:val="0"/>
          <w:color w:val="000000"/>
          <w:spacing w:val="0"/>
          <w:sz w:val="21"/>
          <w:szCs w:val="21"/>
          <w:shd w:val="clear" w:fill="FFFFFF"/>
          <w:lang w:val="en-US" w:eastAsia="zh-CN"/>
        </w:rPr>
      </w:pPr>
    </w:p>
    <w:p w14:paraId="3CC0D1A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center"/>
        <w:rPr>
          <w:rFonts w:hint="eastAsia" w:ascii="Times New Roman" w:hAnsi="Times New Roman" w:eastAsiaTheme="minorEastAsia" w:cstheme="minorBidi"/>
          <w:b/>
          <w:bCs/>
          <w:kern w:val="0"/>
          <w:sz w:val="24"/>
          <w:szCs w:val="24"/>
          <w:lang w:val="en-US" w:eastAsia="zh-CN" w:bidi="ar"/>
        </w:rPr>
      </w:pPr>
      <w:r>
        <w:rPr>
          <w:rFonts w:hint="eastAsia" w:ascii="Times New Roman" w:hAnsi="Times New Roman" w:eastAsiaTheme="minorEastAsia" w:cstheme="minorBidi"/>
          <w:b/>
          <w:bCs/>
          <w:kern w:val="0"/>
          <w:sz w:val="24"/>
          <w:szCs w:val="24"/>
          <w:lang w:val="en-US" w:eastAsia="zh-CN" w:bidi="ar"/>
        </w:rPr>
        <w:t xml:space="preserve">Table S3. </w:t>
      </w:r>
      <w:r>
        <w:rPr>
          <w:rFonts w:hint="eastAsia" w:eastAsiaTheme="minorEastAsia"/>
          <w:b/>
          <w:bCs/>
          <w:lang w:val="en-US" w:eastAsia="zh-CN"/>
        </w:rPr>
        <w:t>Sensitivity analyses of the association between HSI and stroke risk</w:t>
      </w:r>
    </w:p>
    <w:tbl>
      <w:tblP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51"/>
        <w:gridCol w:w="1785"/>
        <w:gridCol w:w="906"/>
        <w:gridCol w:w="1294"/>
        <w:gridCol w:w="1836"/>
        <w:gridCol w:w="1350"/>
      </w:tblGrid>
      <w:tr w14:paraId="65625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2" w:type="pct"/>
            <w:tcBorders>
              <w:top w:val="single" w:color="000000" w:sz="4" w:space="0"/>
              <w:left w:val="nil"/>
              <w:bottom w:val="single" w:color="000000" w:sz="4" w:space="0"/>
              <w:right w:val="nil"/>
            </w:tcBorders>
            <w:shd w:val="clear"/>
            <w:vAlign w:val="center"/>
          </w:tcPr>
          <w:p w14:paraId="7AE13EC7">
            <w:pPr>
              <w:keepNext/>
              <w:keepLines w:val="0"/>
              <w:widowControl/>
              <w:suppressLineNumbers w:val="0"/>
              <w:snapToGrid w:val="0"/>
              <w:ind w:left="0" w:leftChars="0" w:firstLine="0" w:firstLineChars="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Sensitivity analysis</w:t>
            </w:r>
          </w:p>
        </w:tc>
        <w:tc>
          <w:tcPr>
            <w:tcW w:w="1047" w:type="pct"/>
            <w:tcBorders>
              <w:top w:val="single" w:color="000000" w:sz="4" w:space="0"/>
              <w:left w:val="nil"/>
              <w:bottom w:val="single" w:color="000000" w:sz="4" w:space="0"/>
              <w:right w:val="nil"/>
            </w:tcBorders>
            <w:shd w:val="clear"/>
            <w:vAlign w:val="center"/>
          </w:tcPr>
          <w:p w14:paraId="2728993F">
            <w:pPr>
              <w:keepNext/>
              <w:keepLines w:val="0"/>
              <w:widowControl/>
              <w:suppressLineNumbers w:val="0"/>
              <w:snapToGrid w:val="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Exposure</w:t>
            </w:r>
          </w:p>
        </w:tc>
        <w:tc>
          <w:tcPr>
            <w:tcW w:w="531" w:type="pct"/>
            <w:tcBorders>
              <w:top w:val="single" w:color="000000" w:sz="4" w:space="0"/>
              <w:left w:val="nil"/>
              <w:bottom w:val="single" w:color="000000" w:sz="4" w:space="0"/>
              <w:right w:val="nil"/>
            </w:tcBorders>
            <w:shd w:val="clear"/>
            <w:vAlign w:val="center"/>
          </w:tcPr>
          <w:p w14:paraId="60DE1D29">
            <w:pPr>
              <w:keepNext/>
              <w:keepLines w:val="0"/>
              <w:widowControl/>
              <w:suppressLineNumbers w:val="0"/>
              <w:snapToGrid w:val="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N</w:t>
            </w:r>
          </w:p>
        </w:tc>
        <w:tc>
          <w:tcPr>
            <w:tcW w:w="759" w:type="pct"/>
            <w:tcBorders>
              <w:top w:val="single" w:color="000000" w:sz="4" w:space="0"/>
              <w:left w:val="nil"/>
              <w:bottom w:val="single" w:color="000000" w:sz="4" w:space="0"/>
              <w:right w:val="nil"/>
            </w:tcBorders>
            <w:shd w:val="clear"/>
            <w:vAlign w:val="center"/>
          </w:tcPr>
          <w:p w14:paraId="49F0AFFA">
            <w:pPr>
              <w:keepNext/>
              <w:keepLines w:val="0"/>
              <w:widowControl/>
              <w:suppressLineNumbers w:val="0"/>
              <w:snapToGrid w:val="0"/>
              <w:ind w:left="0" w:leftChars="0" w:firstLine="0" w:firstLineChars="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Events</w:t>
            </w:r>
          </w:p>
        </w:tc>
        <w:tc>
          <w:tcPr>
            <w:tcW w:w="1077" w:type="pct"/>
            <w:tcBorders>
              <w:top w:val="single" w:color="000000" w:sz="4" w:space="0"/>
              <w:left w:val="nil"/>
              <w:bottom w:val="single" w:color="000000" w:sz="4" w:space="0"/>
              <w:right w:val="nil"/>
            </w:tcBorders>
            <w:shd w:val="clear"/>
            <w:vAlign w:val="center"/>
          </w:tcPr>
          <w:p w14:paraId="1C6B0673">
            <w:pPr>
              <w:keepNext/>
              <w:keepLines w:val="0"/>
              <w:widowControl/>
              <w:suppressLineNumbers w:val="0"/>
              <w:snapToGrid w:val="0"/>
              <w:ind w:left="0" w:leftChars="0" w:firstLine="0" w:firstLineChars="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HR (95% CI) per 1</w:t>
            </w:r>
            <w:r>
              <w:rPr>
                <w:rFonts w:hint="default" w:ascii="Times New Roman" w:hAnsi="Times New Roman" w:eastAsiaTheme="minorEastAsia" w:cstheme="minorBidi"/>
                <w:b/>
                <w:bCs/>
                <w:kern w:val="0"/>
                <w:sz w:val="24"/>
                <w:szCs w:val="24"/>
                <w:lang w:val="en-US" w:eastAsia="zh-CN" w:bidi="ar"/>
              </w:rPr>
              <w:noBreakHyphen/>
            </w:r>
            <w:r>
              <w:rPr>
                <w:rFonts w:hint="default" w:ascii="Times New Roman" w:hAnsi="Times New Roman" w:eastAsiaTheme="minorEastAsia" w:cstheme="minorBidi"/>
                <w:b/>
                <w:bCs/>
                <w:kern w:val="0"/>
                <w:sz w:val="24"/>
                <w:szCs w:val="24"/>
                <w:lang w:val="en-US" w:eastAsia="zh-CN" w:bidi="ar"/>
              </w:rPr>
              <w:t>SD increase</w:t>
            </w:r>
          </w:p>
        </w:tc>
        <w:tc>
          <w:tcPr>
            <w:tcW w:w="792" w:type="pct"/>
            <w:tcBorders>
              <w:top w:val="single" w:color="000000" w:sz="4" w:space="0"/>
              <w:left w:val="nil"/>
              <w:bottom w:val="single" w:color="000000" w:sz="4" w:space="0"/>
              <w:right w:val="nil"/>
            </w:tcBorders>
            <w:shd w:val="clear"/>
            <w:vAlign w:val="center"/>
          </w:tcPr>
          <w:p w14:paraId="147B6843">
            <w:pPr>
              <w:keepNext/>
              <w:keepLines w:val="0"/>
              <w:widowControl/>
              <w:suppressLineNumbers w:val="0"/>
              <w:snapToGrid w:val="0"/>
              <w:ind w:left="0" w:leftChars="0" w:firstLine="0" w:firstLineChars="0"/>
              <w:jc w:val="left"/>
              <w:textAlignment w:val="center"/>
              <w:rPr>
                <w:rFonts w:hint="default" w:ascii="Times New Roman" w:hAnsi="Times New Roman" w:eastAsiaTheme="minorEastAsia" w:cstheme="minorBidi"/>
                <w:b/>
                <w:bCs/>
                <w:kern w:val="0"/>
                <w:sz w:val="24"/>
                <w:szCs w:val="24"/>
                <w:lang w:val="en-US" w:eastAsia="zh-CN" w:bidi="ar"/>
              </w:rPr>
            </w:pPr>
            <w:r>
              <w:rPr>
                <w:rFonts w:hint="default" w:ascii="Times New Roman" w:hAnsi="Times New Roman" w:eastAsiaTheme="minorEastAsia" w:cstheme="minorBidi"/>
                <w:b/>
                <w:bCs/>
                <w:kern w:val="0"/>
                <w:sz w:val="24"/>
                <w:szCs w:val="24"/>
                <w:lang w:val="en-US" w:eastAsia="zh-CN" w:bidi="ar"/>
              </w:rPr>
              <w:t>P value</w:t>
            </w:r>
          </w:p>
        </w:tc>
      </w:tr>
      <w:tr w14:paraId="52AAC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6"/>
            <w:tcBorders>
              <w:top w:val="nil"/>
              <w:left w:val="nil"/>
              <w:bottom w:val="nil"/>
              <w:right w:val="nil"/>
            </w:tcBorders>
            <w:shd w:val="clear"/>
            <w:vAlign w:val="center"/>
          </w:tcPr>
          <w:p w14:paraId="0AC1DEF9">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Excluding events within first 2 years</w:t>
            </w:r>
          </w:p>
        </w:tc>
      </w:tr>
      <w:tr w14:paraId="6C0F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2" w:type="pct"/>
            <w:tcBorders>
              <w:top w:val="nil"/>
              <w:left w:val="nil"/>
              <w:bottom w:val="nil"/>
              <w:right w:val="nil"/>
            </w:tcBorders>
            <w:shd w:val="clear"/>
            <w:vAlign w:val="center"/>
          </w:tcPr>
          <w:p w14:paraId="15088225">
            <w:pPr>
              <w:keepNext/>
              <w:snapToGrid w:val="0"/>
              <w:rPr>
                <w:rFonts w:hint="default" w:ascii="Times New Roman" w:hAnsi="Times New Roman" w:eastAsia="宋体" w:cs="Times New Roman"/>
                <w:i w:val="0"/>
                <w:iCs w:val="0"/>
                <w:color w:val="000000"/>
                <w:sz w:val="22"/>
                <w:szCs w:val="22"/>
                <w:u w:val="none"/>
              </w:rPr>
            </w:pPr>
          </w:p>
        </w:tc>
        <w:tc>
          <w:tcPr>
            <w:tcW w:w="1047" w:type="pct"/>
            <w:tcBorders>
              <w:top w:val="nil"/>
              <w:left w:val="nil"/>
              <w:bottom w:val="nil"/>
              <w:right w:val="nil"/>
            </w:tcBorders>
            <w:shd w:val="clear"/>
            <w:vAlign w:val="center"/>
          </w:tcPr>
          <w:p w14:paraId="7CCAEACE">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Baseline HSI</w:t>
            </w:r>
          </w:p>
        </w:tc>
        <w:tc>
          <w:tcPr>
            <w:tcW w:w="531" w:type="pct"/>
            <w:tcBorders>
              <w:top w:val="nil"/>
              <w:left w:val="nil"/>
              <w:bottom w:val="nil"/>
              <w:right w:val="nil"/>
            </w:tcBorders>
            <w:shd w:val="clear"/>
            <w:vAlign w:val="center"/>
          </w:tcPr>
          <w:p w14:paraId="4D9CD2D5">
            <w:pPr>
              <w:keepNext/>
              <w:keepLines w:val="0"/>
              <w:widowControl/>
              <w:suppressLineNumbers w:val="0"/>
              <w:snapToGrid w:val="0"/>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8756</w:t>
            </w:r>
          </w:p>
        </w:tc>
        <w:tc>
          <w:tcPr>
            <w:tcW w:w="759" w:type="pct"/>
            <w:tcBorders>
              <w:top w:val="nil"/>
              <w:left w:val="nil"/>
              <w:bottom w:val="nil"/>
              <w:right w:val="nil"/>
            </w:tcBorders>
            <w:shd w:val="clear"/>
            <w:vAlign w:val="center"/>
          </w:tcPr>
          <w:p w14:paraId="3ECCED8B">
            <w:pPr>
              <w:keepNext/>
              <w:keepLines w:val="0"/>
              <w:widowControl/>
              <w:suppressLineNumbers w:val="0"/>
              <w:snapToGrid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756</w:t>
            </w:r>
          </w:p>
        </w:tc>
        <w:tc>
          <w:tcPr>
            <w:tcW w:w="1077" w:type="pct"/>
            <w:tcBorders>
              <w:top w:val="nil"/>
              <w:left w:val="nil"/>
              <w:bottom w:val="nil"/>
              <w:right w:val="nil"/>
            </w:tcBorders>
            <w:shd w:val="clear"/>
            <w:vAlign w:val="center"/>
          </w:tcPr>
          <w:p w14:paraId="7DB10137">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1.24 (1.17–1.32)</w:t>
            </w:r>
          </w:p>
        </w:tc>
        <w:tc>
          <w:tcPr>
            <w:tcW w:w="792" w:type="pct"/>
            <w:tcBorders>
              <w:top w:val="nil"/>
              <w:left w:val="nil"/>
              <w:bottom w:val="nil"/>
              <w:right w:val="nil"/>
            </w:tcBorders>
            <w:shd w:val="clear"/>
            <w:vAlign w:val="center"/>
          </w:tcPr>
          <w:p w14:paraId="0A90E5FA">
            <w:pPr>
              <w:keepNext/>
              <w:keepLines w:val="0"/>
              <w:widowControl/>
              <w:suppressLineNumbers w:val="0"/>
              <w:snapToGrid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&lt;0.001</w:t>
            </w:r>
          </w:p>
        </w:tc>
      </w:tr>
      <w:tr w14:paraId="7EE8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000" w:type="pct"/>
            <w:gridSpan w:val="6"/>
            <w:tcBorders>
              <w:top w:val="nil"/>
              <w:left w:val="nil"/>
              <w:bottom w:val="nil"/>
              <w:right w:val="nil"/>
            </w:tcBorders>
            <w:shd w:val="clear"/>
            <w:vAlign w:val="center"/>
          </w:tcPr>
          <w:p w14:paraId="2AA92796">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Further adjustment for antihypertensive, antidiabetic, and lipid</w:t>
            </w:r>
            <w:r>
              <w:rPr>
                <w:rFonts w:hint="default" w:ascii="Times New Roman" w:hAnsi="Times New Roman" w:eastAsia="宋体" w:cs="Times New Roman"/>
                <w:i w:val="0"/>
                <w:iCs w:val="0"/>
                <w:color w:val="000000"/>
                <w:kern w:val="0"/>
                <w:sz w:val="22"/>
                <w:szCs w:val="22"/>
                <w:u w:val="none"/>
                <w:bdr w:val="none" w:color="auto" w:sz="0" w:space="0"/>
                <w:lang w:val="en-US" w:eastAsia="zh-CN" w:bidi="ar"/>
              </w:rPr>
              <w:noBreakHyphen/>
            </w: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lowering drugs </w:t>
            </w:r>
          </w:p>
        </w:tc>
      </w:tr>
      <w:tr w14:paraId="5B06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92" w:type="pct"/>
            <w:tcBorders>
              <w:top w:val="nil"/>
              <w:left w:val="nil"/>
              <w:bottom w:val="single" w:color="auto" w:sz="4" w:space="0"/>
              <w:right w:val="nil"/>
            </w:tcBorders>
            <w:shd w:val="clear"/>
            <w:vAlign w:val="center"/>
          </w:tcPr>
          <w:p w14:paraId="0B1C1934">
            <w:pPr>
              <w:keepNext/>
              <w:snapToGrid w:val="0"/>
              <w:rPr>
                <w:rFonts w:hint="default" w:ascii="Times New Roman" w:hAnsi="Times New Roman" w:eastAsia="宋体" w:cs="Times New Roman"/>
                <w:i w:val="0"/>
                <w:iCs w:val="0"/>
                <w:color w:val="000000"/>
                <w:sz w:val="22"/>
                <w:szCs w:val="22"/>
                <w:u w:val="none"/>
              </w:rPr>
            </w:pPr>
          </w:p>
        </w:tc>
        <w:tc>
          <w:tcPr>
            <w:tcW w:w="1047" w:type="pct"/>
            <w:tcBorders>
              <w:top w:val="nil"/>
              <w:left w:val="nil"/>
              <w:bottom w:val="single" w:color="auto" w:sz="4" w:space="0"/>
              <w:right w:val="nil"/>
            </w:tcBorders>
            <w:shd w:val="clear"/>
            <w:vAlign w:val="center"/>
          </w:tcPr>
          <w:p w14:paraId="291996EF">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Baseline HSI</w:t>
            </w:r>
          </w:p>
        </w:tc>
        <w:tc>
          <w:tcPr>
            <w:tcW w:w="531" w:type="pct"/>
            <w:tcBorders>
              <w:top w:val="nil"/>
              <w:left w:val="nil"/>
              <w:bottom w:val="single" w:color="auto" w:sz="4" w:space="0"/>
              <w:right w:val="nil"/>
            </w:tcBorders>
            <w:shd w:val="clear"/>
            <w:vAlign w:val="center"/>
          </w:tcPr>
          <w:p w14:paraId="317465CB">
            <w:pPr>
              <w:keepNext/>
              <w:keepLines w:val="0"/>
              <w:widowControl/>
              <w:suppressLineNumbers w:val="0"/>
              <w:snapToGrid w:val="0"/>
              <w:ind w:left="0" w:leftChars="0" w:firstLine="0" w:firstLineChars="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8807</w:t>
            </w:r>
          </w:p>
        </w:tc>
        <w:tc>
          <w:tcPr>
            <w:tcW w:w="759" w:type="pct"/>
            <w:tcBorders>
              <w:top w:val="nil"/>
              <w:left w:val="nil"/>
              <w:bottom w:val="single" w:color="auto" w:sz="4" w:space="0"/>
              <w:right w:val="nil"/>
            </w:tcBorders>
            <w:shd w:val="clear"/>
            <w:vAlign w:val="center"/>
          </w:tcPr>
          <w:p w14:paraId="755EA830">
            <w:pPr>
              <w:keepNext/>
              <w:keepLines w:val="0"/>
              <w:widowControl/>
              <w:suppressLineNumbers w:val="0"/>
              <w:snapToGrid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807</w:t>
            </w:r>
          </w:p>
        </w:tc>
        <w:tc>
          <w:tcPr>
            <w:tcW w:w="1077" w:type="pct"/>
            <w:tcBorders>
              <w:top w:val="nil"/>
              <w:left w:val="nil"/>
              <w:bottom w:val="single" w:color="auto" w:sz="4" w:space="0"/>
              <w:right w:val="nil"/>
            </w:tcBorders>
            <w:shd w:val="clear"/>
            <w:vAlign w:val="center"/>
          </w:tcPr>
          <w:p w14:paraId="380EC0E4">
            <w:pPr>
              <w:keepNext/>
              <w:keepLines w:val="0"/>
              <w:widowControl/>
              <w:suppressLineNumbers w:val="0"/>
              <w:snapToGrid w:val="0"/>
              <w:ind w:left="0" w:lef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1.18 (1.09–1.27)</w:t>
            </w:r>
          </w:p>
        </w:tc>
        <w:tc>
          <w:tcPr>
            <w:tcW w:w="792" w:type="pct"/>
            <w:tcBorders>
              <w:top w:val="nil"/>
              <w:left w:val="nil"/>
              <w:bottom w:val="single" w:color="auto" w:sz="4" w:space="0"/>
              <w:right w:val="nil"/>
            </w:tcBorders>
            <w:shd w:val="clear"/>
            <w:vAlign w:val="center"/>
          </w:tcPr>
          <w:p w14:paraId="2BBDB501">
            <w:pPr>
              <w:keepNext/>
              <w:keepLines w:val="0"/>
              <w:widowControl/>
              <w:suppressLineNumbers w:val="0"/>
              <w:snapToGrid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&lt;0.001</w:t>
            </w:r>
          </w:p>
        </w:tc>
      </w:tr>
    </w:tbl>
    <w:p w14:paraId="18DDE33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r>
        <w:rPr>
          <w:rFonts w:hint="eastAsia" w:eastAsiaTheme="minorEastAsia"/>
          <w:lang w:val="en-US" w:eastAsia="zh-CN"/>
        </w:rPr>
        <w:t xml:space="preserve">The sensitivity analyses included exclusion of stroke events occurring within the first 2 years of follow-up and further adjustment for antihypertensive, antidiabetic, and lipid-lowering medications. HSI, </w:t>
      </w:r>
      <w:r>
        <w:rPr>
          <w:rFonts w:hint="default"/>
          <w:lang w:val="en-US" w:eastAsia="zh-CN"/>
        </w:rPr>
        <w:t>hemoglobin A1c-systolic blood pressure index</w:t>
      </w:r>
      <w:r>
        <w:rPr>
          <w:rFonts w:hint="eastAsia"/>
          <w:lang w:val="en-US" w:eastAsia="zh-CN"/>
        </w:rPr>
        <w:t xml:space="preserve">; </w:t>
      </w:r>
      <w:r>
        <w:rPr>
          <w:rFonts w:hint="eastAsia" w:eastAsiaTheme="minorEastAsia"/>
          <w:lang w:val="en-US" w:eastAsia="zh-CN"/>
        </w:rPr>
        <w:t xml:space="preserve"> HR, hazard ratio; CI, confidence interval.</w:t>
      </w:r>
    </w:p>
    <w:p w14:paraId="05058E4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p>
    <w:tbl>
      <w:tblPr>
        <w:tblStyle w:val="15"/>
        <w:tblpPr w:leftFromText="180" w:rightFromText="180" w:vertAnchor="text" w:horzAnchor="page" w:tblpX="1647" w:tblpY="476"/>
        <w:tblOverlap w:val="never"/>
        <w:tblW w:w="88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7"/>
        <w:gridCol w:w="776"/>
        <w:gridCol w:w="859"/>
        <w:gridCol w:w="2337"/>
        <w:gridCol w:w="1098"/>
        <w:gridCol w:w="941"/>
        <w:gridCol w:w="1075"/>
      </w:tblGrid>
      <w:tr w14:paraId="70F4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1747" w:type="dxa"/>
            <w:tcBorders>
              <w:top w:val="single" w:color="000000" w:sz="4" w:space="0"/>
              <w:left w:val="nil"/>
              <w:bottom w:val="single" w:color="000000" w:sz="4" w:space="0"/>
              <w:right w:val="nil"/>
            </w:tcBorders>
            <w:shd w:val="clear" w:color="auto" w:fill="auto"/>
            <w:vAlign w:val="center"/>
          </w:tcPr>
          <w:p w14:paraId="33C16A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Model</w:t>
            </w:r>
          </w:p>
        </w:tc>
        <w:tc>
          <w:tcPr>
            <w:tcW w:w="776" w:type="dxa"/>
            <w:tcBorders>
              <w:top w:val="single" w:color="000000" w:sz="4" w:space="0"/>
              <w:left w:val="nil"/>
              <w:bottom w:val="single" w:color="000000" w:sz="4" w:space="0"/>
              <w:right w:val="nil"/>
            </w:tcBorders>
            <w:shd w:val="clear" w:color="auto" w:fill="auto"/>
            <w:vAlign w:val="center"/>
          </w:tcPr>
          <w:p w14:paraId="51A52FE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N</w:t>
            </w:r>
          </w:p>
        </w:tc>
        <w:tc>
          <w:tcPr>
            <w:tcW w:w="859" w:type="dxa"/>
            <w:tcBorders>
              <w:top w:val="single" w:color="000000" w:sz="4" w:space="0"/>
              <w:left w:val="nil"/>
              <w:bottom w:val="single" w:color="000000" w:sz="4" w:space="0"/>
              <w:right w:val="nil"/>
            </w:tcBorders>
            <w:shd w:val="clear" w:color="auto" w:fill="auto"/>
            <w:vAlign w:val="center"/>
          </w:tcPr>
          <w:p w14:paraId="6FF3D43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Events</w:t>
            </w:r>
          </w:p>
        </w:tc>
        <w:tc>
          <w:tcPr>
            <w:tcW w:w="2337" w:type="dxa"/>
            <w:tcBorders>
              <w:top w:val="single" w:color="000000" w:sz="4" w:space="0"/>
              <w:left w:val="nil"/>
              <w:bottom w:val="single" w:color="000000" w:sz="4" w:space="0"/>
              <w:right w:val="nil"/>
            </w:tcBorders>
            <w:shd w:val="clear" w:color="auto" w:fill="auto"/>
            <w:vAlign w:val="center"/>
          </w:tcPr>
          <w:p w14:paraId="240E0BA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Harrell C</w:t>
            </w:r>
            <w:r>
              <w:rPr>
                <w:rFonts w:hint="default" w:ascii="Times New Roman" w:hAnsi="Times New Roman" w:eastAsia="宋体" w:cs="Times New Roman"/>
                <w:b/>
                <w:i w:val="0"/>
                <w:iCs w:val="0"/>
                <w:color w:val="000000"/>
                <w:kern w:val="0"/>
                <w:sz w:val="22"/>
                <w:szCs w:val="22"/>
                <w:u w:val="none"/>
                <w:lang w:val="en-US" w:eastAsia="zh-CN" w:bidi="ar"/>
              </w:rPr>
              <w:noBreakHyphen/>
            </w:r>
            <w:r>
              <w:rPr>
                <w:rFonts w:hint="default" w:ascii="Times New Roman" w:hAnsi="Times New Roman" w:eastAsia="宋体" w:cs="Times New Roman"/>
                <w:b/>
                <w:i w:val="0"/>
                <w:iCs w:val="0"/>
                <w:color w:val="000000"/>
                <w:kern w:val="0"/>
                <w:sz w:val="22"/>
                <w:szCs w:val="22"/>
                <w:u w:val="none"/>
                <w:lang w:val="en-US" w:eastAsia="zh-CN" w:bidi="ar"/>
              </w:rPr>
              <w:t>index (SE)</w:t>
            </w:r>
          </w:p>
        </w:tc>
        <w:tc>
          <w:tcPr>
            <w:tcW w:w="1098" w:type="dxa"/>
            <w:tcBorders>
              <w:top w:val="single" w:color="000000" w:sz="4" w:space="0"/>
              <w:left w:val="nil"/>
              <w:bottom w:val="single" w:color="000000" w:sz="4" w:space="0"/>
              <w:right w:val="nil"/>
            </w:tcBorders>
            <w:shd w:val="clear" w:color="auto" w:fill="auto"/>
            <w:vAlign w:val="center"/>
          </w:tcPr>
          <w:p w14:paraId="46B5E9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AIC</w:t>
            </w:r>
          </w:p>
        </w:tc>
        <w:tc>
          <w:tcPr>
            <w:tcW w:w="941" w:type="dxa"/>
            <w:tcBorders>
              <w:top w:val="single" w:color="000000" w:sz="4" w:space="0"/>
              <w:left w:val="nil"/>
              <w:bottom w:val="single" w:color="000000" w:sz="4" w:space="0"/>
              <w:right w:val="nil"/>
            </w:tcBorders>
            <w:shd w:val="clear" w:color="auto" w:fill="auto"/>
            <w:vAlign w:val="center"/>
          </w:tcPr>
          <w:p w14:paraId="663E545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2"/>
                <w:szCs w:val="22"/>
                <w:u w:val="none"/>
              </w:rPr>
            </w:pPr>
            <w:r>
              <w:rPr>
                <w:rFonts w:hint="default" w:ascii="Times New Roman" w:hAnsi="Times New Roman" w:eastAsia="宋体" w:cs="Times New Roman"/>
                <w:b/>
                <w:i w:val="0"/>
                <w:iCs w:val="0"/>
                <w:color w:val="000000"/>
                <w:kern w:val="0"/>
                <w:sz w:val="22"/>
                <w:szCs w:val="22"/>
                <w:u w:val="none"/>
                <w:lang w:val="en-US" w:eastAsia="zh-CN" w:bidi="ar"/>
              </w:rPr>
              <w:t>LR χ²</w:t>
            </w:r>
          </w:p>
        </w:tc>
        <w:tc>
          <w:tcPr>
            <w:tcW w:w="1075" w:type="dxa"/>
            <w:tcBorders>
              <w:top w:val="single" w:color="000000" w:sz="4" w:space="0"/>
              <w:left w:val="nil"/>
              <w:bottom w:val="single" w:color="000000" w:sz="4" w:space="0"/>
              <w:right w:val="nil"/>
            </w:tcBorders>
            <w:shd w:val="clear" w:color="auto" w:fill="auto"/>
            <w:vAlign w:val="center"/>
          </w:tcPr>
          <w:p w14:paraId="25E0B3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iCs/>
                <w:color w:val="000000"/>
                <w:sz w:val="22"/>
                <w:szCs w:val="23"/>
                <w:u w:val="none"/>
              </w:rPr>
            </w:pPr>
            <w:r>
              <w:rPr>
                <w:rFonts w:hint="default" w:ascii="Times New Roman" w:hAnsi="Times New Roman" w:eastAsia="宋体" w:cs="Times New Roman"/>
                <w:b/>
                <w:i/>
                <w:iCs/>
                <w:color w:val="000000"/>
                <w:kern w:val="0"/>
                <w:sz w:val="22"/>
                <w:szCs w:val="23"/>
                <w:u w:val="none"/>
                <w:lang w:val="en-US" w:eastAsia="zh-CN" w:bidi="ar"/>
              </w:rPr>
              <w:t xml:space="preserve">P- </w:t>
            </w:r>
            <w:r>
              <w:rPr>
                <w:rStyle w:val="27"/>
                <w:rFonts w:ascii="Times New Roman" w:eastAsia="宋体"/>
                <w:b/>
                <w:sz w:val="22"/>
                <w:lang w:val="en-US" w:eastAsia="zh-CN" w:bidi="ar"/>
              </w:rPr>
              <w:t>value</w:t>
            </w:r>
          </w:p>
        </w:tc>
      </w:tr>
      <w:tr w14:paraId="7B2A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747" w:type="dxa"/>
            <w:tcBorders>
              <w:top w:val="nil"/>
              <w:left w:val="nil"/>
              <w:bottom w:val="nil"/>
              <w:right w:val="nil"/>
            </w:tcBorders>
            <w:shd w:val="clear" w:color="auto" w:fill="auto"/>
            <w:vAlign w:val="center"/>
          </w:tcPr>
          <w:p w14:paraId="0A1ADCE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Clinical model</w:t>
            </w:r>
          </w:p>
        </w:tc>
        <w:tc>
          <w:tcPr>
            <w:tcW w:w="776" w:type="dxa"/>
            <w:tcBorders>
              <w:top w:val="nil"/>
              <w:left w:val="nil"/>
              <w:bottom w:val="nil"/>
              <w:right w:val="nil"/>
            </w:tcBorders>
            <w:shd w:val="clear" w:color="auto" w:fill="auto"/>
            <w:vAlign w:val="center"/>
          </w:tcPr>
          <w:p w14:paraId="57EF8AA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8890</w:t>
            </w:r>
          </w:p>
        </w:tc>
        <w:tc>
          <w:tcPr>
            <w:tcW w:w="859" w:type="dxa"/>
            <w:tcBorders>
              <w:top w:val="nil"/>
              <w:left w:val="nil"/>
              <w:bottom w:val="nil"/>
              <w:right w:val="nil"/>
            </w:tcBorders>
            <w:shd w:val="clear" w:color="auto" w:fill="auto"/>
            <w:vAlign w:val="center"/>
          </w:tcPr>
          <w:p w14:paraId="5F1C552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810</w:t>
            </w:r>
          </w:p>
        </w:tc>
        <w:tc>
          <w:tcPr>
            <w:tcW w:w="2337" w:type="dxa"/>
            <w:tcBorders>
              <w:top w:val="nil"/>
              <w:left w:val="nil"/>
              <w:bottom w:val="nil"/>
              <w:right w:val="nil"/>
            </w:tcBorders>
            <w:shd w:val="clear" w:color="auto" w:fill="auto"/>
            <w:vAlign w:val="center"/>
          </w:tcPr>
          <w:p w14:paraId="760D57D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0.657 (0.009)</w:t>
            </w:r>
          </w:p>
        </w:tc>
        <w:tc>
          <w:tcPr>
            <w:tcW w:w="1098" w:type="dxa"/>
            <w:tcBorders>
              <w:top w:val="nil"/>
              <w:left w:val="nil"/>
              <w:bottom w:val="nil"/>
              <w:right w:val="nil"/>
            </w:tcBorders>
            <w:shd w:val="clear" w:color="auto" w:fill="auto"/>
            <w:vAlign w:val="center"/>
          </w:tcPr>
          <w:p w14:paraId="2A1F6BD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14272.17</w:t>
            </w:r>
          </w:p>
        </w:tc>
        <w:tc>
          <w:tcPr>
            <w:tcW w:w="941" w:type="dxa"/>
            <w:tcBorders>
              <w:top w:val="nil"/>
              <w:left w:val="nil"/>
              <w:bottom w:val="nil"/>
              <w:right w:val="nil"/>
            </w:tcBorders>
            <w:shd w:val="clear" w:color="auto" w:fill="auto"/>
            <w:vAlign w:val="center"/>
          </w:tcPr>
          <w:p w14:paraId="25F5E59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221.55</w:t>
            </w:r>
          </w:p>
        </w:tc>
        <w:tc>
          <w:tcPr>
            <w:tcW w:w="1075" w:type="dxa"/>
            <w:tcBorders>
              <w:top w:val="nil"/>
              <w:left w:val="nil"/>
              <w:bottom w:val="nil"/>
              <w:right w:val="nil"/>
            </w:tcBorders>
            <w:shd w:val="clear" w:color="auto" w:fill="auto"/>
            <w:vAlign w:val="center"/>
          </w:tcPr>
          <w:p w14:paraId="29DF423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70C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747" w:type="dxa"/>
            <w:tcBorders>
              <w:top w:val="nil"/>
              <w:left w:val="nil"/>
              <w:bottom w:val="nil"/>
              <w:right w:val="nil"/>
            </w:tcBorders>
            <w:shd w:val="clear" w:color="auto" w:fill="auto"/>
            <w:vAlign w:val="center"/>
          </w:tcPr>
          <w:p w14:paraId="7B673FE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HbA1c</w:t>
            </w:r>
          </w:p>
        </w:tc>
        <w:tc>
          <w:tcPr>
            <w:tcW w:w="776" w:type="dxa"/>
            <w:tcBorders>
              <w:top w:val="nil"/>
              <w:left w:val="nil"/>
              <w:bottom w:val="nil"/>
              <w:right w:val="nil"/>
            </w:tcBorders>
            <w:shd w:val="clear" w:color="auto" w:fill="auto"/>
            <w:vAlign w:val="center"/>
          </w:tcPr>
          <w:p w14:paraId="1B4F4C2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8890</w:t>
            </w:r>
          </w:p>
        </w:tc>
        <w:tc>
          <w:tcPr>
            <w:tcW w:w="859" w:type="dxa"/>
            <w:tcBorders>
              <w:top w:val="nil"/>
              <w:left w:val="nil"/>
              <w:bottom w:val="nil"/>
              <w:right w:val="nil"/>
            </w:tcBorders>
            <w:shd w:val="clear" w:color="auto" w:fill="auto"/>
            <w:vAlign w:val="center"/>
          </w:tcPr>
          <w:p w14:paraId="4E26D91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810</w:t>
            </w:r>
          </w:p>
        </w:tc>
        <w:tc>
          <w:tcPr>
            <w:tcW w:w="2337" w:type="dxa"/>
            <w:tcBorders>
              <w:top w:val="nil"/>
              <w:left w:val="nil"/>
              <w:bottom w:val="nil"/>
              <w:right w:val="nil"/>
            </w:tcBorders>
            <w:shd w:val="clear" w:color="auto" w:fill="auto"/>
            <w:vAlign w:val="center"/>
          </w:tcPr>
          <w:p w14:paraId="04B744D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0.660 (0.009)</w:t>
            </w:r>
          </w:p>
        </w:tc>
        <w:tc>
          <w:tcPr>
            <w:tcW w:w="1098" w:type="dxa"/>
            <w:tcBorders>
              <w:top w:val="nil"/>
              <w:left w:val="nil"/>
              <w:bottom w:val="nil"/>
              <w:right w:val="nil"/>
            </w:tcBorders>
            <w:shd w:val="clear" w:color="auto" w:fill="auto"/>
            <w:vAlign w:val="center"/>
          </w:tcPr>
          <w:p w14:paraId="103F50D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14262.49</w:t>
            </w:r>
          </w:p>
        </w:tc>
        <w:tc>
          <w:tcPr>
            <w:tcW w:w="941" w:type="dxa"/>
            <w:tcBorders>
              <w:top w:val="nil"/>
              <w:left w:val="nil"/>
              <w:bottom w:val="nil"/>
              <w:right w:val="nil"/>
            </w:tcBorders>
            <w:shd w:val="clear" w:color="auto" w:fill="auto"/>
            <w:vAlign w:val="center"/>
          </w:tcPr>
          <w:p w14:paraId="11E9598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233.24</w:t>
            </w:r>
          </w:p>
        </w:tc>
        <w:tc>
          <w:tcPr>
            <w:tcW w:w="1075" w:type="dxa"/>
            <w:tcBorders>
              <w:top w:val="nil"/>
              <w:left w:val="nil"/>
              <w:bottom w:val="nil"/>
              <w:right w:val="nil"/>
            </w:tcBorders>
            <w:shd w:val="clear" w:color="auto" w:fill="auto"/>
            <w:vAlign w:val="center"/>
          </w:tcPr>
          <w:p w14:paraId="354687B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4C2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747" w:type="dxa"/>
            <w:tcBorders>
              <w:top w:val="nil"/>
              <w:left w:val="nil"/>
              <w:bottom w:val="nil"/>
              <w:right w:val="nil"/>
            </w:tcBorders>
            <w:shd w:val="clear" w:color="auto" w:fill="auto"/>
            <w:vAlign w:val="center"/>
          </w:tcPr>
          <w:p w14:paraId="7FD201C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SBP</w:t>
            </w:r>
          </w:p>
        </w:tc>
        <w:tc>
          <w:tcPr>
            <w:tcW w:w="776" w:type="dxa"/>
            <w:tcBorders>
              <w:top w:val="nil"/>
              <w:left w:val="nil"/>
              <w:bottom w:val="nil"/>
              <w:right w:val="nil"/>
            </w:tcBorders>
            <w:shd w:val="clear" w:color="auto" w:fill="auto"/>
            <w:vAlign w:val="center"/>
          </w:tcPr>
          <w:p w14:paraId="5BBD17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8890</w:t>
            </w:r>
          </w:p>
        </w:tc>
        <w:tc>
          <w:tcPr>
            <w:tcW w:w="859" w:type="dxa"/>
            <w:tcBorders>
              <w:top w:val="nil"/>
              <w:left w:val="nil"/>
              <w:bottom w:val="nil"/>
              <w:right w:val="nil"/>
            </w:tcBorders>
            <w:shd w:val="clear" w:color="auto" w:fill="auto"/>
            <w:vAlign w:val="center"/>
          </w:tcPr>
          <w:p w14:paraId="77DC37F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810</w:t>
            </w:r>
          </w:p>
        </w:tc>
        <w:tc>
          <w:tcPr>
            <w:tcW w:w="2337" w:type="dxa"/>
            <w:tcBorders>
              <w:top w:val="nil"/>
              <w:left w:val="nil"/>
              <w:bottom w:val="nil"/>
              <w:right w:val="nil"/>
            </w:tcBorders>
            <w:shd w:val="clear" w:color="auto" w:fill="auto"/>
            <w:vAlign w:val="center"/>
          </w:tcPr>
          <w:p w14:paraId="598B9CE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0.672 (0.009)</w:t>
            </w:r>
          </w:p>
        </w:tc>
        <w:tc>
          <w:tcPr>
            <w:tcW w:w="1098" w:type="dxa"/>
            <w:tcBorders>
              <w:top w:val="nil"/>
              <w:left w:val="nil"/>
              <w:bottom w:val="nil"/>
              <w:right w:val="nil"/>
            </w:tcBorders>
            <w:shd w:val="clear" w:color="auto" w:fill="auto"/>
            <w:vAlign w:val="center"/>
          </w:tcPr>
          <w:p w14:paraId="2F4DB5B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14214.88</w:t>
            </w:r>
          </w:p>
        </w:tc>
        <w:tc>
          <w:tcPr>
            <w:tcW w:w="941" w:type="dxa"/>
            <w:tcBorders>
              <w:top w:val="nil"/>
              <w:left w:val="nil"/>
              <w:bottom w:val="nil"/>
              <w:right w:val="nil"/>
            </w:tcBorders>
            <w:shd w:val="clear" w:color="auto" w:fill="auto"/>
            <w:vAlign w:val="center"/>
          </w:tcPr>
          <w:p w14:paraId="553B85D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280.85</w:t>
            </w:r>
          </w:p>
        </w:tc>
        <w:tc>
          <w:tcPr>
            <w:tcW w:w="1075" w:type="dxa"/>
            <w:tcBorders>
              <w:top w:val="nil"/>
              <w:left w:val="nil"/>
              <w:bottom w:val="nil"/>
              <w:right w:val="nil"/>
            </w:tcBorders>
            <w:shd w:val="clear" w:color="auto" w:fill="auto"/>
            <w:vAlign w:val="center"/>
          </w:tcPr>
          <w:p w14:paraId="7129839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3AB4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747" w:type="dxa"/>
            <w:tcBorders>
              <w:top w:val="nil"/>
              <w:left w:val="nil"/>
              <w:bottom w:val="single" w:color="000000" w:sz="4" w:space="0"/>
              <w:right w:val="nil"/>
            </w:tcBorders>
            <w:shd w:val="clear" w:color="auto" w:fill="auto"/>
            <w:vAlign w:val="center"/>
          </w:tcPr>
          <w:p w14:paraId="356FBFA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HSI</w:t>
            </w:r>
          </w:p>
        </w:tc>
        <w:tc>
          <w:tcPr>
            <w:tcW w:w="776" w:type="dxa"/>
            <w:tcBorders>
              <w:top w:val="nil"/>
              <w:left w:val="nil"/>
              <w:bottom w:val="single" w:color="000000" w:sz="4" w:space="0"/>
              <w:right w:val="nil"/>
            </w:tcBorders>
            <w:shd w:val="clear" w:color="auto" w:fill="auto"/>
            <w:vAlign w:val="center"/>
          </w:tcPr>
          <w:p w14:paraId="38A0D96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8890</w:t>
            </w:r>
          </w:p>
        </w:tc>
        <w:tc>
          <w:tcPr>
            <w:tcW w:w="859" w:type="dxa"/>
            <w:tcBorders>
              <w:top w:val="nil"/>
              <w:left w:val="nil"/>
              <w:bottom w:val="single" w:color="000000" w:sz="4" w:space="0"/>
              <w:right w:val="nil"/>
            </w:tcBorders>
            <w:shd w:val="clear" w:color="auto" w:fill="auto"/>
            <w:vAlign w:val="center"/>
          </w:tcPr>
          <w:p w14:paraId="1373B4C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810</w:t>
            </w:r>
          </w:p>
        </w:tc>
        <w:tc>
          <w:tcPr>
            <w:tcW w:w="2337" w:type="dxa"/>
            <w:tcBorders>
              <w:top w:val="nil"/>
              <w:left w:val="nil"/>
              <w:bottom w:val="single" w:color="000000" w:sz="4" w:space="0"/>
              <w:right w:val="nil"/>
            </w:tcBorders>
            <w:shd w:val="clear" w:color="auto" w:fill="auto"/>
            <w:vAlign w:val="center"/>
          </w:tcPr>
          <w:p w14:paraId="54245A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0.673 (0.009)</w:t>
            </w:r>
          </w:p>
        </w:tc>
        <w:tc>
          <w:tcPr>
            <w:tcW w:w="1098" w:type="dxa"/>
            <w:tcBorders>
              <w:top w:val="nil"/>
              <w:left w:val="nil"/>
              <w:bottom w:val="single" w:color="000000" w:sz="4" w:space="0"/>
              <w:right w:val="nil"/>
            </w:tcBorders>
            <w:shd w:val="clear" w:color="auto" w:fill="auto"/>
            <w:vAlign w:val="center"/>
          </w:tcPr>
          <w:p w14:paraId="35ED4A8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14219.42</w:t>
            </w:r>
          </w:p>
        </w:tc>
        <w:tc>
          <w:tcPr>
            <w:tcW w:w="941" w:type="dxa"/>
            <w:tcBorders>
              <w:top w:val="nil"/>
              <w:left w:val="nil"/>
              <w:bottom w:val="single" w:color="000000" w:sz="4" w:space="0"/>
              <w:right w:val="nil"/>
            </w:tcBorders>
            <w:shd w:val="clear" w:color="auto" w:fill="auto"/>
            <w:vAlign w:val="center"/>
          </w:tcPr>
          <w:p w14:paraId="05E66CC5">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276.31</w:t>
            </w:r>
          </w:p>
        </w:tc>
        <w:tc>
          <w:tcPr>
            <w:tcW w:w="1075" w:type="dxa"/>
            <w:tcBorders>
              <w:top w:val="nil"/>
              <w:left w:val="nil"/>
              <w:bottom w:val="single" w:color="000000" w:sz="4" w:space="0"/>
              <w:right w:val="nil"/>
            </w:tcBorders>
            <w:shd w:val="clear" w:color="auto" w:fill="auto"/>
            <w:vAlign w:val="center"/>
          </w:tcPr>
          <w:p w14:paraId="2FAFD5E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bl>
    <w:p w14:paraId="5076ED46">
      <w:pPr>
        <w:rPr>
          <w:rFonts w:hint="eastAsia" w:eastAsiaTheme="minorEastAsia"/>
          <w:b/>
          <w:bCs/>
          <w:lang w:val="en-US" w:eastAsia="zh-CN"/>
        </w:rPr>
      </w:pPr>
      <w:r>
        <w:rPr>
          <w:b/>
          <w:bCs/>
        </w:rPr>
        <w:t xml:space="preserve">Table S4. </w:t>
      </w:r>
      <w:r>
        <w:rPr>
          <w:rFonts w:hint="eastAsia" w:eastAsiaTheme="minorEastAsia"/>
          <w:b/>
          <w:bCs/>
          <w:lang w:val="en-US" w:eastAsia="zh-CN"/>
        </w:rPr>
        <w:t>Model pe</w:t>
      </w:r>
      <w:r>
        <w:rPr>
          <w:rFonts w:hint="eastAsia" w:eastAsiaTheme="minorEastAsia"/>
          <w:b/>
          <w:bCs/>
          <w:lang w:val="en-US" w:eastAsia="zh-CN"/>
        </w:rPr>
        <w:t>rformance comparison for predicting incident stroke</w:t>
      </w:r>
    </w:p>
    <w:p w14:paraId="1990E343">
      <w:pPr>
        <w:pStyle w:val="12"/>
      </w:pPr>
    </w:p>
    <w:p w14:paraId="6C7368B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宋体" w:cs="Times New Roman"/>
          <w:i w:val="0"/>
          <w:iCs w:val="0"/>
          <w:caps w:val="0"/>
          <w:color w:val="000000"/>
          <w:spacing w:val="0"/>
          <w:kern w:val="0"/>
          <w:sz w:val="21"/>
          <w:szCs w:val="21"/>
          <w:shd w:val="clear" w:fill="FFFFFF"/>
          <w:lang w:val="en-US" w:eastAsia="zh-CN" w:bidi="ar"/>
        </w:rPr>
      </w:pPr>
      <w:r>
        <w:t>Clinical model includes age, gender, rurality, education, smoking, drinking, BMI, dyslipidemia, and heart disease.</w:t>
      </w:r>
      <w:r>
        <w:rPr>
          <w:rFonts w:hint="eastAsia"/>
          <w:lang w:val="en-US" w:eastAsia="zh-CN"/>
        </w:rPr>
        <w:t xml:space="preserve"> </w:t>
      </w:r>
      <w:r>
        <w:rPr>
          <w:rFonts w:hint="default"/>
          <w:lang w:val="en-US" w:eastAsia="zh-CN"/>
        </w:rPr>
        <w:t>Abbreviations: HR, hazard ratio; CI, confidence interval; HSI, hemoglobin A1c-systolic blood pressure index</w:t>
      </w:r>
      <w:r>
        <w:rPr>
          <w:rFonts w:hint="eastAsia"/>
          <w:lang w:val="en-US" w:eastAsia="zh-CN"/>
        </w:rPr>
        <w:t xml:space="preserve">; </w:t>
      </w:r>
      <w:r>
        <w:rPr>
          <w:rFonts w:hint="default" w:ascii="Times New Roman" w:hAnsi="Times New Roman" w:eastAsia="宋体" w:cs="Times New Roman"/>
          <w:i w:val="0"/>
          <w:iCs w:val="0"/>
          <w:caps w:val="0"/>
          <w:color w:val="000000"/>
          <w:spacing w:val="0"/>
          <w:kern w:val="0"/>
          <w:sz w:val="21"/>
          <w:szCs w:val="21"/>
          <w:shd w:val="clear" w:fill="FFFFFF"/>
          <w:lang w:val="en-US" w:eastAsia="zh-CN" w:bidi="ar"/>
        </w:rPr>
        <w:t>SBP, systolic blood pressure</w:t>
      </w:r>
      <w:r>
        <w:rPr>
          <w:rFonts w:hint="eastAsia" w:eastAsia="宋体" w:cs="Times New Roman"/>
          <w:i w:val="0"/>
          <w:iCs w:val="0"/>
          <w:caps w:val="0"/>
          <w:color w:val="000000"/>
          <w:spacing w:val="0"/>
          <w:kern w:val="0"/>
          <w:sz w:val="21"/>
          <w:szCs w:val="21"/>
          <w:shd w:val="clear" w:fill="FFFFFF"/>
          <w:lang w:val="en-US" w:eastAsia="zh-CN" w:bidi="ar"/>
        </w:rPr>
        <w:t>.</w:t>
      </w:r>
    </w:p>
    <w:p w14:paraId="25794FD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ascii="Times New Roman" w:hAnsi="Times New Roman" w:eastAsiaTheme="minorEastAsia" w:cstheme="minorBidi"/>
          <w:b/>
          <w:bCs/>
          <w:kern w:val="2"/>
          <w:sz w:val="24"/>
          <w:szCs w:val="24"/>
          <w:lang w:val="en-US" w:eastAsia="zh-CN" w:bidi="ar-SA"/>
        </w:rPr>
      </w:pPr>
      <w:r>
        <w:rPr>
          <w:rFonts w:hint="eastAsia" w:ascii="Times New Roman" w:hAnsi="Times New Roman" w:eastAsiaTheme="minorEastAsia" w:cstheme="minorBidi"/>
          <w:b/>
          <w:bCs/>
          <w:kern w:val="2"/>
          <w:sz w:val="24"/>
          <w:szCs w:val="24"/>
          <w:lang w:val="en-US" w:eastAsia="zh-CN" w:bidi="ar-SA"/>
        </w:rPr>
        <w:t>Table S5. E</w:t>
      </w:r>
      <w:r>
        <w:rPr>
          <w:rFonts w:hint="eastAsia" w:ascii="Times New Roman" w:hAnsi="Times New Roman" w:eastAsiaTheme="minorEastAsia" w:cstheme="minorBidi"/>
          <w:b/>
          <w:bCs/>
          <w:kern w:val="2"/>
          <w:sz w:val="24"/>
          <w:szCs w:val="24"/>
          <w:lang w:val="en-US" w:eastAsia="zh-CN" w:bidi="ar-SA"/>
        </w:rPr>
        <w:noBreakHyphen/>
      </w:r>
      <w:r>
        <w:rPr>
          <w:rFonts w:hint="eastAsia" w:ascii="Times New Roman" w:hAnsi="Times New Roman" w:eastAsiaTheme="minorEastAsia" w:cstheme="minorBidi"/>
          <w:b/>
          <w:bCs/>
          <w:kern w:val="2"/>
          <w:sz w:val="24"/>
          <w:szCs w:val="24"/>
          <w:lang w:val="en-US" w:eastAsia="zh-CN" w:bidi="ar-SA"/>
        </w:rPr>
        <w:t>value analysis for the association between cumulative HSI and incident stroke</w:t>
      </w:r>
    </w:p>
    <w:tbl>
      <w:tblPr>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18"/>
        <w:gridCol w:w="1950"/>
        <w:gridCol w:w="3451"/>
      </w:tblGrid>
      <w:tr w14:paraId="52192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3118" w:type="dxa"/>
            <w:tcBorders>
              <w:top w:val="single" w:color="000000" w:sz="4" w:space="0"/>
              <w:left w:val="nil"/>
              <w:bottom w:val="single" w:color="000000" w:sz="4" w:space="0"/>
              <w:right w:val="nil"/>
            </w:tcBorders>
            <w:shd w:val="clear" w:color="auto" w:fill="FFFFFF"/>
            <w:vAlign w:val="center"/>
          </w:tcPr>
          <w:p w14:paraId="5A34130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Exposure</w:t>
            </w:r>
          </w:p>
        </w:tc>
        <w:tc>
          <w:tcPr>
            <w:tcW w:w="1950" w:type="dxa"/>
            <w:tcBorders>
              <w:top w:val="single" w:color="000000" w:sz="4" w:space="0"/>
              <w:left w:val="nil"/>
              <w:bottom w:val="single" w:color="000000" w:sz="4" w:space="0"/>
              <w:right w:val="nil"/>
            </w:tcBorders>
            <w:shd w:val="clear" w:color="auto" w:fill="FFFFFF"/>
            <w:vAlign w:val="center"/>
          </w:tcPr>
          <w:p w14:paraId="5914D00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HR (95% CI)</w:t>
            </w:r>
          </w:p>
        </w:tc>
        <w:tc>
          <w:tcPr>
            <w:tcW w:w="3451" w:type="dxa"/>
            <w:tcBorders>
              <w:top w:val="single" w:color="000000" w:sz="4" w:space="0"/>
              <w:left w:val="nil"/>
              <w:bottom w:val="single" w:color="000000" w:sz="4" w:space="0"/>
              <w:right w:val="nil"/>
            </w:tcBorders>
            <w:shd w:val="clear" w:color="auto" w:fill="FFFFFF"/>
            <w:vAlign w:val="center"/>
          </w:tcPr>
          <w:p w14:paraId="3BA0602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F1115"/>
                <w:sz w:val="22"/>
                <w:szCs w:val="22"/>
                <w:u w:val="none"/>
              </w:rPr>
            </w:pP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E</w:t>
            </w: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noBreakHyphen/>
            </w:r>
            <w:r>
              <w:rPr>
                <w:rFonts w:hint="default" w:ascii="Times New Roman" w:hAnsi="Times New Roman" w:eastAsia="宋体" w:cs="Times New Roman"/>
                <w:b/>
                <w:i w:val="0"/>
                <w:iCs w:val="0"/>
                <w:color w:val="0F1115"/>
                <w:kern w:val="0"/>
                <w:sz w:val="22"/>
                <w:szCs w:val="22"/>
                <w:u w:val="none"/>
                <w:bdr w:val="none" w:color="auto" w:sz="0" w:space="0"/>
                <w:lang w:val="en-US" w:eastAsia="zh-CN" w:bidi="ar"/>
              </w:rPr>
              <w:t>value (95% CI lower bound)</w:t>
            </w:r>
          </w:p>
        </w:tc>
      </w:tr>
      <w:tr w14:paraId="7E537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3118" w:type="dxa"/>
            <w:tcBorders>
              <w:top w:val="nil"/>
              <w:left w:val="nil"/>
              <w:bottom w:val="single" w:color="000000" w:sz="4" w:space="0"/>
              <w:right w:val="nil"/>
            </w:tcBorders>
            <w:shd w:val="clear" w:color="auto" w:fill="FFFFFF"/>
            <w:vAlign w:val="center"/>
          </w:tcPr>
          <w:p w14:paraId="1781534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Cumulative HSI (per 1</w:t>
            </w:r>
            <w:r>
              <w:rPr>
                <w:rFonts w:hint="default" w:ascii="Times New Roman" w:hAnsi="Times New Roman" w:eastAsia="宋体" w:cs="Times New Roman"/>
                <w:i w:val="0"/>
                <w:iCs w:val="0"/>
                <w:color w:val="0F1115"/>
                <w:kern w:val="0"/>
                <w:sz w:val="22"/>
                <w:szCs w:val="22"/>
                <w:u w:val="none"/>
                <w:bdr w:val="none" w:color="auto" w:sz="0" w:space="0"/>
                <w:lang w:val="en-US" w:eastAsia="zh-CN" w:bidi="ar"/>
              </w:rPr>
              <w:noBreakHyphen/>
            </w:r>
            <w:r>
              <w:rPr>
                <w:rFonts w:hint="default" w:ascii="Times New Roman" w:hAnsi="Times New Roman" w:eastAsia="宋体" w:cs="Times New Roman"/>
                <w:i w:val="0"/>
                <w:iCs w:val="0"/>
                <w:color w:val="0F1115"/>
                <w:kern w:val="0"/>
                <w:sz w:val="22"/>
                <w:szCs w:val="22"/>
                <w:u w:val="none"/>
                <w:bdr w:val="none" w:color="auto" w:sz="0" w:space="0"/>
                <w:lang w:val="en-US" w:eastAsia="zh-CN" w:bidi="ar"/>
              </w:rPr>
              <w:t>SD)</w:t>
            </w:r>
          </w:p>
        </w:tc>
        <w:tc>
          <w:tcPr>
            <w:tcW w:w="1950" w:type="dxa"/>
            <w:tcBorders>
              <w:top w:val="nil"/>
              <w:left w:val="nil"/>
              <w:bottom w:val="single" w:color="000000" w:sz="4" w:space="0"/>
              <w:right w:val="nil"/>
            </w:tcBorders>
            <w:shd w:val="clear" w:color="auto" w:fill="FFFFFF"/>
            <w:vAlign w:val="center"/>
          </w:tcPr>
          <w:p w14:paraId="73F5E9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1.16 (1.10–1.22)</w:t>
            </w:r>
          </w:p>
        </w:tc>
        <w:tc>
          <w:tcPr>
            <w:tcW w:w="3451" w:type="dxa"/>
            <w:tcBorders>
              <w:top w:val="nil"/>
              <w:left w:val="nil"/>
              <w:bottom w:val="single" w:color="000000" w:sz="4" w:space="0"/>
              <w:right w:val="nil"/>
            </w:tcBorders>
            <w:shd w:val="clear" w:color="auto" w:fill="FFFFFF"/>
            <w:vAlign w:val="center"/>
          </w:tcPr>
          <w:p w14:paraId="7865E05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F1115"/>
                <w:sz w:val="22"/>
                <w:szCs w:val="22"/>
                <w:u w:val="none"/>
              </w:rPr>
            </w:pPr>
            <w:r>
              <w:rPr>
                <w:rFonts w:hint="default" w:ascii="Times New Roman" w:hAnsi="Times New Roman" w:eastAsia="宋体" w:cs="Times New Roman"/>
                <w:i w:val="0"/>
                <w:iCs w:val="0"/>
                <w:color w:val="0F1115"/>
                <w:kern w:val="0"/>
                <w:sz w:val="22"/>
                <w:szCs w:val="22"/>
                <w:u w:val="none"/>
                <w:bdr w:val="none" w:color="auto" w:sz="0" w:space="0"/>
                <w:lang w:val="en-US" w:eastAsia="zh-CN" w:bidi="ar"/>
              </w:rPr>
              <w:t>1.59 (1.44)</w:t>
            </w:r>
          </w:p>
        </w:tc>
      </w:tr>
    </w:tbl>
    <w:p w14:paraId="0687F67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lang w:val="en-US" w:eastAsia="zh-CN"/>
        </w:rPr>
      </w:pPr>
      <w:r>
        <w:rPr>
          <w:rFonts w:hint="eastAsia"/>
          <w:lang w:val="en-US" w:eastAsia="zh-CN"/>
        </w:rPr>
        <w:t>The E</w:t>
      </w:r>
      <w:r>
        <w:rPr>
          <w:rFonts w:hint="eastAsia"/>
          <w:lang w:val="en-US" w:eastAsia="zh-CN"/>
        </w:rPr>
        <w:noBreakHyphen/>
      </w:r>
      <w:r>
        <w:rPr>
          <w:rFonts w:hint="eastAsia"/>
          <w:lang w:val="en-US" w:eastAsia="zh-CN"/>
        </w:rPr>
        <w:t>value quantifies the minimum strength of association that an unmeasured confounder would need to have with both the exposure and the outcome to fully explain the observed association. The lower bound of the E</w:t>
      </w:r>
      <w:r>
        <w:rPr>
          <w:rFonts w:hint="eastAsia"/>
          <w:lang w:val="en-US" w:eastAsia="zh-CN"/>
        </w:rPr>
        <w:noBreakHyphen/>
      </w:r>
      <w:r>
        <w:rPr>
          <w:rFonts w:hint="eastAsia"/>
          <w:lang w:val="en-US" w:eastAsia="zh-CN"/>
        </w:rPr>
        <w:t>value is based on the lower limit of the 95% CI for the HR.</w:t>
      </w:r>
    </w:p>
    <w:p w14:paraId="76429AE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lang w:val="en-US" w:eastAsia="zh-CN"/>
        </w:rPr>
      </w:pPr>
      <w:r>
        <w:rPr>
          <w:rFonts w:hint="eastAsia"/>
          <w:lang w:val="en-US" w:eastAsia="zh-CN"/>
        </w:rPr>
        <w:t>Abbreviations: HR, hazard ratio; CI, confidence interval; SD, standard deviation; HSI, hemoglobin A1c</w:t>
      </w:r>
      <w:r>
        <w:rPr>
          <w:rFonts w:hint="eastAsia"/>
          <w:lang w:val="en-US" w:eastAsia="zh-CN"/>
        </w:rPr>
        <w:noBreakHyphen/>
      </w:r>
      <w:r>
        <w:rPr>
          <w:rFonts w:hint="eastAsia"/>
          <w:lang w:val="en-US" w:eastAsia="zh-CN"/>
        </w:rPr>
        <w:t>systolic blood pressure index.</w:t>
      </w:r>
    </w:p>
    <w:p w14:paraId="74D556B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lang w:val="en-US" w:eastAsia="zh-CN"/>
        </w:rPr>
      </w:pPr>
      <w:bookmarkStart w:id="0" w:name="_GoBack"/>
      <w:bookmarkEnd w:id="0"/>
    </w:p>
    <w:p w14:paraId="60311C4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center"/>
        <w:rPr>
          <w:rFonts w:hint="eastAsia" w:eastAsiaTheme="minorEastAsia"/>
          <w:b/>
          <w:bCs/>
          <w:lang w:val="en-US" w:eastAsia="zh-CN"/>
        </w:rPr>
      </w:pPr>
      <w:r>
        <w:rPr>
          <w:rFonts w:hint="eastAsia" w:eastAsiaTheme="minorEastAsia"/>
          <w:b/>
          <w:bCs/>
          <w:lang w:val="en-US" w:eastAsia="zh-CN"/>
        </w:rPr>
        <w:t>Table S6.</w:t>
      </w:r>
      <w:r>
        <w:rPr>
          <w:rFonts w:hint="eastAsia" w:eastAsiaTheme="minorEastAsia"/>
          <w:b/>
          <w:bCs/>
          <w:lang w:val="en-US" w:eastAsia="zh-CN"/>
        </w:rPr>
        <w:t>K-means clustering of HSI trajectories and stroke risk</w:t>
      </w:r>
    </w:p>
    <w:tbl>
      <w:tblPr>
        <w:tblW w:w="85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844"/>
        <w:gridCol w:w="854"/>
        <w:gridCol w:w="1434"/>
        <w:gridCol w:w="1434"/>
        <w:gridCol w:w="1899"/>
        <w:gridCol w:w="1058"/>
      </w:tblGrid>
      <w:tr w14:paraId="435C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844" w:type="dxa"/>
            <w:tcBorders>
              <w:top w:val="single" w:color="000000" w:sz="4" w:space="0"/>
              <w:left w:val="nil"/>
              <w:bottom w:val="single" w:color="000000" w:sz="4" w:space="0"/>
              <w:right w:val="nil"/>
            </w:tcBorders>
            <w:shd w:val="clear"/>
            <w:vAlign w:val="center"/>
          </w:tcPr>
          <w:p w14:paraId="616F03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Cluster</w:t>
            </w:r>
          </w:p>
        </w:tc>
        <w:tc>
          <w:tcPr>
            <w:tcW w:w="854" w:type="dxa"/>
            <w:tcBorders>
              <w:top w:val="single" w:color="000000" w:sz="4" w:space="0"/>
              <w:left w:val="nil"/>
              <w:bottom w:val="single" w:color="000000" w:sz="4" w:space="0"/>
              <w:right w:val="nil"/>
            </w:tcBorders>
            <w:shd w:val="clear"/>
            <w:vAlign w:val="center"/>
          </w:tcPr>
          <w:p w14:paraId="66291A4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N</w:t>
            </w:r>
          </w:p>
        </w:tc>
        <w:tc>
          <w:tcPr>
            <w:tcW w:w="1434" w:type="dxa"/>
            <w:tcBorders>
              <w:top w:val="single" w:color="000000" w:sz="4" w:space="0"/>
              <w:left w:val="nil"/>
              <w:bottom w:val="single" w:color="000000" w:sz="4" w:space="0"/>
              <w:right w:val="nil"/>
            </w:tcBorders>
            <w:shd w:val="clear"/>
            <w:vAlign w:val="center"/>
          </w:tcPr>
          <w:p w14:paraId="244B11A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HSI (2011)</w:t>
            </w:r>
          </w:p>
        </w:tc>
        <w:tc>
          <w:tcPr>
            <w:tcW w:w="1434" w:type="dxa"/>
            <w:tcBorders>
              <w:top w:val="single" w:color="000000" w:sz="4" w:space="0"/>
              <w:left w:val="nil"/>
              <w:bottom w:val="single" w:color="000000" w:sz="4" w:space="0"/>
              <w:right w:val="nil"/>
            </w:tcBorders>
            <w:shd w:val="clear"/>
            <w:vAlign w:val="center"/>
          </w:tcPr>
          <w:p w14:paraId="3474435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HSI (2015)</w:t>
            </w:r>
          </w:p>
        </w:tc>
        <w:tc>
          <w:tcPr>
            <w:tcW w:w="1899" w:type="dxa"/>
            <w:tcBorders>
              <w:top w:val="single" w:color="000000" w:sz="4" w:space="0"/>
              <w:left w:val="nil"/>
              <w:bottom w:val="single" w:color="000000" w:sz="4" w:space="0"/>
              <w:right w:val="nil"/>
            </w:tcBorders>
            <w:shd w:val="clear"/>
            <w:vAlign w:val="center"/>
          </w:tcPr>
          <w:p w14:paraId="2292724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HR (95% CI)</w:t>
            </w:r>
          </w:p>
        </w:tc>
        <w:tc>
          <w:tcPr>
            <w:tcW w:w="1058" w:type="dxa"/>
            <w:tcBorders>
              <w:top w:val="single" w:color="000000" w:sz="4" w:space="0"/>
              <w:left w:val="nil"/>
              <w:bottom w:val="single" w:color="000000" w:sz="4" w:space="0"/>
              <w:right w:val="nil"/>
            </w:tcBorders>
            <w:shd w:val="clear"/>
            <w:vAlign w:val="center"/>
          </w:tcPr>
          <w:p w14:paraId="17F21B6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bdr w:val="none" w:color="auto" w:sz="0" w:space="0"/>
                <w:lang w:val="en-US" w:eastAsia="zh-CN" w:bidi="ar"/>
              </w:rPr>
              <w:t>P</w:t>
            </w:r>
            <w:r>
              <w:rPr>
                <w:rStyle w:val="29"/>
                <w:rFonts w:eastAsia="宋体"/>
                <w:b/>
                <w:bdr w:val="none" w:color="auto" w:sz="0" w:space="0"/>
                <w:lang w:val="en-US" w:eastAsia="zh-CN" w:bidi="ar"/>
              </w:rPr>
              <w:t xml:space="preserve"> value</w:t>
            </w:r>
          </w:p>
        </w:tc>
      </w:tr>
      <w:tr w14:paraId="26B9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vAlign w:val="center"/>
          </w:tcPr>
          <w:p w14:paraId="27851B4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Low-stable</w:t>
            </w:r>
          </w:p>
        </w:tc>
        <w:tc>
          <w:tcPr>
            <w:tcW w:w="854" w:type="dxa"/>
            <w:tcBorders>
              <w:top w:val="nil"/>
              <w:left w:val="nil"/>
              <w:bottom w:val="nil"/>
              <w:right w:val="nil"/>
            </w:tcBorders>
            <w:shd w:val="clear"/>
            <w:vAlign w:val="center"/>
          </w:tcPr>
          <w:p w14:paraId="6F7BAC6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3313</w:t>
            </w:r>
          </w:p>
        </w:tc>
        <w:tc>
          <w:tcPr>
            <w:tcW w:w="1434" w:type="dxa"/>
            <w:tcBorders>
              <w:top w:val="nil"/>
              <w:left w:val="nil"/>
              <w:bottom w:val="nil"/>
              <w:right w:val="nil"/>
            </w:tcBorders>
            <w:shd w:val="clear"/>
            <w:vAlign w:val="center"/>
          </w:tcPr>
          <w:p w14:paraId="7C86DC7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5.86</w:t>
            </w:r>
          </w:p>
        </w:tc>
        <w:tc>
          <w:tcPr>
            <w:tcW w:w="1434" w:type="dxa"/>
            <w:tcBorders>
              <w:top w:val="nil"/>
              <w:left w:val="nil"/>
              <w:bottom w:val="nil"/>
              <w:right w:val="nil"/>
            </w:tcBorders>
            <w:shd w:val="clear"/>
            <w:vAlign w:val="center"/>
          </w:tcPr>
          <w:p w14:paraId="0A526037">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6.68</w:t>
            </w:r>
          </w:p>
        </w:tc>
        <w:tc>
          <w:tcPr>
            <w:tcW w:w="1899" w:type="dxa"/>
            <w:tcBorders>
              <w:top w:val="nil"/>
              <w:left w:val="nil"/>
              <w:bottom w:val="nil"/>
              <w:right w:val="nil"/>
            </w:tcBorders>
            <w:shd w:val="clear"/>
            <w:vAlign w:val="center"/>
          </w:tcPr>
          <w:p w14:paraId="7BE0F7E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1058" w:type="dxa"/>
            <w:tcBorders>
              <w:top w:val="nil"/>
              <w:left w:val="nil"/>
              <w:bottom w:val="nil"/>
              <w:right w:val="nil"/>
            </w:tcBorders>
            <w:shd w:val="clear"/>
            <w:vAlign w:val="center"/>
          </w:tcPr>
          <w:p w14:paraId="4CF28FA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t>
            </w:r>
          </w:p>
        </w:tc>
      </w:tr>
      <w:tr w14:paraId="6D68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844" w:type="dxa"/>
            <w:tcBorders>
              <w:top w:val="nil"/>
              <w:left w:val="nil"/>
              <w:bottom w:val="nil"/>
              <w:right w:val="nil"/>
            </w:tcBorders>
            <w:shd w:val="clear"/>
            <w:vAlign w:val="center"/>
          </w:tcPr>
          <w:p w14:paraId="20C5879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Moderate-rising</w:t>
            </w:r>
          </w:p>
        </w:tc>
        <w:tc>
          <w:tcPr>
            <w:tcW w:w="854" w:type="dxa"/>
            <w:tcBorders>
              <w:top w:val="nil"/>
              <w:left w:val="nil"/>
              <w:bottom w:val="nil"/>
              <w:right w:val="nil"/>
            </w:tcBorders>
            <w:shd w:val="clear"/>
            <w:vAlign w:val="center"/>
          </w:tcPr>
          <w:p w14:paraId="2EC83D5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2148</w:t>
            </w:r>
          </w:p>
        </w:tc>
        <w:tc>
          <w:tcPr>
            <w:tcW w:w="1434" w:type="dxa"/>
            <w:tcBorders>
              <w:top w:val="nil"/>
              <w:left w:val="nil"/>
              <w:bottom w:val="nil"/>
              <w:right w:val="nil"/>
            </w:tcBorders>
            <w:shd w:val="clear"/>
            <w:vAlign w:val="center"/>
          </w:tcPr>
          <w:p w14:paraId="291906F7">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7.59</w:t>
            </w:r>
          </w:p>
        </w:tc>
        <w:tc>
          <w:tcPr>
            <w:tcW w:w="1434" w:type="dxa"/>
            <w:tcBorders>
              <w:top w:val="nil"/>
              <w:left w:val="nil"/>
              <w:bottom w:val="nil"/>
              <w:right w:val="nil"/>
            </w:tcBorders>
            <w:shd w:val="clear"/>
            <w:vAlign w:val="center"/>
          </w:tcPr>
          <w:p w14:paraId="1AF8E5F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8.66</w:t>
            </w:r>
          </w:p>
        </w:tc>
        <w:tc>
          <w:tcPr>
            <w:tcW w:w="1899" w:type="dxa"/>
            <w:tcBorders>
              <w:top w:val="nil"/>
              <w:left w:val="nil"/>
              <w:bottom w:val="nil"/>
              <w:right w:val="nil"/>
            </w:tcBorders>
            <w:shd w:val="clear"/>
            <w:vAlign w:val="center"/>
          </w:tcPr>
          <w:p w14:paraId="73583E4E">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1.43 (1.17–1.75)</w:t>
            </w:r>
          </w:p>
        </w:tc>
        <w:tc>
          <w:tcPr>
            <w:tcW w:w="1058" w:type="dxa"/>
            <w:tcBorders>
              <w:top w:val="nil"/>
              <w:left w:val="nil"/>
              <w:bottom w:val="nil"/>
              <w:right w:val="nil"/>
            </w:tcBorders>
            <w:shd w:val="clear"/>
            <w:vAlign w:val="center"/>
          </w:tcPr>
          <w:p w14:paraId="3154A8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&lt;0.001</w:t>
            </w:r>
          </w:p>
        </w:tc>
      </w:tr>
      <w:tr w14:paraId="243D4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844" w:type="dxa"/>
            <w:tcBorders>
              <w:top w:val="nil"/>
              <w:left w:val="nil"/>
              <w:bottom w:val="single" w:color="000000" w:sz="4" w:space="0"/>
              <w:right w:val="nil"/>
            </w:tcBorders>
            <w:shd w:val="clear"/>
            <w:vAlign w:val="center"/>
          </w:tcPr>
          <w:p w14:paraId="4BF44E0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High-stable</w:t>
            </w:r>
          </w:p>
        </w:tc>
        <w:tc>
          <w:tcPr>
            <w:tcW w:w="854" w:type="dxa"/>
            <w:tcBorders>
              <w:top w:val="nil"/>
              <w:left w:val="nil"/>
              <w:bottom w:val="single" w:color="000000" w:sz="4" w:space="0"/>
              <w:right w:val="nil"/>
            </w:tcBorders>
            <w:shd w:val="clear"/>
            <w:vAlign w:val="center"/>
          </w:tcPr>
          <w:p w14:paraId="11DA1D4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280</w:t>
            </w:r>
          </w:p>
        </w:tc>
        <w:tc>
          <w:tcPr>
            <w:tcW w:w="1434" w:type="dxa"/>
            <w:tcBorders>
              <w:top w:val="nil"/>
              <w:left w:val="nil"/>
              <w:bottom w:val="single" w:color="000000" w:sz="4" w:space="0"/>
              <w:right w:val="nil"/>
            </w:tcBorders>
            <w:shd w:val="clear"/>
            <w:vAlign w:val="center"/>
          </w:tcPr>
          <w:p w14:paraId="31D1961E">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11.13</w:t>
            </w:r>
          </w:p>
        </w:tc>
        <w:tc>
          <w:tcPr>
            <w:tcW w:w="1434" w:type="dxa"/>
            <w:tcBorders>
              <w:top w:val="nil"/>
              <w:left w:val="nil"/>
              <w:bottom w:val="single" w:color="000000" w:sz="4" w:space="0"/>
              <w:right w:val="nil"/>
            </w:tcBorders>
            <w:shd w:val="clear"/>
            <w:vAlign w:val="center"/>
          </w:tcPr>
          <w:p w14:paraId="7CA6F5F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12.77</w:t>
            </w:r>
          </w:p>
        </w:tc>
        <w:tc>
          <w:tcPr>
            <w:tcW w:w="1899" w:type="dxa"/>
            <w:tcBorders>
              <w:top w:val="nil"/>
              <w:left w:val="nil"/>
              <w:bottom w:val="single" w:color="000000" w:sz="4" w:space="0"/>
              <w:right w:val="nil"/>
            </w:tcBorders>
            <w:shd w:val="clear"/>
            <w:vAlign w:val="center"/>
          </w:tcPr>
          <w:p w14:paraId="378B5B1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1.84 (1.30–2.60)</w:t>
            </w:r>
          </w:p>
        </w:tc>
        <w:tc>
          <w:tcPr>
            <w:tcW w:w="1058" w:type="dxa"/>
            <w:tcBorders>
              <w:top w:val="nil"/>
              <w:left w:val="nil"/>
              <w:bottom w:val="single" w:color="000000" w:sz="4" w:space="0"/>
              <w:right w:val="nil"/>
            </w:tcBorders>
            <w:shd w:val="clear"/>
            <w:vAlign w:val="center"/>
          </w:tcPr>
          <w:p w14:paraId="1E0AED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&lt;0.001</w:t>
            </w:r>
          </w:p>
        </w:tc>
      </w:tr>
    </w:tbl>
    <w:p w14:paraId="2D3A346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r>
        <w:rPr>
          <w:rFonts w:hint="eastAsia" w:eastAsiaTheme="minorEastAsia"/>
          <w:lang w:val="en-US" w:eastAsia="zh-CN"/>
        </w:rPr>
        <w:t xml:space="preserve">HSI, </w:t>
      </w:r>
      <w:r>
        <w:rPr>
          <w:rFonts w:hint="default"/>
          <w:lang w:val="en-US" w:eastAsia="zh-CN"/>
        </w:rPr>
        <w:t>hemoglobin A1c-systolic blood pressure index</w:t>
      </w:r>
      <w:r>
        <w:rPr>
          <w:rFonts w:hint="eastAsia"/>
          <w:lang w:val="en-US" w:eastAsia="zh-CN"/>
        </w:rPr>
        <w:t>;</w:t>
      </w:r>
      <w:r>
        <w:rPr>
          <w:rFonts w:hint="eastAsia" w:eastAsiaTheme="minorEastAsia"/>
          <w:lang w:val="en-US" w:eastAsia="zh-CN"/>
        </w:rPr>
        <w:t xml:space="preserve"> HR, hazard ratio; CI, confidence interval.</w:t>
      </w:r>
    </w:p>
    <w:p w14:paraId="1B5ED6E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r>
        <w:rPr>
          <w:rFonts w:hint="eastAsia" w:eastAsiaTheme="minorEastAsia"/>
          <w:lang w:val="en-US" w:eastAsia="zh-CN"/>
        </w:rPr>
        <w:drawing>
          <wp:inline distT="0" distB="0" distL="114300" distR="114300">
            <wp:extent cx="5709920" cy="2760345"/>
            <wp:effectExtent l="0" t="0" r="5080" b="8255"/>
            <wp:docPr id="4" name="图片 4" descr="FigureS1_forest_final_separate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1_forest_final_separate_P"/>
                    <pic:cNvPicPr>
                      <a:picLocks noChangeAspect="1"/>
                    </pic:cNvPicPr>
                  </pic:nvPicPr>
                  <pic:blipFill>
                    <a:blip r:embed="rId6"/>
                    <a:stretch>
                      <a:fillRect/>
                    </a:stretch>
                  </pic:blipFill>
                  <pic:spPr>
                    <a:xfrm>
                      <a:off x="0" y="0"/>
                      <a:ext cx="5709920" cy="2760345"/>
                    </a:xfrm>
                    <a:prstGeom prst="rect">
                      <a:avLst/>
                    </a:prstGeom>
                  </pic:spPr>
                </pic:pic>
              </a:graphicData>
            </a:graphic>
          </wp:inline>
        </w:drawing>
      </w:r>
    </w:p>
    <w:p w14:paraId="7D0B8F7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r>
        <w:rPr>
          <w:rFonts w:hint="eastAsia" w:eastAsiaTheme="minorEastAsia"/>
          <w:lang w:val="en-US" w:eastAsia="zh-CN"/>
        </w:rPr>
        <w:t xml:space="preserve">Figure </w:t>
      </w:r>
      <w:r>
        <w:rPr>
          <w:rFonts w:hint="eastAsia"/>
          <w:lang w:val="en-US" w:eastAsia="zh-CN"/>
        </w:rPr>
        <w:t>S1</w:t>
      </w:r>
      <w:r>
        <w:rPr>
          <w:rFonts w:hint="eastAsia" w:eastAsiaTheme="minorEastAsia"/>
          <w:lang w:val="en-US" w:eastAsia="zh-CN"/>
        </w:rPr>
        <w:t>. Subgroup analyses of the association between cumulative HSI and incident stroke</w:t>
      </w:r>
    </w:p>
    <w:p w14:paraId="35CD2B0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p>
    <w:p w14:paraId="666F1ED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r>
        <w:rPr>
          <w:rFonts w:hint="eastAsia" w:eastAsiaTheme="minorEastAsia"/>
          <w:lang w:val="en-US" w:eastAsia="zh-CN"/>
        </w:rPr>
        <w:br w:type="textWrapping"/>
      </w:r>
      <w:r>
        <w:rPr>
          <w:rFonts w:hint="eastAsia" w:eastAsiaTheme="minorEastAsia"/>
          <w:lang w:val="en-US" w:eastAsia="zh-CN"/>
        </w:rPr>
        <w:drawing>
          <wp:inline distT="0" distB="0" distL="114300" distR="114300">
            <wp:extent cx="5266690" cy="4681855"/>
            <wp:effectExtent l="0" t="0" r="3810" b="0"/>
            <wp:docPr id="1" name="图片 1" descr="FigureS3_Kmeans_4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3_Kmeans_4panel"/>
                    <pic:cNvPicPr>
                      <a:picLocks noChangeAspect="1"/>
                    </pic:cNvPicPr>
                  </pic:nvPicPr>
                  <pic:blipFill>
                    <a:blip r:embed="rId7"/>
                    <a:stretch>
                      <a:fillRect/>
                    </a:stretch>
                  </pic:blipFill>
                  <pic:spPr>
                    <a:xfrm>
                      <a:off x="0" y="0"/>
                      <a:ext cx="5266690" cy="4681855"/>
                    </a:xfrm>
                    <a:prstGeom prst="rect">
                      <a:avLst/>
                    </a:prstGeom>
                  </pic:spPr>
                </pic:pic>
              </a:graphicData>
            </a:graphic>
          </wp:inline>
        </w:drawing>
      </w:r>
    </w:p>
    <w:p w14:paraId="43CB079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default" w:eastAsiaTheme="minorEastAsia"/>
          <w:lang w:val="en-US" w:eastAsia="zh-CN"/>
        </w:rPr>
      </w:pPr>
      <w:r>
        <w:rPr>
          <w:rFonts w:hint="eastAsia" w:eastAsiaTheme="minorEastAsia"/>
          <w:b/>
          <w:bCs/>
          <w:lang w:val="en-US" w:eastAsia="zh-CN"/>
        </w:rPr>
        <w:t xml:space="preserve">Figure </w:t>
      </w:r>
      <w:r>
        <w:rPr>
          <w:rFonts w:hint="eastAsia"/>
          <w:b/>
          <w:bCs/>
          <w:lang w:val="en-US" w:eastAsia="zh-CN"/>
        </w:rPr>
        <w:t>S2.</w:t>
      </w:r>
      <w:r>
        <w:rPr>
          <w:rFonts w:hint="eastAsia"/>
          <w:lang w:val="en-US" w:eastAsia="zh-CN"/>
        </w:rPr>
        <w:t xml:space="preserve"> </w:t>
      </w:r>
      <w:r>
        <w:rPr>
          <w:rFonts w:hint="eastAsia" w:eastAsiaTheme="minorEastAsia"/>
          <w:lang w:val="en-US" w:eastAsia="zh-CN"/>
        </w:rPr>
        <w:t xml:space="preserve">K-means clustering and distribution characteristics of HSI trajectories </w:t>
      </w:r>
      <w:r>
        <w:rPr>
          <w:rFonts w:hint="default" w:ascii="Times New Roman" w:hAnsi="Times New Roman" w:cs="Times New Roman" w:eastAsiaTheme="minorEastAsia"/>
          <w:lang w:val="en-US" w:eastAsia="zh-CN"/>
        </w:rPr>
        <w:t xml:space="preserve">(2011–2015).A: Scatter plot showing individual-level clustering of </w:t>
      </w:r>
      <w:r>
        <w:rPr>
          <w:rFonts w:hint="eastAsia" w:eastAsiaTheme="minorEastAsia"/>
          <w:lang w:val="en-US" w:eastAsia="zh-CN"/>
        </w:rPr>
        <w:t>HSI</w:t>
      </w:r>
      <w:r>
        <w:rPr>
          <w:rFonts w:hint="eastAsia"/>
          <w:lang w:val="en-US" w:eastAsia="zh-CN"/>
        </w:rPr>
        <w:t xml:space="preserve"> </w:t>
      </w:r>
      <w:r>
        <w:rPr>
          <w:rFonts w:hint="eastAsia" w:eastAsiaTheme="minorEastAsia"/>
          <w:lang w:val="en-US" w:eastAsia="zh-CN"/>
        </w:rPr>
        <w:t>values in 2011 and 2015. Colors represent clusters identified using k-means clustering with Euclidean distance, including low-stable, moderate-rising, and high-stable trajectory groups. Shaded areas indicate cluster boundaries.</w:t>
      </w:r>
      <w:r>
        <w:rPr>
          <w:rFonts w:hint="eastAsia"/>
          <w:lang w:val="en-US" w:eastAsia="zh-CN"/>
        </w:rPr>
        <w:t xml:space="preserve"> </w:t>
      </w:r>
      <w:r>
        <w:rPr>
          <w:rFonts w:hint="eastAsia" w:eastAsiaTheme="minorEastAsia"/>
          <w:lang w:val="en-US" w:eastAsia="zh-CN"/>
        </w:rPr>
        <w:t>B: Line plots showing the temporal trends of mean HSI values across the three clusters from 2011 to 2015, illustrating distinct longitudinal trajectories.</w:t>
      </w:r>
      <w:r>
        <w:rPr>
          <w:rFonts w:hint="eastAsia"/>
          <w:lang w:val="en-US" w:eastAsia="zh-CN"/>
        </w:rPr>
        <w:t xml:space="preserve"> </w:t>
      </w:r>
      <w:r>
        <w:rPr>
          <w:rFonts w:hint="eastAsia" w:eastAsiaTheme="minorEastAsia"/>
          <w:lang w:val="en-US" w:eastAsia="zh-CN"/>
        </w:rPr>
        <w:t>C: Density distributions of HSI in 2011 across the three identified clusters, demonstrating baseline heterogeneity between trajectory groups.</w:t>
      </w:r>
      <w:r>
        <w:rPr>
          <w:rFonts w:hint="eastAsia"/>
          <w:lang w:val="en-US" w:eastAsia="zh-CN"/>
        </w:rPr>
        <w:t xml:space="preserve"> </w:t>
      </w:r>
      <w:r>
        <w:rPr>
          <w:rFonts w:hint="eastAsia" w:eastAsiaTheme="minorEastAsia"/>
          <w:lang w:val="en-US" w:eastAsia="zh-CN"/>
        </w:rPr>
        <w:t>D: Density distributions of HSI in 2015 across the three clusters, reflecting divergence in HSI levels after follow-up.</w:t>
      </w:r>
      <w:r>
        <w:rPr>
          <w:rFonts w:hint="eastAsia"/>
          <w:lang w:val="en-US" w:eastAsia="zh-CN"/>
        </w:rPr>
        <w:t xml:space="preserve"> </w:t>
      </w:r>
      <w:r>
        <w:rPr>
          <w:rFonts w:hint="eastAsia" w:eastAsiaTheme="minorEastAsia"/>
          <w:lang w:val="en-US" w:eastAsia="zh-CN"/>
        </w:rPr>
        <w:t xml:space="preserve">HSI, </w:t>
      </w:r>
      <w:r>
        <w:rPr>
          <w:rFonts w:hint="default"/>
          <w:lang w:val="en-US" w:eastAsia="zh-CN"/>
        </w:rPr>
        <w:t>hemoglobin A1c-systolic blood pressure index</w:t>
      </w:r>
      <w:r>
        <w:rPr>
          <w:rFonts w:hint="eastAsia"/>
          <w:lang w:val="en-US" w:eastAsia="zh-CN"/>
        </w:rPr>
        <w:t>.</w:t>
      </w:r>
    </w:p>
    <w:p w14:paraId="74F1AF0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80" w:beforeAutospacing="0" w:after="40" w:afterAutospacing="0" w:line="360" w:lineRule="auto"/>
        <w:ind w:left="0" w:leftChars="0" w:right="0" w:firstLine="0" w:firstLineChars="0"/>
        <w:jc w:val="both"/>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C1D52C"/>
    <w:multiLevelType w:val="multilevel"/>
    <w:tmpl w:val="5EC1D52C"/>
    <w:lvl w:ilvl="0" w:tentative="0">
      <w:start w:val="1"/>
      <w:numFmt w:val="decimal"/>
      <w:lvlText w:val="第%1章 "/>
      <w:lvlJc w:val="left"/>
      <w:pPr>
        <w:tabs>
          <w:tab w:val="left" w:pos="0"/>
        </w:tabs>
        <w:ind w:left="0" w:leftChars="0" w:firstLine="0" w:firstLineChars="0"/>
      </w:pPr>
      <w:rPr>
        <w:rFonts w:hint="default" w:ascii="黑体" w:hAnsi="黑体" w:eastAsia="黑体" w:cs="Times New Roman"/>
      </w:rPr>
    </w:lvl>
    <w:lvl w:ilvl="1" w:tentative="0">
      <w:start w:val="1"/>
      <w:numFmt w:val="decimal"/>
      <w:lvlText w:val="%1.%2 "/>
      <w:lvlJc w:val="left"/>
      <w:pPr>
        <w:tabs>
          <w:tab w:val="left" w:pos="0"/>
        </w:tabs>
        <w:ind w:left="0" w:leftChars="0" w:firstLine="0" w:firstLineChars="0"/>
      </w:pPr>
      <w:rPr>
        <w:rFonts w:hint="default" w:ascii="Times New Roman" w:hAnsi="Times New Roman" w:eastAsia="宋体" w:cs="Times New Roman"/>
      </w:rPr>
    </w:lvl>
    <w:lvl w:ilvl="2" w:tentative="0">
      <w:start w:val="1"/>
      <w:numFmt w:val="decimal"/>
      <w:lvlText w:val="%1.%2.%3 "/>
      <w:lvlJc w:val="left"/>
      <w:pPr>
        <w:tabs>
          <w:tab w:val="left" w:pos="0"/>
        </w:tabs>
        <w:ind w:left="0" w:leftChars="0" w:firstLine="0" w:firstLineChars="0"/>
      </w:pPr>
      <w:rPr>
        <w:rFonts w:hint="default" w:ascii="Times New Roman" w:hAnsi="Times New Roman" w:eastAsia="宋体" w:cs="Times New Roman"/>
        <w:b/>
        <w:bCs/>
      </w:rPr>
    </w:lvl>
    <w:lvl w:ilvl="3" w:tentative="0">
      <w:start w:val="1"/>
      <w:numFmt w:val="decimal"/>
      <w:pStyle w:val="5"/>
      <w:lvlText w:val="%1.%2.%3.%4 "/>
      <w:lvlJc w:val="left"/>
      <w:pPr>
        <w:tabs>
          <w:tab w:val="left" w:pos="0"/>
        </w:tabs>
        <w:ind w:left="0" w:leftChars="0" w:firstLine="0" w:firstLineChars="0"/>
      </w:pPr>
      <w:rPr>
        <w:rFonts w:hint="default" w:ascii="Times New Roman" w:hAnsi="Times New Roman" w:eastAsia="宋体" w:cs="Times New Roman"/>
        <w:b/>
        <w:bCs/>
      </w:rPr>
    </w:lvl>
    <w:lvl w:ilvl="4" w:tentative="0">
      <w:start w:val="1"/>
      <w:numFmt w:val="decimal"/>
      <w:pStyle w:val="6"/>
      <w:lvlText w:val="%1.%2.%3.%4.%5 "/>
      <w:lvlJc w:val="left"/>
      <w:pPr>
        <w:tabs>
          <w:tab w:val="left" w:pos="0"/>
        </w:tabs>
        <w:ind w:left="0" w:leftChars="0" w:firstLine="0" w:firstLineChars="0"/>
      </w:pPr>
      <w:rPr>
        <w:rFonts w:hint="default" w:ascii="Times New Roman" w:hAnsi="Times New Roman" w:eastAsia="宋体" w:cs="Times New Roman"/>
        <w:b/>
        <w:bCs/>
      </w:rPr>
    </w:lvl>
    <w:lvl w:ilvl="5" w:tentative="0">
      <w:start w:val="1"/>
      <w:numFmt w:val="decimal"/>
      <w:pStyle w:val="7"/>
      <w:lvlText w:val="%1.%2.%3.%4.%5.%6 "/>
      <w:lvlJc w:val="left"/>
      <w:pPr>
        <w:tabs>
          <w:tab w:val="left" w:pos="0"/>
        </w:tabs>
        <w:ind w:left="0" w:leftChars="0" w:firstLine="0" w:firstLineChars="0"/>
      </w:pPr>
      <w:rPr>
        <w:rFonts w:hint="default" w:ascii="Times New Roman" w:hAnsi="Times New Roman" w:eastAsia="宋体" w:cs="Times New Roman"/>
        <w:b/>
        <w:bCs/>
      </w:rPr>
    </w:lvl>
    <w:lvl w:ilvl="6" w:tentative="0">
      <w:start w:val="1"/>
      <w:numFmt w:val="decimal"/>
      <w:pStyle w:val="8"/>
      <w:suff w:val="nothing"/>
      <w:lvlText w:val="%1.%2.%3.%4.%5.%6.%7 "/>
      <w:lvlJc w:val="left"/>
      <w:pPr>
        <w:tabs>
          <w:tab w:val="left" w:pos="0"/>
        </w:tabs>
        <w:ind w:left="0" w:leftChars="0" w:firstLine="0" w:firstLineChars="0"/>
      </w:pPr>
      <w:rPr>
        <w:rFonts w:hint="default" w:ascii="Times New Roman" w:hAnsi="Times New Roman" w:eastAsia="宋体" w:cs="Times New Roman"/>
        <w:b/>
        <w:bCs/>
      </w:rPr>
    </w:lvl>
    <w:lvl w:ilvl="7" w:tentative="0">
      <w:start w:val="1"/>
      <w:numFmt w:val="decimal"/>
      <w:pStyle w:val="9"/>
      <w:lvlText w:val="%1.%2.%3.%4.%5.%6.%7.%8 "/>
      <w:lvlJc w:val="left"/>
      <w:pPr>
        <w:tabs>
          <w:tab w:val="left" w:pos="420"/>
        </w:tabs>
        <w:ind w:left="0" w:leftChars="0" w:firstLine="0" w:firstLineChars="0"/>
      </w:pPr>
      <w:rPr>
        <w:rFonts w:hint="default" w:ascii="Times New Roman" w:hAnsi="Times New Roman" w:eastAsia="宋体" w:cs="Times New Roman"/>
      </w:rPr>
    </w:lvl>
    <w:lvl w:ilvl="8" w:tentative="0">
      <w:start w:val="1"/>
      <w:numFmt w:val="decimal"/>
      <w:pStyle w:val="10"/>
      <w:lvlText w:val="%1.%2.%3.%4.%5.%6.%7.%8.%9 "/>
      <w:lvlJc w:val="left"/>
      <w:pPr>
        <w:tabs>
          <w:tab w:val="left" w:pos="0"/>
        </w:tabs>
        <w:ind w:left="0" w:leftChars="0" w:firstLine="0" w:firstLineChars="0"/>
      </w:pPr>
      <w:rPr>
        <w:rFonts w:hint="default" w:ascii="Times New Roman" w:hAnsi="Times New Roman" w:eastAsia="宋体"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F67EA"/>
    <w:rsid w:val="037812E0"/>
    <w:rsid w:val="04373786"/>
    <w:rsid w:val="04C95B8C"/>
    <w:rsid w:val="06063852"/>
    <w:rsid w:val="067040EB"/>
    <w:rsid w:val="07B6467C"/>
    <w:rsid w:val="093B4616"/>
    <w:rsid w:val="09F65827"/>
    <w:rsid w:val="0CEB4E75"/>
    <w:rsid w:val="0E4D3588"/>
    <w:rsid w:val="10022918"/>
    <w:rsid w:val="10972C71"/>
    <w:rsid w:val="12CC1F49"/>
    <w:rsid w:val="12CD5618"/>
    <w:rsid w:val="15DF5D8E"/>
    <w:rsid w:val="194F5BC9"/>
    <w:rsid w:val="1B1F2860"/>
    <w:rsid w:val="1EC24AE8"/>
    <w:rsid w:val="1EFC3867"/>
    <w:rsid w:val="1F446C62"/>
    <w:rsid w:val="1FD96390"/>
    <w:rsid w:val="246A0CCA"/>
    <w:rsid w:val="24C971C0"/>
    <w:rsid w:val="25353A77"/>
    <w:rsid w:val="258A22CF"/>
    <w:rsid w:val="2768460D"/>
    <w:rsid w:val="277A5AEB"/>
    <w:rsid w:val="28A0124C"/>
    <w:rsid w:val="29DC52B9"/>
    <w:rsid w:val="2AB9688F"/>
    <w:rsid w:val="2B5C13F4"/>
    <w:rsid w:val="2D597CE1"/>
    <w:rsid w:val="2EF73449"/>
    <w:rsid w:val="2FB83FE7"/>
    <w:rsid w:val="30244BD1"/>
    <w:rsid w:val="304803F0"/>
    <w:rsid w:val="318814B5"/>
    <w:rsid w:val="32297B3E"/>
    <w:rsid w:val="327A76B3"/>
    <w:rsid w:val="34F51A0D"/>
    <w:rsid w:val="3AC32E66"/>
    <w:rsid w:val="414B3466"/>
    <w:rsid w:val="41683CB5"/>
    <w:rsid w:val="430C7854"/>
    <w:rsid w:val="45953482"/>
    <w:rsid w:val="46A72415"/>
    <w:rsid w:val="4A5358A9"/>
    <w:rsid w:val="4AF17F83"/>
    <w:rsid w:val="4DB0533F"/>
    <w:rsid w:val="5281373C"/>
    <w:rsid w:val="53D4255B"/>
    <w:rsid w:val="543C5819"/>
    <w:rsid w:val="5516431D"/>
    <w:rsid w:val="57865139"/>
    <w:rsid w:val="5DBD175E"/>
    <w:rsid w:val="5E7B7E00"/>
    <w:rsid w:val="5EFF04F2"/>
    <w:rsid w:val="5FA64763"/>
    <w:rsid w:val="5FC66889"/>
    <w:rsid w:val="62F206C7"/>
    <w:rsid w:val="63ED4ADF"/>
    <w:rsid w:val="63FC0E86"/>
    <w:rsid w:val="6468505A"/>
    <w:rsid w:val="65565933"/>
    <w:rsid w:val="661B15E9"/>
    <w:rsid w:val="67BC6F04"/>
    <w:rsid w:val="681B6847"/>
    <w:rsid w:val="68E43B9D"/>
    <w:rsid w:val="69CE1E7C"/>
    <w:rsid w:val="6AEE17CA"/>
    <w:rsid w:val="6B5F7DE8"/>
    <w:rsid w:val="71306613"/>
    <w:rsid w:val="71415D62"/>
    <w:rsid w:val="78B93229"/>
    <w:rsid w:val="78DF633F"/>
    <w:rsid w:val="79A27454"/>
    <w:rsid w:val="7AB530B6"/>
    <w:rsid w:val="7F0D1FD5"/>
    <w:rsid w:val="7FDD6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ascii="Times New Roman" w:hAnsi="Times New Roman" w:eastAsiaTheme="minorEastAsia" w:cstheme="minorBidi"/>
      <w:kern w:val="2"/>
      <w:sz w:val="24"/>
      <w:szCs w:val="24"/>
      <w:lang w:val="en-US" w:eastAsia="zh-CN" w:bidi="ar-SA"/>
    </w:rPr>
  </w:style>
  <w:style w:type="paragraph" w:styleId="2">
    <w:name w:val="heading 1"/>
    <w:basedOn w:val="1"/>
    <w:next w:val="1"/>
    <w:link w:val="23"/>
    <w:qFormat/>
    <w:uiPriority w:val="0"/>
    <w:pPr>
      <w:spacing w:beforeAutospacing="0" w:afterAutospacing="0"/>
      <w:ind w:firstLine="0" w:firstLineChars="0"/>
      <w:jc w:val="center"/>
      <w:outlineLvl w:val="0"/>
    </w:pPr>
    <w:rPr>
      <w:rFonts w:hint="eastAsia" w:ascii="Times New Roman" w:hAnsi="Times New Roman" w:eastAsia="黑体" w:cs="宋体"/>
      <w:b/>
      <w:bCs/>
      <w:kern w:val="44"/>
      <w:sz w:val="30"/>
      <w:lang w:bidi="ar"/>
    </w:rPr>
  </w:style>
  <w:style w:type="paragraph" w:styleId="3">
    <w:name w:val="heading 2"/>
    <w:basedOn w:val="1"/>
    <w:next w:val="1"/>
    <w:link w:val="21"/>
    <w:semiHidden/>
    <w:unhideWhenUsed/>
    <w:qFormat/>
    <w:uiPriority w:val="0"/>
    <w:pPr>
      <w:spacing w:beforeAutospacing="0" w:afterAutospacing="0"/>
      <w:jc w:val="left"/>
      <w:outlineLvl w:val="1"/>
    </w:pPr>
    <w:rPr>
      <w:rFonts w:hint="eastAsia" w:ascii="Times New Roman" w:hAnsi="Times New Roman" w:cs="宋体"/>
      <w:b/>
      <w:bCs/>
      <w:kern w:val="0"/>
      <w:szCs w:val="36"/>
      <w:lang w:bidi="ar"/>
    </w:rPr>
  </w:style>
  <w:style w:type="paragraph" w:styleId="4">
    <w:name w:val="heading 3"/>
    <w:basedOn w:val="1"/>
    <w:next w:val="1"/>
    <w:link w:val="20"/>
    <w:semiHidden/>
    <w:unhideWhenUsed/>
    <w:qFormat/>
    <w:uiPriority w:val="0"/>
    <w:pPr>
      <w:spacing w:before="0" w:beforeAutospacing="1" w:after="0" w:afterAutospacing="1"/>
      <w:jc w:val="left"/>
    </w:pPr>
    <w:rPr>
      <w:rFonts w:hint="eastAsia" w:ascii="宋体" w:hAnsi="宋体" w:eastAsia="宋体" w:cs="宋体"/>
      <w:b/>
      <w:bCs/>
      <w:color w:val="000000" w:themeColor="text1"/>
      <w:kern w:val="0"/>
      <w:sz w:val="27"/>
      <w:szCs w:val="27"/>
      <w:lang w:val="en-US" w:eastAsia="zh-CN" w:bidi="ar"/>
      <w14:textFill>
        <w14:solidFill>
          <w14:schemeClr w14:val="tx1"/>
        </w14:solidFill>
      </w14:textFill>
      <w14:ligatures w14:val="standardContextual"/>
    </w:rPr>
  </w:style>
  <w:style w:type="paragraph" w:styleId="5">
    <w:name w:val="heading 4"/>
    <w:basedOn w:val="1"/>
    <w:next w:val="1"/>
    <w:link w:val="25"/>
    <w:semiHidden/>
    <w:unhideWhenUsed/>
    <w:qFormat/>
    <w:uiPriority w:val="0"/>
    <w:pPr>
      <w:keepNext/>
      <w:keepLines/>
      <w:numPr>
        <w:ilvl w:val="3"/>
        <w:numId w:val="1"/>
      </w:numPr>
      <w:spacing w:before="280" w:beforeLines="0" w:beforeAutospacing="0" w:after="290" w:afterLines="0" w:afterAutospacing="0" w:line="372" w:lineRule="auto"/>
      <w:ind w:firstLine="0" w:firstLineChars="0"/>
      <w:jc w:val="left"/>
      <w:outlineLvl w:val="3"/>
    </w:pPr>
    <w:rPr>
      <w:rFonts w:ascii="Arial" w:hAnsi="Arial" w:eastAsia="宋体" w:cstheme="minorBidi"/>
      <w:b/>
      <w:sz w:val="24"/>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0"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contextualSpacing/>
    </w:pPr>
    <w:rPr>
      <w:sz w:val="21"/>
      <w:szCs w:val="21"/>
    </w:rPr>
  </w:style>
  <w:style w:type="paragraph" w:styleId="12">
    <w:name w:val="caption"/>
    <w:basedOn w:val="1"/>
    <w:next w:val="1"/>
    <w:semiHidden/>
    <w:unhideWhenUsed/>
    <w:qFormat/>
    <w:uiPriority w:val="0"/>
    <w:rPr>
      <w:rFonts w:ascii="Arial" w:hAnsi="Arial" w:eastAsia="黑体"/>
      <w:sz w:val="20"/>
    </w:rPr>
  </w:style>
  <w:style w:type="paragraph" w:styleId="13">
    <w:name w:val="Body Text"/>
    <w:basedOn w:val="1"/>
    <w:link w:val="22"/>
    <w:qFormat/>
    <w:uiPriority w:val="0"/>
    <w:pPr>
      <w:ind w:firstLine="800" w:firstLineChars="200"/>
    </w:pPr>
    <w:rPr>
      <w:rFonts w:ascii="Times New Roman" w:hAnsi="Times New Roman" w:eastAsiaTheme="minorEastAsia" w:cstheme="minorBidi"/>
      <w:lang w:eastAsia="en-US"/>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paragraph" w:customStyle="1" w:styleId="18">
    <w:name w:val="1级标题"/>
    <w:next w:val="1"/>
    <w:qFormat/>
    <w:uiPriority w:val="0"/>
    <w:pPr>
      <w:tabs>
        <w:tab w:val="left" w:pos="1406"/>
      </w:tabs>
      <w:spacing w:before="120" w:beforeLines="120" w:after="80" w:afterLines="80"/>
      <w:outlineLvl w:val="1"/>
    </w:pPr>
    <w:rPr>
      <w:rFonts w:hint="eastAsia" w:ascii="黑体" w:hAnsi="黑体" w:eastAsia="黑体" w:cstheme="minorBidi"/>
      <w:sz w:val="28"/>
      <w:szCs w:val="28"/>
    </w:rPr>
  </w:style>
  <w:style w:type="paragraph" w:customStyle="1" w:styleId="19">
    <w:name w:val="2级标题"/>
    <w:next w:val="13"/>
    <w:qFormat/>
    <w:uiPriority w:val="0"/>
    <w:pPr>
      <w:tabs>
        <w:tab w:val="left" w:pos="7005"/>
      </w:tabs>
      <w:spacing w:line="300" w:lineRule="exact"/>
      <w:jc w:val="left"/>
    </w:pPr>
    <w:rPr>
      <w:rFonts w:ascii="微软雅黑" w:hAnsi="微软雅黑" w:eastAsia="宋体" w:cstheme="minorBidi"/>
      <w:sz w:val="24"/>
    </w:rPr>
  </w:style>
  <w:style w:type="character" w:customStyle="1" w:styleId="20">
    <w:name w:val="标题 3 Char"/>
    <w:link w:val="4"/>
    <w:qFormat/>
    <w:uiPriority w:val="0"/>
    <w:rPr>
      <w:rFonts w:ascii="Times New Roman" w:hAnsi="Times New Roman" w:eastAsia="黑体" w:cs="Times New Roman"/>
      <w:b/>
      <w:bCs/>
      <w:color w:val="auto"/>
      <w:kern w:val="2"/>
      <w:sz w:val="24"/>
      <w:szCs w:val="28"/>
      <w:lang w:val="en-US" w:eastAsia="zh-CN" w:bidi="ar-SA"/>
    </w:rPr>
  </w:style>
  <w:style w:type="character" w:customStyle="1" w:styleId="21">
    <w:name w:val="标题 2 Char"/>
    <w:link w:val="3"/>
    <w:qFormat/>
    <w:uiPriority w:val="0"/>
    <w:rPr>
      <w:rFonts w:ascii="Times New Roman" w:hAnsi="Times New Roman" w:eastAsia="宋体"/>
      <w:b/>
      <w:sz w:val="24"/>
    </w:rPr>
  </w:style>
  <w:style w:type="character" w:customStyle="1" w:styleId="22">
    <w:name w:val="正文文本 Char"/>
    <w:link w:val="13"/>
    <w:qFormat/>
    <w:uiPriority w:val="0"/>
    <w:rPr>
      <w:rFonts w:ascii="Times New Roman" w:hAnsi="Times New Roman" w:eastAsia="宋体" w:cstheme="minorBidi"/>
      <w:sz w:val="24"/>
      <w:szCs w:val="24"/>
      <w:lang w:eastAsia="en-US"/>
    </w:rPr>
  </w:style>
  <w:style w:type="character" w:customStyle="1" w:styleId="23">
    <w:name w:val="标题 1 Char"/>
    <w:link w:val="2"/>
    <w:qFormat/>
    <w:uiPriority w:val="0"/>
    <w:rPr>
      <w:rFonts w:ascii="Times New Roman" w:hAnsi="Times New Roman" w:eastAsia="黑体" w:cs="Times New Roman"/>
      <w:b/>
      <w:bCs/>
      <w:color w:val="auto"/>
      <w:kern w:val="44"/>
      <w:sz w:val="30"/>
      <w:szCs w:val="32"/>
      <w:lang w:val="en-US" w:eastAsia="zh-CN" w:bidi="ar-SA"/>
    </w:rPr>
  </w:style>
  <w:style w:type="paragraph" w:customStyle="1" w:styleId="24">
    <w:name w:val="表格"/>
    <w:next w:val="13"/>
    <w:qFormat/>
    <w:uiPriority w:val="0"/>
    <w:pPr>
      <w:keepNext/>
      <w:keepLines/>
      <w:spacing w:afterLines="0"/>
      <w:ind w:firstLine="0" w:firstLineChars="0"/>
      <w:jc w:val="center"/>
    </w:pPr>
    <w:rPr>
      <w:rFonts w:hint="eastAsia" w:ascii="Times New Roman" w:hAnsi="Times New Roman" w:cs="Times New Roman" w:eastAsiaTheme="minorEastAsia"/>
      <w:kern w:val="0"/>
      <w:sz w:val="21"/>
    </w:rPr>
  </w:style>
  <w:style w:type="character" w:customStyle="1" w:styleId="25">
    <w:name w:val="标题 4 Char"/>
    <w:link w:val="5"/>
    <w:qFormat/>
    <w:uiPriority w:val="0"/>
    <w:rPr>
      <w:rFonts w:ascii="Arial" w:hAnsi="Arial" w:eastAsia="宋体" w:cstheme="minorBidi"/>
      <w:b/>
      <w:sz w:val="24"/>
    </w:rPr>
  </w:style>
  <w:style w:type="paragraph" w:customStyle="1" w:styleId="26">
    <w:name w:val="参考文献"/>
    <w:basedOn w:val="1"/>
    <w:qFormat/>
    <w:uiPriority w:val="0"/>
    <w:pPr>
      <w:spacing w:beforeLines="0" w:afterLines="0" w:line="360" w:lineRule="auto"/>
      <w:ind w:left="420" w:firstLine="0" w:firstLineChars="0"/>
    </w:pPr>
    <w:rPr>
      <w:rFonts w:ascii="Times New Roman" w:hAnsi="Times New Roman" w:eastAsia="Times New Roman" w:cs="Times New Roman"/>
      <w:color w:val="000000"/>
      <w:sz w:val="20"/>
    </w:rPr>
  </w:style>
  <w:style w:type="character" w:customStyle="1" w:styleId="27">
    <w:name w:val="font31"/>
    <w:basedOn w:val="16"/>
    <w:uiPriority w:val="0"/>
    <w:rPr>
      <w:rFonts w:hint="default" w:ascii="Times New Roman" w:hAnsi="Times New Roman" w:cs="Times New Roman"/>
      <w:color w:val="000000"/>
      <w:sz w:val="23"/>
      <w:szCs w:val="23"/>
      <w:u w:val="none"/>
    </w:rPr>
  </w:style>
  <w:style w:type="character" w:customStyle="1" w:styleId="28">
    <w:name w:val="font41"/>
    <w:basedOn w:val="16"/>
    <w:uiPriority w:val="0"/>
    <w:rPr>
      <w:rFonts w:hint="default" w:ascii="Times New Roman" w:hAnsi="Times New Roman" w:cs="Times New Roman"/>
      <w:color w:val="000000"/>
      <w:sz w:val="23"/>
      <w:szCs w:val="23"/>
      <w:u w:val="none"/>
    </w:rPr>
  </w:style>
  <w:style w:type="character" w:customStyle="1" w:styleId="29">
    <w:name w:val="font21"/>
    <w:basedOn w:val="16"/>
    <w:uiPriority w:val="0"/>
    <w:rPr>
      <w:rFonts w:hint="default" w:ascii="Times New Roman" w:hAnsi="Times New Roman" w:cs="Times New Roman"/>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631</Words>
  <Characters>3784</Characters>
  <Lines>0</Lines>
  <Paragraphs>0</Paragraphs>
  <TotalTime>5</TotalTime>
  <ScaleCrop>false</ScaleCrop>
  <LinksUpToDate>false</LinksUpToDate>
  <CharactersWithSpaces>4246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2025-12-23T12:03:00Z</dcterms:created>
  <dc:creator>marx1</dc:creator>
  <cp:lastModifiedBy>marx</cp:lastModifiedBy>
  <dcterms:modified xsi:type="dcterms:W3CDTF">2026-06-24T22:37:42Z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008C34897001411B834F7DF064E2EC07_13</vt:lpwstr>
  </property>
  <property fmtid="{D5CDD505-2E9C-101B-9397-08002B2CF9AE}" pid="4" name="KSOTemplateDocerSaveRecord">
    <vt:lpwstr>eyJoZGlkIjoiYzZiOTgzNTI3MmJlYjEwZDM0NWU5OGQzMzQwOGU1ZmMiLCJ1c2VySWQiOiI1MDE2Njc5MTIifQ==</vt:lpwstr>
  </property>
</Properties>
</file>