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upplementary-material"/>
    <w:p>
      <w:pPr>
        <w:pStyle w:val="Heading1"/>
      </w:pPr>
      <w:r>
        <w:t xml:space="preserve">Supplementary material</w:t>
      </w:r>
    </w:p>
    <w:p>
      <w:pPr>
        <w:pStyle w:val="FirstParagraph"/>
      </w:pPr>
      <w:r>
        <w:rPr>
          <w:i/>
          <w:iCs/>
        </w:rPr>
        <w:t xml:space="preserve">Supplement to</w:t>
      </w:r>
      <w:r>
        <w:rPr>
          <w:i/>
          <w:iCs/>
        </w:rPr>
        <w:t xml:space="preserve"> </w:t>
      </w:r>
      <w:r>
        <w:rPr>
          <w:i/>
          <w:iCs/>
        </w:rPr>
        <w:t xml:space="preserve">“The name-collision burden of name-based author attribution is unequal across name</w:t>
      </w:r>
      <w:r>
        <w:rPr>
          <w:i/>
          <w:iCs/>
        </w:rPr>
        <w:t xml:space="preserve"> </w:t>
      </w:r>
      <w:r>
        <w:rPr>
          <w:i/>
          <w:iCs/>
        </w:rPr>
        <w:t xml:space="preserve">origins: a measurement in OpenAlex, and an identifier-based remedy (SigmaCV)”</w:t>
      </w:r>
      <w:r>
        <w:rPr>
          <w:i/>
          <w:iCs/>
        </w:rPr>
        <w:t xml:space="preserve">.</w:t>
      </w:r>
    </w:p>
    <w:p>
      <w:pPr>
        <w:pStyle w:val="BodyText"/>
      </w:pPr>
      <w:r>
        <w:t xml:space="preserve">Sections are numbered in order of first reference in the main text: (S1) the matching-operator</w:t>
      </w:r>
      <w:r>
        <w:t xml:space="preserve"> </w:t>
      </w:r>
      <w:r>
        <w:t xml:space="preserve">specification (Section 2.2); (S2) the regression tables, diagnostics, and goodness-of-fit</w:t>
      </w:r>
      <w:r>
        <w:t xml:space="preserve"> </w:t>
      </w:r>
      <w:r>
        <w:t xml:space="preserve">(Section 2.3); (S3) practice recommendations (Section 2.7); (S4) the full tool comparison</w:t>
      </w:r>
      <w:r>
        <w:t xml:space="preserve"> </w:t>
      </w:r>
      <w:r>
        <w:t xml:space="preserve">(Section 4.1); (S5) the heuristic usability evaluation (Section 4.3); (S6) the worked examples</w:t>
      </w:r>
      <w:r>
        <w:t xml:space="preserve"> </w:t>
      </w:r>
      <w:r>
        <w:t xml:space="preserve">(Section 4.4); and (S7) the extended data-protection detail (Section 5). The analysis pipeline is</w:t>
      </w:r>
      <w:r>
        <w:t xml:space="preserve"> </w:t>
      </w:r>
      <w:r>
        <w:t xml:space="preserve">openly available in the project repository (see the main paper’s Declarations).</w:t>
      </w:r>
    </w:p>
    <w:bookmarkStart w:id="9" w:name="X299ae8ddcee1324c2073d02bf6a6578b55c3e34"/>
    <w:p>
      <w:pPr>
        <w:pStyle w:val="Heading2"/>
      </w:pPr>
      <w:r>
        <w:t xml:space="preserve">S1. Matching operator: precise specification</w:t>
      </w:r>
    </w:p>
    <w:p>
      <w:pPr>
        <w:pStyle w:val="FirstParagraph"/>
      </w:pPr>
      <w:r>
        <w:t xml:space="preserve">This expands the operator summary in Section 2.2 and is stated so the measurement is reproducible</w:t>
      </w:r>
      <w:r>
        <w:t xml:space="preserve"> </w:t>
      </w:r>
      <w:r>
        <w:t xml:space="preserve">independently of our code.</w:t>
      </w:r>
    </w:p>
    <w:p>
      <w:pPr>
        <w:pStyle w:val="BodyText"/>
      </w:pPr>
      <w:r>
        <w:t xml:space="preserve">Author entities are first deduplicated by OpenAlex author identifier. A name is normalized by</w:t>
      </w:r>
      <w:r>
        <w:t xml:space="preserve"> </w:t>
      </w:r>
      <w:r>
        <w:t xml:space="preserve">lower-casing it, folding accented letters to their unaccented base form, collapsing any run of</w:t>
      </w:r>
      <w:r>
        <w:t xml:space="preserve"> </w:t>
      </w:r>
      <w:r>
        <w:t xml:space="preserve">whitespace to a single space, and trimming; tokens are kept in their printed order, and hyphens,</w:t>
      </w:r>
      <w:r>
        <w:t xml:space="preserve"> </w:t>
      </w:r>
      <w:r>
        <w:t xml:space="preserve">apostrophes, and name particles (for example</w:t>
      </w:r>
      <w:r>
        <w:t xml:space="preserve"> </w:t>
      </w:r>
      <w:r>
        <w:t xml:space="preserve">“van”</w:t>
      </w:r>
      <w:r>
        <w:t xml:space="preserve">,</w:t>
      </w:r>
      <w:r>
        <w:t xml:space="preserve"> </w:t>
      </w:r>
      <w:r>
        <w:t xml:space="preserve">“de”</w:t>
      </w:r>
      <w:r>
        <w:t xml:space="preserve">) are preserved as written. The normalized</w:t>
      </w:r>
      <w:r>
        <w:t xml:space="preserve"> </w:t>
      </w:r>
      <w:r>
        <w:t xml:space="preserve">full name is this string; the initial form is the first character of the normalized name followed by</w:t>
      </w:r>
      <w:r>
        <w:t xml:space="preserve"> </w:t>
      </w:r>
      <w:r>
        <w:t xml:space="preserve">its final whitespace-delimited token, that token taken as the surname (a single-token name is its own</w:t>
      </w:r>
      <w:r>
        <w:t xml:space="preserve"> </w:t>
      </w:r>
      <w:r>
        <w:t xml:space="preserve">initial form). Names shorter than three characters after normalization are excluded. The full-name</w:t>
      </w:r>
      <w:r>
        <w:t xml:space="preserve"> </w:t>
      </w:r>
      <w:r>
        <w:t xml:space="preserve">and ORCID-restricted counts aggregate on the normalized full name; the initial-form count aggregates</w:t>
      </w:r>
      <w:r>
        <w:t xml:space="preserve"> </w:t>
      </w:r>
      <w:r>
        <w:t xml:space="preserve">on the initial form.</w:t>
      </w:r>
    </w:p>
    <w:p>
      <w:pPr>
        <w:pStyle w:val="BodyText"/>
      </w:pPr>
      <w:r>
        <w:t xml:space="preserve">Taking the printed form as written has two consequences, both of which make the operator</w:t>
      </w:r>
      <w:r>
        <w:t xml:space="preserve"> </w:t>
      </w:r>
      <w:r>
        <w:t xml:space="preserve">conservative. Because tokens are not reordered, a record printed family-name-first (as some romanized</w:t>
      </w:r>
      <w:r>
        <w:t xml:space="preserve"> </w:t>
      </w:r>
      <w:r>
        <w:t xml:space="preserve">East-Asian names are) yields a different initial form than the same name printed given-name-first;</w:t>
      </w:r>
      <w:r>
        <w:t xml:space="preserve"> </w:t>
      </w:r>
      <w:r>
        <w:t xml:space="preserve">and because hyphens and alternative romanizations are preserved rather than canonicalized, one</w:t>
      </w:r>
      <w:r>
        <w:t xml:space="preserve"> </w:t>
      </w:r>
      <w:r>
        <w:t xml:space="preserve">underlying name written two ways is split across two normalized strings. Both effects split what is</w:t>
      </w:r>
      <w:r>
        <w:t xml:space="preserve"> </w:t>
      </w:r>
      <w:r>
        <w:t xml:space="preserve">really a single colliding name across several strings and so under-count collisions; neither inflates</w:t>
      </w:r>
      <w:r>
        <w:t xml:space="preserve"> </w:t>
      </w:r>
      <w:r>
        <w:t xml:space="preserve">them.</w:t>
      </w:r>
    </w:p>
    <w:bookmarkEnd w:id="9"/>
    <w:bookmarkStart w:id="13" w:name="s2.-regression-tables"/>
    <w:p>
      <w:pPr>
        <w:pStyle w:val="Heading2"/>
      </w:pPr>
      <w:r>
        <w:t xml:space="preserve">S2. Regression tables</w:t>
      </w:r>
    </w:p>
    <w:p>
      <w:pPr>
        <w:pStyle w:val="FirstParagraph"/>
      </w:pPr>
      <w:r>
        <w:t xml:space="preserve">All models are fit over the entire eligible population (N = 4,634,707 ORCID-bearing authors: East</w:t>
      </w:r>
      <w:r>
        <w:t xml:space="preserve"> </w:t>
      </w:r>
      <w:r>
        <w:t xml:space="preserve">Asian 1,481,991, Anglophone 1,661,178, Other 1,491,538), with Anglophone as the reference stratum.</w:t>
      </w:r>
      <w:r>
        <w:t xml:space="preserve"> </w:t>
      </w:r>
      <w:r>
        <w:t xml:space="preserve">We report each model on the natural (log) scale (coefficient estimate and standard error) and as an</w:t>
      </w:r>
      <w:r>
        <w:t xml:space="preserve"> </w:t>
      </w:r>
      <w:r>
        <w:t xml:space="preserve">incidence-rate ratio, IRR = exp(estimate), with a 95% confidence interval.</w:t>
      </w:r>
    </w:p>
    <w:p>
      <w:pPr>
        <w:pStyle w:val="BodyText"/>
      </w:pPr>
      <w:r>
        <w:rPr>
          <w:b/>
          <w:bCs/>
        </w:rPr>
        <w:t xml:space="preserve">Standard errors.</w:t>
      </w:r>
      <w:r>
        <w:t xml:space="preserve"> </w:t>
      </w:r>
      <w:r>
        <w:t xml:space="preserve">Because the counts are heavily overdispersed (below), the model-based Poisson</w:t>
      </w:r>
      <w:r>
        <w:t xml:space="preserve"> </w:t>
      </w:r>
      <w:r>
        <w:t xml:space="preserve">standard errors are anti-conservative, so for the Poisson models we report both the model-based</w:t>
      </w:r>
      <w:r>
        <w:t xml:space="preserve"> </w:t>
      </w:r>
      <w:r>
        <w:t xml:space="preserve">error and a</w:t>
      </w:r>
      <w:r>
        <w:t xml:space="preserve"> </w:t>
      </w:r>
      <w:r>
        <w:rPr>
          <w:b/>
          <w:bCs/>
        </w:rPr>
        <w:t xml:space="preserve">heteroskedasticity-consistent (HC0 sandwich) robust standard error</w:t>
      </w:r>
      <w:r>
        <w:t xml:space="preserve">, and we form the</w:t>
      </w:r>
      <w:r>
        <w:t xml:space="preserve"> </w:t>
      </w:r>
      <w:r>
        <w:t xml:space="preserve">95% confidence intervals from the robust errors. The robust errors are roughly an order of magnitude</w:t>
      </w:r>
      <w:r>
        <w:t xml:space="preserve"> </w:t>
      </w:r>
      <w:r>
        <w:t xml:space="preserve">larger than the model-based ones and are the appropriate ones to read; even so, at this population</w:t>
      </w:r>
      <w:r>
        <w:t xml:space="preserve"> </w:t>
      </w:r>
      <w:r>
        <w:t xml:space="preserve">size the intervals remain narrow, so the IRRs are precisely estimated as parameters of the fitted</w:t>
      </w:r>
      <w:r>
        <w:t xml:space="preserve"> </w:t>
      </w:r>
      <w:r>
        <w:t xml:space="preserve">model (which is not the same as being free of model or construct uncertainty, Section 2.2). The</w:t>
      </w:r>
      <w:r>
        <w:t xml:space="preserve"> </w:t>
      </w:r>
      <w:r>
        <w:t xml:space="preserve">negative-binomial errors already account for overdispersion through the dispersion parameter theta.</w:t>
      </w:r>
    </w:p>
    <w:p>
      <w:pPr>
        <w:pStyle w:val="BodyText"/>
      </w:pPr>
      <w:r>
        <w:rPr>
          <w:b/>
          <w:bCs/>
        </w:rPr>
        <w:t xml:space="preserve">Model choice.</w:t>
      </w:r>
      <w:r>
        <w:t xml:space="preserve"> </w:t>
      </w:r>
      <w:r>
        <w:t xml:space="preserve">The collision counts are heavily overdispersed: the Pearson dispersion of the</w:t>
      </w:r>
      <w:r>
        <w:t xml:space="preserve"> </w:t>
      </w:r>
      <w:r>
        <w:t xml:space="preserve">Poisson fit ranges from about 275 (ORCID-restricted) to over 23,000 (initial-form), far above the</w:t>
      </w:r>
      <w:r>
        <w:t xml:space="preserve"> </w:t>
      </w:r>
      <w:r>
        <w:t xml:space="preserve">Poisson value of 1. We therefore prefer the negative binomial, whose Akaike Information Criterion</w:t>
      </w:r>
      <w:r>
        <w:t xml:space="preserve"> </w:t>
      </w:r>
      <w:r>
        <w:t xml:space="preserve">(AIC) is far lower (for example 2.7 x 10^7 versus 2.9 x 10^8 for the ORCID-restricted metric) and</w:t>
      </w:r>
      <w:r>
        <w:t xml:space="preserve"> </w:t>
      </w:r>
      <w:r>
        <w:t xml:space="preserve">whose dispersion is much closer to 1. The negative-binomial and Poisson point estimates for the</w:t>
      </w:r>
      <w:r>
        <w:t xml:space="preserve"> </w:t>
      </w:r>
      <w:r>
        <w:t xml:space="preserve">East-Asian incidence-rate ratio nonetheless agree closely (8.61 versus 8.64, 7.94 versus 7.99, and</w:t>
      </w:r>
      <w:r>
        <w:t xml:space="preserve"> </w:t>
      </w:r>
      <w:r>
        <w:t xml:space="preserve">6.53 versus 6.51 across the three metrics), as expected given the shared log-mean structure; the</w:t>
      </w:r>
      <w:r>
        <w:t xml:space="preserve"> </w:t>
      </w:r>
      <w:r>
        <w:t xml:space="preserve">two models differ in how they treat dispersion, not in the fitted ratios.</w:t>
      </w:r>
    </w:p>
    <w:bookmarkStart w:id="10" w:name="X82c1c80bda45379b6d0603ff63737a8faec33d4"/>
    <w:p>
      <w:pPr>
        <w:pStyle w:val="Heading3"/>
      </w:pPr>
      <w:r>
        <w:t xml:space="preserve">Table S1. Productivity-adjusted models: count ~ stratum + log(1 + works)</w:t>
      </w:r>
    </w:p>
    <w:p>
      <w:pPr>
        <w:pStyle w:val="FirstParagraph"/>
      </w:pPr>
      <w:r>
        <w:t xml:space="preserve">For each metric the table gives the Poisson coefficients (estimate, model-based SE, robust HC0 SE,</w:t>
      </w:r>
      <w:r>
        <w:t xml:space="preserve"> </w:t>
      </w:r>
      <w:r>
        <w:t xml:space="preserve">IRR, and the robust 95% CI); the negative-binomial fit and the likelihood and pseudo-R-squared</w:t>
      </w:r>
      <w:r>
        <w:t xml:space="preserve"> </w:t>
      </w:r>
      <w:r>
        <w:t xml:space="preserve">statistics follow each table. All models are fit over the full population (N = 4,634,707); the</w:t>
      </w:r>
      <w:r>
        <w:t xml:space="preserve"> </w:t>
      </w:r>
      <w:r>
        <w:t xml:space="preserve">likelihood-ratio test is against the intercept-only model (df 3).</w:t>
      </w:r>
    </w:p>
    <w:p>
      <w:pPr>
        <w:pStyle w:val="BodyText"/>
      </w:pPr>
      <w:r>
        <w:rPr>
          <w:b/>
          <w:bCs/>
        </w:rPr>
        <w:t xml:space="preserve">ORCID-restricted count.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Estimate</w:t>
            </w:r>
          </w:p>
        </w:tc>
        <w:tc>
          <w:tcPr/>
          <w:p>
            <w:pPr>
              <w:pStyle w:val="Compact"/>
            </w:pPr>
            <w:r>
              <w:t xml:space="preserve">Model SE</w:t>
            </w:r>
          </w:p>
        </w:tc>
        <w:tc>
          <w:tcPr/>
          <w:p>
            <w:pPr>
              <w:pStyle w:val="Compact"/>
            </w:pPr>
            <w:r>
              <w:t xml:space="preserve">Robust SE</w:t>
            </w:r>
          </w:p>
        </w:tc>
        <w:tc>
          <w:tcPr/>
          <w:p>
            <w:pPr>
              <w:pStyle w:val="Compact"/>
            </w:pPr>
            <w:r>
              <w:t xml:space="preserve">IRR</w:t>
            </w:r>
          </w:p>
        </w:tc>
        <w:tc>
          <w:tcPr/>
          <w:p>
            <w:pPr>
              <w:pStyle w:val="Compact"/>
            </w:pPr>
            <w:r>
              <w:t xml:space="preserve">Robust 95%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Intercept</w:t>
            </w:r>
          </w:p>
        </w:tc>
        <w:tc>
          <w:tcPr/>
          <w:p>
            <w:pPr>
              <w:pStyle w:val="Compact"/>
            </w:pPr>
            <w:r>
              <w:t xml:space="preserve">1.580</w:t>
            </w:r>
          </w:p>
        </w:tc>
        <w:tc>
          <w:tcPr/>
          <w:p>
            <w:pPr>
              <w:pStyle w:val="Compact"/>
            </w:pPr>
            <w:r>
              <w:t xml:space="preserve">0.0004</w:t>
            </w:r>
          </w:p>
        </w:tc>
        <w:tc>
          <w:tcPr/>
          <w:p>
            <w:pPr>
              <w:pStyle w:val="Compact"/>
            </w:pPr>
            <w:r>
              <w:t xml:space="preserve">0.0081</w:t>
            </w:r>
          </w:p>
        </w:tc>
        <w:tc>
          <w:tcPr/>
          <w:p>
            <w:pPr>
              <w:pStyle w:val="Compact"/>
            </w:pPr>
            <w:r>
              <w:t xml:space="preserve">4.856</w:t>
            </w:r>
          </w:p>
        </w:tc>
        <w:tc>
          <w:tcPr/>
          <w:p>
            <w:pPr>
              <w:pStyle w:val="Compact"/>
            </w:pPr>
            <w:r>
              <w:t xml:space="preserve">[4.779, 4.933]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East Asian</w:t>
            </w:r>
          </w:p>
        </w:tc>
        <w:tc>
          <w:tcPr/>
          <w:p>
            <w:pPr>
              <w:pStyle w:val="Compact"/>
            </w:pPr>
            <w:r>
              <w:t xml:space="preserve">2.153</w:t>
            </w:r>
          </w:p>
        </w:tc>
        <w:tc>
          <w:tcPr/>
          <w:p>
            <w:pPr>
              <w:pStyle w:val="Compact"/>
            </w:pPr>
            <w:r>
              <w:t xml:space="preserve">0.0004</w:t>
            </w:r>
          </w:p>
        </w:tc>
        <w:tc>
          <w:tcPr/>
          <w:p>
            <w:pPr>
              <w:pStyle w:val="Compact"/>
            </w:pPr>
            <w:r>
              <w:t xml:space="preserve">0.0065</w:t>
            </w:r>
          </w:p>
        </w:tc>
        <w:tc>
          <w:tcPr/>
          <w:p>
            <w:pPr>
              <w:pStyle w:val="Compact"/>
            </w:pPr>
            <w:r>
              <w:t xml:space="preserve">8.613</w:t>
            </w:r>
          </w:p>
        </w:tc>
        <w:tc>
          <w:tcPr/>
          <w:p>
            <w:pPr>
              <w:pStyle w:val="Compact"/>
            </w:pPr>
            <w:r>
              <w:t xml:space="preserve">[8.505, 8.723]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−1.031</w:t>
            </w:r>
          </w:p>
        </w:tc>
        <w:tc>
          <w:tcPr/>
          <w:p>
            <w:pPr>
              <w:pStyle w:val="Compact"/>
            </w:pPr>
            <w:r>
              <w:t xml:space="preserve">0.0007</w:t>
            </w:r>
          </w:p>
        </w:tc>
        <w:tc>
          <w:tcPr/>
          <w:p>
            <w:pPr>
              <w:pStyle w:val="Compact"/>
            </w:pPr>
            <w:r>
              <w:t xml:space="preserve">0.0091</w:t>
            </w:r>
          </w:p>
        </w:tc>
        <w:tc>
          <w:tcPr/>
          <w:p>
            <w:pPr>
              <w:pStyle w:val="Compact"/>
            </w:pPr>
            <w:r>
              <w:t xml:space="preserve">0.357</w:t>
            </w:r>
          </w:p>
        </w:tc>
        <w:tc>
          <w:tcPr/>
          <w:p>
            <w:pPr>
              <w:pStyle w:val="Compact"/>
            </w:pPr>
            <w:r>
              <w:t xml:space="preserve">[0.351, 0.363]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log(1 + works)</w:t>
            </w:r>
          </w:p>
        </w:tc>
        <w:tc>
          <w:tcPr/>
          <w:p>
            <w:pPr>
              <w:pStyle w:val="Compact"/>
            </w:pPr>
            <w:r>
              <w:t xml:space="preserve">0.021</w:t>
            </w:r>
          </w:p>
        </w:tc>
        <w:tc>
          <w:tcPr/>
          <w:p>
            <w:pPr>
              <w:pStyle w:val="Compact"/>
            </w:pPr>
            <w:r>
              <w:t xml:space="preserve">0.0001</w:t>
            </w:r>
          </w:p>
        </w:tc>
        <w:tc>
          <w:tcPr/>
          <w:p>
            <w:pPr>
              <w:pStyle w:val="Compact"/>
            </w:pPr>
            <w:r>
              <w:t xml:space="preserve">0.0017</w:t>
            </w:r>
          </w:p>
        </w:tc>
        <w:tc>
          <w:tcPr/>
          <w:p>
            <w:pPr>
              <w:pStyle w:val="Compact"/>
            </w:pPr>
            <w:r>
              <w:t xml:space="preserve">1.021</w:t>
            </w:r>
          </w:p>
        </w:tc>
        <w:tc>
          <w:tcPr/>
          <w:p>
            <w:pPr>
              <w:pStyle w:val="Compact"/>
            </w:pPr>
            <w:r>
              <w:t xml:space="preserve">[1.018, 1.025]</w:t>
            </w:r>
          </w:p>
        </w:tc>
      </w:tr>
    </w:tbl>
    <w:p>
      <w:pPr>
        <w:pStyle w:val="BodyText"/>
      </w:pPr>
      <w:r>
        <w:rPr>
          <w:i/>
          <w:iCs/>
        </w:rPr>
        <w:t xml:space="preserve">Poisson: McFadden pseudo-R² 0.251, log-likelihood −1.458 x 10^8, LR vs null 9.77 x 10^7 (p &lt; 0.001),</w:t>
      </w:r>
      <w:r>
        <w:rPr>
          <w:i/>
          <w:iCs/>
        </w:rPr>
        <w:t xml:space="preserve"> </w:t>
      </w:r>
      <w:r>
        <w:rPr>
          <w:i/>
          <w:iCs/>
        </w:rPr>
        <w:t xml:space="preserve">residual deviance 2.79 x 10^8 (df 4,634,703), AIC 2.92 x 10^8, Pearson dispersion 275.4. Negative</w:t>
      </w:r>
      <w:r>
        <w:rPr>
          <w:i/>
          <w:iCs/>
        </w:rPr>
        <w:t xml:space="preserve"> </w:t>
      </w:r>
      <w:r>
        <w:rPr>
          <w:i/>
          <w:iCs/>
        </w:rPr>
        <w:t xml:space="preserve">binomial: IRR (East Asian) 8.643 [8.613, 8.672], theta 0.452, log-likelihood −1.335 x 10^7,</w:t>
      </w:r>
      <w:r>
        <w:rPr>
          <w:i/>
          <w:iCs/>
        </w:rPr>
        <w:t xml:space="preserve"> </w:t>
      </w:r>
      <w:r>
        <w:rPr>
          <w:i/>
          <w:iCs/>
        </w:rPr>
        <w:t xml:space="preserve">McFadden pseudo-R² 0.091, AIC 2.67 x 10^7, Pearson dispersion 18.2.</w:t>
      </w:r>
    </w:p>
    <w:p>
      <w:pPr>
        <w:pStyle w:val="BodyText"/>
      </w:pPr>
      <w:r>
        <w:rPr>
          <w:b/>
          <w:bCs/>
        </w:rPr>
        <w:t xml:space="preserve">Full-name entity count.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Estimate</w:t>
            </w:r>
          </w:p>
        </w:tc>
        <w:tc>
          <w:tcPr/>
          <w:p>
            <w:pPr>
              <w:pStyle w:val="Compact"/>
            </w:pPr>
            <w:r>
              <w:t xml:space="preserve">Model SE</w:t>
            </w:r>
          </w:p>
        </w:tc>
        <w:tc>
          <w:tcPr/>
          <w:p>
            <w:pPr>
              <w:pStyle w:val="Compact"/>
            </w:pPr>
            <w:r>
              <w:t xml:space="preserve">Robust SE</w:t>
            </w:r>
          </w:p>
        </w:tc>
        <w:tc>
          <w:tcPr/>
          <w:p>
            <w:pPr>
              <w:pStyle w:val="Compact"/>
            </w:pPr>
            <w:r>
              <w:t xml:space="preserve">IRR</w:t>
            </w:r>
          </w:p>
        </w:tc>
        <w:tc>
          <w:tcPr/>
          <w:p>
            <w:pPr>
              <w:pStyle w:val="Compact"/>
            </w:pPr>
            <w:r>
              <w:t xml:space="preserve">Robust 95%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Intercept</w:t>
            </w:r>
          </w:p>
        </w:tc>
        <w:tc>
          <w:tcPr/>
          <w:p>
            <w:pPr>
              <w:pStyle w:val="Compact"/>
            </w:pPr>
            <w:r>
              <w:t xml:space="preserve">2.803</w:t>
            </w:r>
          </w:p>
        </w:tc>
        <w:tc>
          <w:tcPr/>
          <w:p>
            <w:pPr>
              <w:pStyle w:val="Compact"/>
            </w:pPr>
            <w:r>
              <w:t xml:space="preserve">0.0002</w:t>
            </w:r>
          </w:p>
        </w:tc>
        <w:tc>
          <w:tcPr/>
          <w:p>
            <w:pPr>
              <w:pStyle w:val="Compact"/>
            </w:pPr>
            <w:r>
              <w:t xml:space="preserve">0.0091</w:t>
            </w:r>
          </w:p>
        </w:tc>
        <w:tc>
          <w:tcPr/>
          <w:p>
            <w:pPr>
              <w:pStyle w:val="Compact"/>
            </w:pPr>
            <w:r>
              <w:t xml:space="preserve">16.49</w:t>
            </w:r>
          </w:p>
        </w:tc>
        <w:tc>
          <w:tcPr/>
          <w:p>
            <w:pPr>
              <w:pStyle w:val="Compact"/>
            </w:pPr>
            <w:r>
              <w:t xml:space="preserve">[16.20, 16.79]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East Asian</w:t>
            </w:r>
          </w:p>
        </w:tc>
        <w:tc>
          <w:tcPr/>
          <w:p>
            <w:pPr>
              <w:pStyle w:val="Compact"/>
            </w:pPr>
            <w:r>
              <w:t xml:space="preserve">2.072</w:t>
            </w:r>
          </w:p>
        </w:tc>
        <w:tc>
          <w:tcPr/>
          <w:p>
            <w:pPr>
              <w:pStyle w:val="Compact"/>
            </w:pPr>
            <w:r>
              <w:t xml:space="preserve">0.0002</w:t>
            </w:r>
          </w:p>
        </w:tc>
        <w:tc>
          <w:tcPr/>
          <w:p>
            <w:pPr>
              <w:pStyle w:val="Compact"/>
            </w:pPr>
            <w:r>
              <w:t xml:space="preserve">0.0074</w:t>
            </w:r>
          </w:p>
        </w:tc>
        <w:tc>
          <w:tcPr/>
          <w:p>
            <w:pPr>
              <w:pStyle w:val="Compact"/>
            </w:pPr>
            <w:r>
              <w:t xml:space="preserve">7.942</w:t>
            </w:r>
          </w:p>
        </w:tc>
        <w:tc>
          <w:tcPr/>
          <w:p>
            <w:pPr>
              <w:pStyle w:val="Compact"/>
            </w:pPr>
            <w:r>
              <w:t xml:space="preserve">[7.828, 8.059]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−1.149</w:t>
            </w:r>
          </w:p>
        </w:tc>
        <w:tc>
          <w:tcPr/>
          <w:p>
            <w:pPr>
              <w:pStyle w:val="Compact"/>
            </w:pPr>
            <w:r>
              <w:t xml:space="preserve">0.0004</w:t>
            </w:r>
          </w:p>
        </w:tc>
        <w:tc>
          <w:tcPr/>
          <w:p>
            <w:pPr>
              <w:pStyle w:val="Compact"/>
            </w:pPr>
            <w:r>
              <w:t xml:space="preserve">0.0113</w:t>
            </w:r>
          </w:p>
        </w:tc>
        <w:tc>
          <w:tcPr/>
          <w:p>
            <w:pPr>
              <w:pStyle w:val="Compact"/>
            </w:pPr>
            <w:r>
              <w:t xml:space="preserve">0.317</w:t>
            </w:r>
          </w:p>
        </w:tc>
        <w:tc>
          <w:tcPr/>
          <w:p>
            <w:pPr>
              <w:pStyle w:val="Compact"/>
            </w:pPr>
            <w:r>
              <w:t xml:space="preserve">[0.310, 0.324]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log(1 + works)</w:t>
            </w:r>
          </w:p>
        </w:tc>
        <w:tc>
          <w:tcPr/>
          <w:p>
            <w:pPr>
              <w:pStyle w:val="Compact"/>
            </w:pPr>
            <w:r>
              <w:t xml:space="preserve">−0.022</w:t>
            </w:r>
          </w:p>
        </w:tc>
        <w:tc>
          <w:tcPr/>
          <w:p>
            <w:pPr>
              <w:pStyle w:val="Compact"/>
            </w:pPr>
            <w:r>
              <w:t xml:space="preserve">0.0000</w:t>
            </w:r>
          </w:p>
        </w:tc>
        <w:tc>
          <w:tcPr/>
          <w:p>
            <w:pPr>
              <w:pStyle w:val="Compact"/>
            </w:pPr>
            <w:r>
              <w:t xml:space="preserve">0.0017</w:t>
            </w:r>
          </w:p>
        </w:tc>
        <w:tc>
          <w:tcPr/>
          <w:p>
            <w:pPr>
              <w:pStyle w:val="Compact"/>
            </w:pPr>
            <w:r>
              <w:t xml:space="preserve">0.978</w:t>
            </w:r>
          </w:p>
        </w:tc>
        <w:tc>
          <w:tcPr/>
          <w:p>
            <w:pPr>
              <w:pStyle w:val="Compact"/>
            </w:pPr>
            <w:r>
              <w:t xml:space="preserve">[0.975, 0.982]</w:t>
            </w:r>
          </w:p>
        </w:tc>
      </w:tr>
    </w:tbl>
    <w:p>
      <w:pPr>
        <w:pStyle w:val="BodyText"/>
      </w:pPr>
      <w:r>
        <w:rPr>
          <w:i/>
          <w:iCs/>
        </w:rPr>
        <w:t xml:space="preserve">Poisson: McFadden pseudo-R² 0.244, log-likelihood −4.088 x 10^8, LR vs null 2.64 x 10^8 (p &lt; 0.001),</w:t>
      </w:r>
      <w:r>
        <w:rPr>
          <w:i/>
          <w:iCs/>
        </w:rPr>
        <w:t xml:space="preserve"> </w:t>
      </w:r>
      <w:r>
        <w:rPr>
          <w:i/>
          <w:iCs/>
        </w:rPr>
        <w:t xml:space="preserve">residual deviance 8.03 x 10^8, AIC 8.18 x 10^8, Pearson dispersion 1016.8. Negative binomial: IRR</w:t>
      </w:r>
      <w:r>
        <w:rPr>
          <w:i/>
          <w:iCs/>
        </w:rPr>
        <w:t xml:space="preserve"> </w:t>
      </w:r>
      <w:r>
        <w:rPr>
          <w:i/>
          <w:iCs/>
        </w:rPr>
        <w:t xml:space="preserve">(East Asian) 7.993 [7.964, 8.022], theta 0.369, log-likelihood −1.683 x 10^7, McFadden pseudo-R²</w:t>
      </w:r>
      <w:r>
        <w:rPr>
          <w:i/>
          <w:iCs/>
        </w:rPr>
        <w:t xml:space="preserve"> </w:t>
      </w:r>
      <w:r>
        <w:rPr>
          <w:i/>
          <w:iCs/>
        </w:rPr>
        <w:t xml:space="preserve">0.064, AIC 3.37 x 10^7, Pearson dispersion 25.7.</w:t>
      </w:r>
    </w:p>
    <w:p>
      <w:pPr>
        <w:pStyle w:val="BodyText"/>
      </w:pPr>
      <w:r>
        <w:rPr>
          <w:b/>
          <w:bCs/>
        </w:rPr>
        <w:t xml:space="preserve">Initial-form count.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Term</w:t>
            </w:r>
          </w:p>
        </w:tc>
        <w:tc>
          <w:tcPr/>
          <w:p>
            <w:pPr>
              <w:pStyle w:val="Compact"/>
            </w:pPr>
            <w:r>
              <w:t xml:space="preserve">Estimate</w:t>
            </w:r>
          </w:p>
        </w:tc>
        <w:tc>
          <w:tcPr/>
          <w:p>
            <w:pPr>
              <w:pStyle w:val="Compact"/>
            </w:pPr>
            <w:r>
              <w:t xml:space="preserve">Model SE</w:t>
            </w:r>
          </w:p>
        </w:tc>
        <w:tc>
          <w:tcPr/>
          <w:p>
            <w:pPr>
              <w:pStyle w:val="Compact"/>
            </w:pPr>
            <w:r>
              <w:t xml:space="preserve">Robust SE</w:t>
            </w:r>
          </w:p>
        </w:tc>
        <w:tc>
          <w:tcPr/>
          <w:p>
            <w:pPr>
              <w:pStyle w:val="Compact"/>
            </w:pPr>
            <w:r>
              <w:t xml:space="preserve">IRR</w:t>
            </w:r>
          </w:p>
        </w:tc>
        <w:tc>
          <w:tcPr/>
          <w:p>
            <w:pPr>
              <w:pStyle w:val="Compact"/>
            </w:pPr>
            <w:r>
              <w:t xml:space="preserve">Robust 95% CI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Intercept</w:t>
            </w:r>
          </w:p>
        </w:tc>
        <w:tc>
          <w:tcPr/>
          <w:p>
            <w:pPr>
              <w:pStyle w:val="Compact"/>
            </w:pPr>
            <w:r>
              <w:t xml:space="preserve">7.697</w:t>
            </w:r>
          </w:p>
        </w:tc>
        <w:tc>
          <w:tcPr/>
          <w:p>
            <w:pPr>
              <w:pStyle w:val="Compact"/>
            </w:pPr>
            <w:r>
              <w:t xml:space="preserve">0.00002</w:t>
            </w:r>
          </w:p>
        </w:tc>
        <w:tc>
          <w:tcPr/>
          <w:p>
            <w:pPr>
              <w:pStyle w:val="Compact"/>
            </w:pPr>
            <w:r>
              <w:t xml:space="preserve">0.0037</w:t>
            </w:r>
          </w:p>
        </w:tc>
        <w:tc>
          <w:tcPr/>
          <w:p>
            <w:pPr>
              <w:pStyle w:val="Compact"/>
            </w:pPr>
            <w:r>
              <w:t xml:space="preserve">2201</w:t>
            </w:r>
          </w:p>
        </w:tc>
        <w:tc>
          <w:tcPr/>
          <w:p>
            <w:pPr>
              <w:pStyle w:val="Compact"/>
            </w:pPr>
            <w:r>
              <w:t xml:space="preserve">[2185, 2217]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East Asian</w:t>
            </w:r>
          </w:p>
        </w:tc>
        <w:tc>
          <w:tcPr/>
          <w:p>
            <w:pPr>
              <w:pStyle w:val="Compact"/>
            </w:pPr>
            <w:r>
              <w:t xml:space="preserve">1.877</w:t>
            </w:r>
          </w:p>
        </w:tc>
        <w:tc>
          <w:tcPr/>
          <w:p>
            <w:pPr>
              <w:pStyle w:val="Compact"/>
            </w:pPr>
            <w:r>
              <w:t xml:space="preserve">0.00002</w:t>
            </w:r>
          </w:p>
        </w:tc>
        <w:tc>
          <w:tcPr/>
          <w:p>
            <w:pPr>
              <w:pStyle w:val="Compact"/>
            </w:pPr>
            <w:r>
              <w:t xml:space="preserve">0.0031</w:t>
            </w:r>
          </w:p>
        </w:tc>
        <w:tc>
          <w:tcPr/>
          <w:p>
            <w:pPr>
              <w:pStyle w:val="Compact"/>
            </w:pPr>
            <w:r>
              <w:t xml:space="preserve">6.534</w:t>
            </w:r>
          </w:p>
        </w:tc>
        <w:tc>
          <w:tcPr/>
          <w:p>
            <w:pPr>
              <w:pStyle w:val="Compact"/>
            </w:pPr>
            <w:r>
              <w:t xml:space="preserve">[6.494, 6.574]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</w:t>
            </w:r>
          </w:p>
        </w:tc>
        <w:tc>
          <w:tcPr/>
          <w:p>
            <w:pPr>
              <w:pStyle w:val="Compact"/>
            </w:pPr>
            <w:r>
              <w:t xml:space="preserve">−0.329</w:t>
            </w:r>
          </w:p>
        </w:tc>
        <w:tc>
          <w:tcPr/>
          <w:p>
            <w:pPr>
              <w:pStyle w:val="Compact"/>
            </w:pPr>
            <w:r>
              <w:t xml:space="preserve">0.00003</w:t>
            </w:r>
          </w:p>
        </w:tc>
        <w:tc>
          <w:tcPr/>
          <w:p>
            <w:pPr>
              <w:pStyle w:val="Compact"/>
            </w:pPr>
            <w:r>
              <w:t xml:space="preserve">0.0041</w:t>
            </w:r>
          </w:p>
        </w:tc>
        <w:tc>
          <w:tcPr/>
          <w:p>
            <w:pPr>
              <w:pStyle w:val="Compact"/>
            </w:pPr>
            <w:r>
              <w:t xml:space="preserve">0.720</w:t>
            </w:r>
          </w:p>
        </w:tc>
        <w:tc>
          <w:tcPr/>
          <w:p>
            <w:pPr>
              <w:pStyle w:val="Compact"/>
            </w:pPr>
            <w:r>
              <w:t xml:space="preserve">[0.714, 0.726]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log(1 + works)</w:t>
            </w:r>
          </w:p>
        </w:tc>
        <w:tc>
          <w:tcPr/>
          <w:p>
            <w:pPr>
              <w:pStyle w:val="Compact"/>
            </w:pPr>
            <w:r>
              <w:t xml:space="preserve">−0.038</w:t>
            </w:r>
          </w:p>
        </w:tc>
        <w:tc>
          <w:tcPr/>
          <w:p>
            <w:pPr>
              <w:pStyle w:val="Compact"/>
            </w:pPr>
            <w:r>
              <w:t xml:space="preserve">0.00001</w:t>
            </w:r>
          </w:p>
        </w:tc>
        <w:tc>
          <w:tcPr/>
          <w:p>
            <w:pPr>
              <w:pStyle w:val="Compact"/>
            </w:pPr>
            <w:r>
              <w:t xml:space="preserve">0.0008</w:t>
            </w:r>
          </w:p>
        </w:tc>
        <w:tc>
          <w:tcPr/>
          <w:p>
            <w:pPr>
              <w:pStyle w:val="Compact"/>
            </w:pPr>
            <w:r>
              <w:t xml:space="preserve">0.963</w:t>
            </w:r>
          </w:p>
        </w:tc>
        <w:tc>
          <w:tcPr/>
          <w:p>
            <w:pPr>
              <w:pStyle w:val="Compact"/>
            </w:pPr>
            <w:r>
              <w:t xml:space="preserve">[0.962, 0.965]</w:t>
            </w:r>
          </w:p>
        </w:tc>
      </w:tr>
    </w:tbl>
    <w:p>
      <w:pPr>
        <w:pStyle w:val="BodyText"/>
      </w:pPr>
      <w:r>
        <w:rPr>
          <w:i/>
          <w:iCs/>
        </w:rPr>
        <w:t xml:space="preserve">Poisson: McFadden pseudo-R² 0.304, log-likelihood −2.516 x 10^10, LR vs null 2.19 x 10^10</w:t>
      </w:r>
      <w:r>
        <w:rPr>
          <w:i/>
          <w:iCs/>
        </w:rPr>
        <w:t xml:space="preserve"> </w:t>
      </w:r>
      <w:r>
        <w:rPr>
          <w:i/>
          <w:iCs/>
        </w:rPr>
        <w:t xml:space="preserve">(p &lt; 0.001), residual deviance 5.03 x 10^10, AIC 5.03 x 10^10, Pearson dispersion 23,044.8. Negative</w:t>
      </w:r>
      <w:r>
        <w:rPr>
          <w:i/>
          <w:iCs/>
        </w:rPr>
        <w:t xml:space="preserve"> </w:t>
      </w:r>
      <w:r>
        <w:rPr>
          <w:i/>
          <w:iCs/>
        </w:rPr>
        <w:t xml:space="preserve">binomial: IRR (East Asian) 6.509 [6.481, 6.537], theta 0.264, log-likelihood −3.700 x 10^7,</w:t>
      </w:r>
      <w:r>
        <w:rPr>
          <w:i/>
          <w:iCs/>
        </w:rPr>
        <w:t xml:space="preserve"> </w:t>
      </w:r>
      <w:r>
        <w:rPr>
          <w:i/>
          <w:iCs/>
        </w:rPr>
        <w:t xml:space="preserve">McFadden pseudo-R² 0.015, AIC 7.40 x 10^7, Pearson dispersion 2.59.</w:t>
      </w:r>
    </w:p>
    <w:bookmarkEnd w:id="10"/>
    <w:bookmarkStart w:id="11" w:name="Xeecda725d7377bfe8fe985efa3edb724d7f85fb"/>
    <w:p>
      <w:pPr>
        <w:pStyle w:val="Heading3"/>
      </w:pPr>
      <w:r>
        <w:t xml:space="preserve">Table S2. Field- and career-adjusted models: count ~ stratum + log(1 + works) + field + career</w:t>
      </w:r>
    </w:p>
    <w:p>
      <w:pPr>
        <w:pStyle w:val="FirstParagraph"/>
      </w:pPr>
      <w:r>
        <w:t xml:space="preserve">Poisson fit (the negative-binomial maximum likelihood did not converge with the 20-level field</w:t>
      </w:r>
      <w:r>
        <w:t xml:space="preserve"> </w:t>
      </w:r>
      <w:r>
        <w:t xml:space="preserve">factor; at population scale the Poisson log-mean coefficients are the population conditional-mean</w:t>
      </w:r>
      <w:r>
        <w:t xml:space="preserve"> </w:t>
      </w:r>
      <w:r>
        <w:t xml:space="preserve">ratios regardless of the variance model). Field is the top-scored level-0 OpenAlex concept (20</w:t>
      </w:r>
      <w:r>
        <w:t xml:space="preserve"> </w:t>
      </w:r>
      <w:r>
        <w:t xml:space="preserve">levels, reference Medicine, known for 98% of the population); career is years since first</w:t>
      </w:r>
      <w:r>
        <w:t xml:space="preserve"> </w:t>
      </w:r>
      <w:r>
        <w:t xml:space="preserve">publication. Only the stratum, productivity, and career terms are shown; the 19 field coefficients</w:t>
      </w:r>
      <w:r>
        <w:t xml:space="preserve"> </w:t>
      </w:r>
      <w:r>
        <w:t xml:space="preserve">are in the released model output.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East Asian IRR [95% CI]</w:t>
            </w:r>
          </w:p>
        </w:tc>
        <w:tc>
          <w:tcPr/>
          <w:p>
            <w:pPr>
              <w:pStyle w:val="Compact"/>
            </w:pPr>
            <w:r>
              <w:t xml:space="preserve">Other IRR [95% CI]</w:t>
            </w:r>
          </w:p>
        </w:tc>
        <w:tc>
          <w:tcPr/>
          <w:p>
            <w:pPr>
              <w:pStyle w:val="Compact"/>
            </w:pPr>
            <w:r>
              <w:t xml:space="preserve">log-works IRR</w:t>
            </w:r>
          </w:p>
        </w:tc>
        <w:tc>
          <w:tcPr/>
          <w:p>
            <w:pPr>
              <w:pStyle w:val="Compact"/>
            </w:pPr>
            <w:r>
              <w:t xml:space="preserve">career IRR</w:t>
            </w:r>
          </w:p>
        </w:tc>
        <w:tc>
          <w:tcPr/>
          <w:p>
            <w:pPr>
              <w:pStyle w:val="Compact"/>
            </w:pPr>
            <w:r>
              <w:t xml:space="preserve">Pearson dispersion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ORCID-restricted</w:t>
            </w:r>
          </w:p>
        </w:tc>
        <w:tc>
          <w:tcPr/>
          <w:p>
            <w:pPr>
              <w:pStyle w:val="Compact"/>
            </w:pPr>
            <w:r>
              <w:t xml:space="preserve">7.802 [7.797, 7.808]</w:t>
            </w:r>
          </w:p>
        </w:tc>
        <w:tc>
          <w:tcPr/>
          <w:p>
            <w:pPr>
              <w:pStyle w:val="Compact"/>
            </w:pPr>
            <w:r>
              <w:t xml:space="preserve">0.356 [0.356, 0.357]</w:t>
            </w:r>
          </w:p>
        </w:tc>
        <w:tc>
          <w:tcPr/>
          <w:p>
            <w:pPr>
              <w:pStyle w:val="Compact"/>
            </w:pPr>
            <w:r>
              <w:t xml:space="preserve">1.076</w:t>
            </w:r>
          </w:p>
        </w:tc>
        <w:tc>
          <w:tcPr/>
          <w:p>
            <w:pPr>
              <w:pStyle w:val="Compact"/>
            </w:pPr>
            <w:r>
              <w:t xml:space="preserve">0.994</w:t>
            </w:r>
          </w:p>
        </w:tc>
        <w:tc>
          <w:tcPr/>
          <w:p>
            <w:pPr>
              <w:pStyle w:val="Compact"/>
            </w:pPr>
            <w:r>
              <w:t xml:space="preserve">265.1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Full-name</w:t>
            </w:r>
          </w:p>
        </w:tc>
        <w:tc>
          <w:tcPr/>
          <w:p>
            <w:pPr>
              <w:pStyle w:val="Compact"/>
            </w:pPr>
            <w:r>
              <w:t xml:space="preserve">7.331 [7.328, 7.334]</w:t>
            </w:r>
          </w:p>
        </w:tc>
        <w:tc>
          <w:tcPr/>
          <w:p>
            <w:pPr>
              <w:pStyle w:val="Compact"/>
            </w:pPr>
            <w:r>
              <w:t xml:space="preserve">0.322 [0.321, 0.322]</w:t>
            </w:r>
          </w:p>
        </w:tc>
        <w:tc>
          <w:tcPr/>
          <w:p>
            <w:pPr>
              <w:pStyle w:val="Compact"/>
            </w:pPr>
            <w:r>
              <w:t xml:space="preserve">0.963</w:t>
            </w:r>
          </w:p>
        </w:tc>
        <w:tc>
          <w:tcPr/>
          <w:p>
            <w:pPr>
              <w:pStyle w:val="Compact"/>
            </w:pPr>
            <w:r>
              <w:t xml:space="preserve">1.002</w:t>
            </w:r>
          </w:p>
        </w:tc>
        <w:tc>
          <w:tcPr/>
          <w:p>
            <w:pPr>
              <w:pStyle w:val="Compact"/>
            </w:pPr>
            <w:r>
              <w:t xml:space="preserve">951.1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Initial-form</w:t>
            </w:r>
          </w:p>
        </w:tc>
        <w:tc>
          <w:tcPr/>
          <w:p>
            <w:pPr>
              <w:pStyle w:val="Compact"/>
            </w:pPr>
            <w:r>
              <w:t xml:space="preserve">6.149 [6.149, 6.149]</w:t>
            </w:r>
          </w:p>
        </w:tc>
        <w:tc>
          <w:tcPr/>
          <w:p>
            <w:pPr>
              <w:pStyle w:val="Compact"/>
            </w:pPr>
            <w:r>
              <w:t xml:space="preserve">0.691 [0.691, 0.691]</w:t>
            </w:r>
          </w:p>
        </w:tc>
        <w:tc>
          <w:tcPr/>
          <w:p>
            <w:pPr>
              <w:pStyle w:val="Compact"/>
            </w:pPr>
            <w:r>
              <w:t xml:space="preserve">1.003</w:t>
            </w:r>
          </w:p>
        </w:tc>
        <w:tc>
          <w:tcPr/>
          <w:p>
            <w:pPr>
              <w:pStyle w:val="Compact"/>
            </w:pPr>
            <w:r>
              <w:t xml:space="preserve">0.994</w:t>
            </w:r>
          </w:p>
        </w:tc>
        <w:tc>
          <w:tcPr/>
          <w:p>
            <w:pPr>
              <w:pStyle w:val="Compact"/>
            </w:pPr>
            <w:r>
              <w:t xml:space="preserve">24,187.7</w:t>
            </w:r>
          </w:p>
        </w:tc>
      </w:tr>
    </w:tbl>
    <w:p>
      <w:pPr>
        <w:pStyle w:val="BodyText"/>
      </w:pPr>
      <w:r>
        <w:t xml:space="preserve">Adding field and career shrinks the East-Asian incidence-rate ratio only modestly relative to the</w:t>
      </w:r>
      <w:r>
        <w:t xml:space="preserve"> </w:t>
      </w:r>
      <w:r>
        <w:t xml:space="preserve">productivity-only models in Table S1 (from 8.61, 7.94, 6.53 to 7.80, 7.33, 6.15), and the career</w:t>
      </w:r>
      <w:r>
        <w:t xml:space="preserve"> </w:t>
      </w:r>
      <w:r>
        <w:t xml:space="preserve">coefficient is essentially null (an IRR within 0.6% of 1 per year). Field composition therefore</w:t>
      </w:r>
      <w:r>
        <w:t xml:space="preserve"> </w:t>
      </w:r>
      <w:r>
        <w:t xml:space="preserve">accounts for a small part of the gap; the bulk survives.</w:t>
      </w:r>
    </w:p>
    <w:bookmarkEnd w:id="11"/>
    <w:bookmarkStart w:id="12" w:name="robustness-deduplicating-by-orcid-string"/>
    <w:p>
      <w:pPr>
        <w:pStyle w:val="Heading3"/>
      </w:pPr>
      <w:r>
        <w:t xml:space="preserve">Robustness: deduplicating by ORCID string</w:t>
      </w:r>
    </w:p>
    <w:p>
      <w:pPr>
        <w:pStyle w:val="FirstParagraph"/>
      </w:pPr>
      <w:r>
        <w:t xml:space="preserve">The ORCID-restricted count is, strictly, a count of distinct ORCID-bearing author</w:t>
      </w:r>
      <w:r>
        <w:t xml:space="preserve"> </w:t>
      </w:r>
      <w:r>
        <w:rPr>
          <w:i/>
          <w:iCs/>
        </w:rPr>
        <w:t xml:space="preserve">entities</w:t>
      </w:r>
      <w:r>
        <w:t xml:space="preserve"> </w:t>
      </w:r>
      <w:r>
        <w:t xml:space="preserve">sharing</w:t>
      </w:r>
      <w:r>
        <w:t xml:space="preserve"> </w:t>
      </w:r>
      <w:r>
        <w:t xml:space="preserve">a name, which equals the number of distinct real people only if each person contributes exactly one</w:t>
      </w:r>
      <w:r>
        <w:t xml:space="preserve"> </w:t>
      </w:r>
      <w:r>
        <w:t xml:space="preserve">such entity; the main way that could fail is one real person split across several ORCID-bearing</w:t>
      </w:r>
      <w:r>
        <w:t xml:space="preserve"> </w:t>
      </w:r>
      <w:r>
        <w:t xml:space="preserve">entities, which would inflate the count. We recomputed the metric deduplicating by</w:t>
      </w:r>
      <w:r>
        <w:t xml:space="preserve"> </w:t>
      </w:r>
      <w:r>
        <w:rPr>
          <w:b/>
          <w:bCs/>
        </w:rPr>
        <w:t xml:space="preserve">distinct ORCID</w:t>
      </w:r>
      <w:r>
        <w:rPr>
          <w:b/>
          <w:bCs/>
        </w:rPr>
        <w:t xml:space="preserve"> </w:t>
      </w:r>
      <w:r>
        <w:rPr>
          <w:b/>
          <w:bCs/>
        </w:rPr>
        <w:t xml:space="preserve">iD string</w:t>
      </w:r>
      <w:r>
        <w:t xml:space="preserve"> </w:t>
      </w:r>
      <w:r>
        <w:t xml:space="preserve">rather than by OpenAlex author entity. The result is materially unchanged: the East-Asian</w:t>
      </w:r>
      <w:r>
        <w:t xml:space="preserve"> </w:t>
      </w:r>
      <w:r>
        <w:t xml:space="preserve">median stays 3 (versus 1 for both comparison strata), the IQR (1 to 17) and 90th percentile (108)</w:t>
      </w:r>
      <w:r>
        <w:t xml:space="preserve"> </w:t>
      </w:r>
      <w:r>
        <w:t xml:space="preserve">are identical, the share colliding with at least 100 moves only from 10.46% to 10.44%, and the</w:t>
      </w:r>
      <w:r>
        <w:t xml:space="preserve"> </w:t>
      </w:r>
      <w:r>
        <w:t xml:space="preserve">rank-biserial effect sizes are unchanged (r = −0.49 versus Anglophone, −0.55 versus Other). OpenAlex</w:t>
      </w:r>
      <w:r>
        <w:t xml:space="preserve"> </w:t>
      </w:r>
      <w:r>
        <w:t xml:space="preserve">therefore assigns ORCIDs close to one-to-one with entities even for the exposed population.</w:t>
      </w:r>
    </w:p>
    <w:bookmarkEnd w:id="12"/>
    <w:bookmarkEnd w:id="13"/>
    <w:bookmarkStart w:id="14" w:name="s3.-implications-for-practice"/>
    <w:p>
      <w:pPr>
        <w:pStyle w:val="Heading2"/>
      </w:pPr>
      <w:r>
        <w:t xml:space="preserve">S3. Implications for practice</w:t>
      </w:r>
    </w:p>
    <w:p>
      <w:pPr>
        <w:pStyle w:val="FirstParagraph"/>
      </w:pPr>
      <w:r>
        <w:t xml:space="preserve">The measurement (Section 2) has direct implications for anyone running name-based author analyses.</w:t>
      </w:r>
      <w:r>
        <w:t xml:space="preserve"> </w:t>
      </w:r>
      <w:r>
        <w:t xml:space="preserve">We state them as recommendations grounded in the reported figures rather than as universal rules.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Initials alone are not a defensible attribution basis.</w:t>
      </w:r>
      <w:r>
        <w:t xml:space="preserve"> </w:t>
      </w:r>
      <w:r>
        <w:t xml:space="preserve">Initial + surname is the worst-case</w:t>
      </w:r>
      <w:r>
        <w:t xml:space="preserve"> </w:t>
      </w:r>
      <w:r>
        <w:t xml:space="preserve">strategy measured here; for some name origins it collides a single researcher with hundreds of</w:t>
      </w:r>
      <w:r>
        <w:t xml:space="preserve"> </w:t>
      </w:r>
      <w:r>
        <w:t xml:space="preserve">identities, so an initials-only join cannot reliably separate them at any scale.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you must use names, condition on more than the name.</w:t>
      </w:r>
      <w:r>
        <w:t xml:space="preserve"> </w:t>
      </w:r>
      <w:r>
        <w:t xml:space="preserve">Co-authors, venue, year, and</w:t>
      </w:r>
      <w:r>
        <w:t xml:space="preserve"> </w:t>
      </w:r>
      <w:r>
        <w:t xml:space="preserve">affiliation are the auxiliary signals the disambiguation literature is built on; a raw name join</w:t>
      </w:r>
      <w:r>
        <w:t xml:space="preserve"> </w:t>
      </w:r>
      <w:r>
        <w:t xml:space="preserve">discards exactly the context that makes name-based attribution tractable.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Prefer pre-disambiguated author identifiers, and say which you used.</w:t>
      </w:r>
      <w:r>
        <w:t xml:space="preserve"> </w:t>
      </w:r>
      <w:r>
        <w:t xml:space="preserve">ORCID and the OpenAlex,</w:t>
      </w:r>
      <w:r>
        <w:t xml:space="preserve"> </w:t>
      </w:r>
      <w:r>
        <w:t xml:space="preserve">Scopus, and Web of Science author IDs already resolve most of this burden; report the identifier</w:t>
      </w:r>
      <w:r>
        <w:t xml:space="preserve"> </w:t>
      </w:r>
      <w:r>
        <w:t xml:space="preserve">system relied on so the attribution basis is auditable.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Disaggregate author-level results by name origin, or at minimum flag the weakness.</w:t>
      </w:r>
      <w:r>
        <w:t xml:space="preserve"> </w:t>
      </w:r>
      <w:r>
        <w:t xml:space="preserve">Where</w:t>
      </w:r>
      <w:r>
        <w:t xml:space="preserve"> </w:t>
      </w:r>
      <w:r>
        <w:t xml:space="preserve">disaggregation is not possible, treat romanized-name coverage as a stated, known limitation rather</w:t>
      </w:r>
      <w:r>
        <w:t xml:space="preserve"> </w:t>
      </w:r>
      <w:r>
        <w:t xml:space="preserve">than an invisible one.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Treat any name-based or name-to-demographic inference as differentially unreliable.</w:t>
      </w:r>
      <w:r>
        <w:t xml:space="preserve"> </w:t>
      </w:r>
      <w:r>
        <w:t xml:space="preserve">Such</w:t>
      </w:r>
      <w:r>
        <w:t xml:space="preserve"> </w:t>
      </w:r>
      <w:r>
        <w:t xml:space="preserve">inference misrecognizes unequally across name origins (Lockhart et al., 2023), so its error is</w:t>
      </w:r>
      <w:r>
        <w:t xml:space="preserve"> </w:t>
      </w:r>
      <w:r>
        <w:t xml:space="preserve">itself a source of inequity, not a uniform nuisance.</w:t>
      </w:r>
    </w:p>
    <w:bookmarkEnd w:id="14"/>
    <w:bookmarkStart w:id="15" w:name="s4.-full-tool-comparison"/>
    <w:p>
      <w:pPr>
        <w:pStyle w:val="Heading2"/>
      </w:pPr>
      <w:r>
        <w:t xml:space="preserve">S4. Full tool comparison</w:t>
      </w:r>
    </w:p>
    <w:p>
      <w:pPr>
        <w:pStyle w:val="FirstParagraph"/>
      </w:pPr>
      <w:r>
        <w:t xml:space="preserve">The full version of Table 2 (Section 4.1). Column meanings are as in Table 2; the comparison records</w:t>
      </w:r>
      <w:r>
        <w:t xml:space="preserve"> </w:t>
      </w:r>
      <w:r>
        <w:t xml:space="preserve">the presence of a capability from public documentation, not its quality or performance.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Tool</w:t>
            </w:r>
          </w:p>
        </w:tc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Open / free to individual</w:t>
            </w:r>
          </w:p>
        </w:tc>
        <w:tc>
          <w:tcPr/>
          <w:p>
            <w:pPr>
              <w:pStyle w:val="Compact"/>
            </w:pPr>
            <w:r>
              <w:t xml:space="preserve">ID-anchored</w:t>
            </w:r>
          </w:p>
        </w:tc>
        <w:tc>
          <w:tcPr/>
          <w:p>
            <w:pPr>
              <w:pStyle w:val="Compact"/>
            </w:pPr>
            <w:r>
              <w:t xml:space="preserve">Multi-source</w:t>
            </w:r>
          </w:p>
        </w:tc>
        <w:tc>
          <w:tcPr/>
          <w:p>
            <w:pPr>
              <w:pStyle w:val="Compact"/>
            </w:pPr>
            <w:r>
              <w:t xml:space="preserve">Styled CV export</w:t>
            </w:r>
          </w:p>
        </w:tc>
        <w:tc>
          <w:tcPr/>
          <w:p>
            <w:pPr>
              <w:pStyle w:val="Compact"/>
            </w:pPr>
            <w:r>
              <w:t xml:space="preserve">Living page</w:t>
            </w:r>
          </w:p>
        </w:tc>
        <w:tc>
          <w:tcPr/>
          <w:p>
            <w:pPr>
              <w:pStyle w:val="Compact"/>
            </w:pPr>
            <w:r>
              <w:t xml:space="preserve">FAIR out</w:t>
            </w:r>
          </w:p>
        </w:tc>
        <w:tc>
          <w:tcPr/>
          <w:p>
            <w:pPr>
              <w:pStyle w:val="Compact"/>
            </w:pPr>
            <w:r>
              <w:t xml:space="preserve">Individual-controlled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SigmaCV</w:t>
            </w:r>
          </w:p>
        </w:tc>
        <w:tc>
          <w:tcPr/>
          <w:p>
            <w:pPr>
              <w:pStyle w:val="Compact"/>
            </w:pPr>
            <w:r>
              <w:t xml:space="preserve">CV / profile builder</w:t>
            </w:r>
          </w:p>
        </w:tc>
        <w:tc>
          <w:tcPr/>
          <w:p>
            <w:pPr>
              <w:pStyle w:val="Compact"/>
            </w:pPr>
            <w:r>
              <w:t xml:space="preserve">Yes / 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 (8+ types)</w:t>
            </w:r>
          </w:p>
        </w:tc>
        <w:tc>
          <w:tcPr/>
          <w:p>
            <w:pPr>
              <w:pStyle w:val="Compact"/>
            </w:pPr>
            <w:r>
              <w:t xml:space="preserve">PDF, DOCX, LaTeX, MD, BibTeX, CSL-JSON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 (JSON-LD, OAI-PMH, RO-Crate)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ORCID</w:t>
            </w:r>
          </w:p>
        </w:tc>
        <w:tc>
          <w:tcPr/>
          <w:p>
            <w:pPr>
              <w:pStyle w:val="Compact"/>
            </w:pPr>
            <w:r>
              <w:t xml:space="preserve">Identifier registry</w:t>
            </w:r>
          </w:p>
        </w:tc>
        <w:tc>
          <w:tcPr/>
          <w:p>
            <w:pPr>
              <w:pStyle w:val="Compact"/>
            </w:pPr>
            <w:r>
              <w:t xml:space="preserve">Yes / 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Partial (claimed)</w:t>
            </w:r>
          </w:p>
        </w:tc>
        <w:tc>
          <w:tcPr/>
          <w:p>
            <w:pPr>
              <w:pStyle w:val="Compact"/>
            </w:pPr>
            <w:r>
              <w:t xml:space="preserve">No (data record)</w:t>
            </w:r>
          </w:p>
        </w:tc>
        <w:tc>
          <w:tcPr/>
          <w:p>
            <w:pPr>
              <w:pStyle w:val="Compact"/>
            </w:pPr>
            <w:r>
              <w:t xml:space="preserve">Public record</w:t>
            </w:r>
          </w:p>
        </w:tc>
        <w:tc>
          <w:tcPr/>
          <w:p>
            <w:pPr>
              <w:pStyle w:val="Compact"/>
            </w:pPr>
            <w:r>
              <w:t xml:space="preserve">Partial (API)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OpenAlex</w:t>
            </w:r>
          </w:p>
        </w:tc>
        <w:tc>
          <w:tcPr/>
          <w:p>
            <w:pPr>
              <w:pStyle w:val="Compact"/>
            </w:pPr>
            <w:r>
              <w:t xml:space="preserve">Identifier + database</w:t>
            </w:r>
          </w:p>
        </w:tc>
        <w:tc>
          <w:tcPr/>
          <w:p>
            <w:pPr>
              <w:pStyle w:val="Compact"/>
            </w:pPr>
            <w:r>
              <w:t xml:space="preserve">Yes / yes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Publications, metrics</w:t>
            </w:r>
          </w:p>
        </w:tc>
        <w:tc>
          <w:tcPr/>
          <w:p>
            <w:pPr>
              <w:pStyle w:val="Compact"/>
            </w:pPr>
            <w:r>
              <w:t xml:space="preserve">No (API/data)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Partial (API)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Scopus Author ID</w:t>
            </w:r>
          </w:p>
        </w:tc>
        <w:tc>
          <w:tcPr/>
          <w:p>
            <w:pPr>
              <w:pStyle w:val="Compact"/>
            </w:pPr>
            <w:r>
              <w:t xml:space="preserve">Identifier + profile</w:t>
            </w:r>
          </w:p>
        </w:tc>
        <w:tc>
          <w:tcPr/>
          <w:p>
            <w:pPr>
              <w:pStyle w:val="Compact"/>
            </w:pPr>
            <w:r>
              <w:t xml:space="preserve">No / 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Scopus only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Profile (Scopus)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 of Science ResearcherID</w:t>
            </w:r>
          </w:p>
        </w:tc>
        <w:tc>
          <w:tcPr/>
          <w:p>
            <w:pPr>
              <w:pStyle w:val="Compact"/>
            </w:pPr>
            <w:r>
              <w:t xml:space="preserve">Identifier + profile</w:t>
            </w:r>
          </w:p>
        </w:tc>
        <w:tc>
          <w:tcPr/>
          <w:p>
            <w:pPr>
              <w:pStyle w:val="Compact"/>
            </w:pPr>
            <w:r>
              <w:t xml:space="preserve">No / 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WoS only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Profile (WoS)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Partial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VIVO</w:t>
            </w:r>
          </w:p>
        </w:tc>
        <w:tc>
          <w:tcPr/>
          <w:p>
            <w:pPr>
              <w:pStyle w:val="Compact"/>
            </w:pPr>
            <w:r>
              <w:t xml:space="preserve">Institutional RIM</w:t>
            </w:r>
          </w:p>
        </w:tc>
        <w:tc>
          <w:tcPr/>
          <w:p>
            <w:pPr>
              <w:pStyle w:val="Compact"/>
            </w:pPr>
            <w:r>
              <w:t xml:space="preserve">Yes / institution-hosted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 (institutional)</w:t>
            </w:r>
          </w:p>
        </w:tc>
        <w:tc>
          <w:tcPr/>
          <w:p>
            <w:pPr>
              <w:pStyle w:val="Compact"/>
            </w:pPr>
            <w:r>
              <w:t xml:space="preserve">No (linked data)</w:t>
            </w:r>
          </w:p>
        </w:tc>
        <w:tc>
          <w:tcPr/>
          <w:p>
            <w:pPr>
              <w:pStyle w:val="Compact"/>
            </w:pPr>
            <w:r>
              <w:t xml:space="preserve">Institutional page</w:t>
            </w:r>
          </w:p>
        </w:tc>
        <w:tc>
          <w:tcPr/>
          <w:p>
            <w:pPr>
              <w:pStyle w:val="Compact"/>
            </w:pPr>
            <w:r>
              <w:t xml:space="preserve">Yes (RDF)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Symplectic Elements / Pure</w:t>
            </w:r>
          </w:p>
        </w:tc>
        <w:tc>
          <w:tcPr/>
          <w:p>
            <w:pPr>
              <w:pStyle w:val="Compact"/>
            </w:pPr>
            <w:r>
              <w:t xml:space="preserve">Institutional RIM/CRIS</w:t>
            </w:r>
          </w:p>
        </w:tc>
        <w:tc>
          <w:tcPr/>
          <w:p>
            <w:pPr>
              <w:pStyle w:val="Compact"/>
            </w:pPr>
            <w:r>
              <w:t xml:space="preserve">No / 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  <w:tc>
          <w:tcPr/>
          <w:p>
            <w:pPr>
              <w:pStyle w:val="Compact"/>
            </w:pPr>
            <w:r>
              <w:t xml:space="preserve">Yes (institutional)</w:t>
            </w:r>
          </w:p>
        </w:tc>
        <w:tc>
          <w:tcPr/>
          <w:p>
            <w:pPr>
              <w:pStyle w:val="Compact"/>
            </w:pPr>
            <w:r>
              <w:t xml:space="preserve">Reports / limited</w:t>
            </w:r>
          </w:p>
        </w:tc>
        <w:tc>
          <w:tcPr/>
          <w:p>
            <w:pPr>
              <w:pStyle w:val="Compact"/>
            </w:pPr>
            <w:r>
              <w:t xml:space="preserve">Institutional page</w:t>
            </w:r>
          </w:p>
        </w:tc>
        <w:tc>
          <w:tcPr/>
          <w:p>
            <w:pPr>
              <w:pStyle w:val="Compact"/>
            </w:pPr>
            <w:r>
              <w:t xml:space="preserve">Partial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Google Scholar profile</w:t>
            </w:r>
          </w:p>
        </w:tc>
        <w:tc>
          <w:tcPr/>
          <w:p>
            <w:pPr>
              <w:pStyle w:val="Compact"/>
            </w:pPr>
            <w:r>
              <w:t xml:space="preserve">Individual profile</w:t>
            </w:r>
          </w:p>
        </w:tc>
        <w:tc>
          <w:tcPr/>
          <w:p>
            <w:pPr>
              <w:pStyle w:val="Compact"/>
            </w:pPr>
            <w:r>
              <w:t xml:space="preserve">Yes / yes</w:t>
            </w:r>
          </w:p>
        </w:tc>
        <w:tc>
          <w:tcPr/>
          <w:p>
            <w:pPr>
              <w:pStyle w:val="Compact"/>
            </w:pPr>
            <w:r>
              <w:t xml:space="preserve">No (name-based)</w:t>
            </w:r>
          </w:p>
        </w:tc>
        <w:tc>
          <w:tcPr/>
          <w:p>
            <w:pPr>
              <w:pStyle w:val="Compact"/>
            </w:pPr>
            <w:r>
              <w:t xml:space="preserve">Scholar only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Profile page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Manubot</w:t>
            </w:r>
          </w:p>
        </w:tc>
        <w:tc>
          <w:tcPr/>
          <w:p>
            <w:pPr>
              <w:pStyle w:val="Compact"/>
            </w:pPr>
            <w:r>
              <w:t xml:space="preserve">Document pipeline</w:t>
            </w:r>
          </w:p>
        </w:tc>
        <w:tc>
          <w:tcPr/>
          <w:p>
            <w:pPr>
              <w:pStyle w:val="Compact"/>
            </w:pPr>
            <w:r>
              <w:t xml:space="preserve">Yes / yes</w:t>
            </w:r>
          </w:p>
        </w:tc>
        <w:tc>
          <w:tcPr/>
          <w:p>
            <w:pPr>
              <w:pStyle w:val="Compact"/>
            </w:pPr>
            <w:r>
              <w:t xml:space="preserve">Yes (cite-by-ID)</w:t>
            </w:r>
          </w:p>
        </w:tc>
        <w:tc>
          <w:tcPr/>
          <w:p>
            <w:pPr>
              <w:pStyle w:val="Compact"/>
            </w:pPr>
            <w:r>
              <w:t xml:space="preserve">No (author-supplied)</w:t>
            </w:r>
          </w:p>
        </w:tc>
        <w:tc>
          <w:tcPr/>
          <w:p>
            <w:pPr>
              <w:pStyle w:val="Compact"/>
            </w:pPr>
            <w:r>
              <w:t xml:space="preserve">Multi-format docs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Partial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moderncv / JSON Resume</w:t>
            </w:r>
          </w:p>
        </w:tc>
        <w:tc>
          <w:tcPr/>
          <w:p>
            <w:pPr>
              <w:pStyle w:val="Compact"/>
            </w:pPr>
            <w:r>
              <w:t xml:space="preserve">CV format / template</w:t>
            </w:r>
          </w:p>
        </w:tc>
        <w:tc>
          <w:tcPr/>
          <w:p>
            <w:pPr>
              <w:pStyle w:val="Compact"/>
            </w:pPr>
            <w:r>
              <w:t xml:space="preserve">Yes / yes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 (manual)</w:t>
            </w:r>
          </w:p>
        </w:tc>
        <w:tc>
          <w:tcPr/>
          <w:p>
            <w:pPr>
              <w:pStyle w:val="Compact"/>
            </w:pPr>
            <w:r>
              <w:t xml:space="preserve">Yes (typeset / themed)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HugoBlox academic site</w:t>
            </w:r>
          </w:p>
        </w:tc>
        <w:tc>
          <w:tcPr/>
          <w:p>
            <w:pPr>
              <w:pStyle w:val="Compact"/>
            </w:pPr>
            <w:r>
              <w:t xml:space="preserve">Site builder</w:t>
            </w:r>
          </w:p>
        </w:tc>
        <w:tc>
          <w:tcPr/>
          <w:p>
            <w:pPr>
              <w:pStyle w:val="Compact"/>
            </w:pPr>
            <w:r>
              <w:t xml:space="preserve">Yes / yes</w:t>
            </w:r>
          </w:p>
        </w:tc>
        <w:tc>
          <w:tcPr/>
          <w:p>
            <w:pPr>
              <w:pStyle w:val="Compact"/>
            </w:pPr>
            <w:r>
              <w:t xml:space="preserve">Partial (import)</w:t>
            </w:r>
          </w:p>
        </w:tc>
        <w:tc>
          <w:tcPr/>
          <w:p>
            <w:pPr>
              <w:pStyle w:val="Compact"/>
            </w:pPr>
            <w:r>
              <w:t xml:space="preserve">Partial (import)</w:t>
            </w:r>
          </w:p>
        </w:tc>
        <w:tc>
          <w:tcPr/>
          <w:p>
            <w:pPr>
              <w:pStyle w:val="Compact"/>
            </w:pPr>
            <w:r>
              <w:t xml:space="preserve">Website</w:t>
            </w:r>
          </w:p>
        </w:tc>
        <w:tc>
          <w:tcPr/>
          <w:p>
            <w:pPr>
              <w:pStyle w:val="Compact"/>
            </w:pPr>
            <w:r>
              <w:t xml:space="preserve">Website (manual)</w:t>
            </w:r>
          </w:p>
        </w:tc>
        <w:tc>
          <w:tcPr/>
          <w:p>
            <w:pPr>
              <w:pStyle w:val="Compact"/>
            </w:pPr>
            <w:r>
              <w:t xml:space="preserve">Partial</w:t>
            </w:r>
          </w:p>
        </w:tc>
        <w:tc>
          <w:tcPr/>
          <w:p>
            <w:pPr>
              <w:pStyle w:val="Compact"/>
            </w:pPr>
            <w:r>
              <w:t xml:space="preserve">Yes</w:t>
            </w:r>
          </w:p>
        </w:tc>
      </w:tr>
    </w:tbl>
    <w:bookmarkEnd w:id="15"/>
    <w:bookmarkStart w:id="17" w:name="s5.-full-heuristic-usability-evaluation"/>
    <w:p>
      <w:pPr>
        <w:pStyle w:val="Heading2"/>
      </w:pPr>
      <w:r>
        <w:t xml:space="preserve">S5. Full heuristic usability evaluation</w:t>
      </w:r>
    </w:p>
    <w:p>
      <w:pPr>
        <w:pStyle w:val="FirstParagraph"/>
      </w:pPr>
      <w:r>
        <w:t xml:space="preserve">Nielsen’s ten usability heuristics, applied to the authenticated editor, the publish and share</w:t>
      </w:r>
      <w:r>
        <w:t xml:space="preserve"> </w:t>
      </w:r>
      <w:r>
        <w:t xml:space="preserve">flow, and the account and consent surfaces (Section 4.3). Observations are grounded in the</w:t>
      </w:r>
      <w:r>
        <w:t xml:space="preserve"> </w:t>
      </w:r>
      <w:r>
        <w:t xml:space="preserve">application’s components and user-facing strings; severities use Nielsen’s 0–4 scale.</w:t>
      </w:r>
    </w:p>
    <w:p>
      <w:pPr>
        <w:pStyle w:val="BodyText"/>
      </w:pPr>
      <w:r>
        <w:rPr>
          <w:b/>
          <w:bCs/>
        </w:rPr>
        <w:t xml:space="preserve">1. Visibility of system status.</w:t>
      </w:r>
      <w:r>
        <w:t xml:space="preserve"> </w:t>
      </w:r>
      <w:r>
        <w:t xml:space="preserve">Satisfied: a persistent live region announces Saved / Saving… /</w:t>
      </w:r>
      <w:r>
        <w:t xml:space="preserve"> </w:t>
      </w:r>
      <w:r>
        <w:t xml:space="preserve">Synced / Sync failed with a colour-coded dot; long actions disable their trigger and swap the label</w:t>
      </w:r>
      <w:r>
        <w:t xml:space="preserve"> </w:t>
      </w:r>
      <w:r>
        <w:t xml:space="preserve">(Exporting…, Syncing…, Signing in…); the preview shows</w:t>
      </w:r>
      <w:r>
        <w:t xml:space="preserve"> </w:t>
      </w:r>
      <w:r>
        <w:t xml:space="preserve">“Rendering preview…”</w:t>
      </w:r>
      <w:r>
        <w:t xml:space="preserve"> </w:t>
      </w:r>
      <w:r>
        <w:t xml:space="preserve">during the debounced</w:t>
      </w:r>
      <w:r>
        <w:t xml:space="preserve"> </w:t>
      </w:r>
      <w:r>
        <w:t xml:space="preserve">re-render; a sync-report banner makes the living-CV behaviour observable (last sync, new, to</w:t>
      </w:r>
      <w:r>
        <w:t xml:space="preserve"> </w:t>
      </w:r>
      <w:r>
        <w:t xml:space="preserve">review). Shortfall: auto-save is silent between keystroke and the debounced write (only the Save</w:t>
      </w:r>
      <w:r>
        <w:t xml:space="preserve"> </w:t>
      </w:r>
      <w:r>
        <w:t xml:space="preserve">button enabling and a generic page-leave guard signal unsaved work); template galleries show bare</w:t>
      </w:r>
      <w:r>
        <w:t xml:space="preserve"> </w:t>
      </w:r>
      <w:r>
        <w:t xml:space="preserve">skeletons with no loading or failed text.</w:t>
      </w:r>
    </w:p>
    <w:p>
      <w:pPr>
        <w:pStyle w:val="BodyText"/>
      </w:pPr>
      <w:r>
        <w:rPr>
          <w:b/>
          <w:bCs/>
        </w:rPr>
        <w:t xml:space="preserve">2. Match with the real world.</w:t>
      </w:r>
      <w:r>
        <w:t xml:space="preserve"> </w:t>
      </w:r>
      <w:r>
        <w:t xml:space="preserve">Satisfied: labels use the academic user’s language (Not mine /</w:t>
      </w:r>
      <w:r>
        <w:t xml:space="preserve"> </w:t>
      </w:r>
      <w:r>
        <w:t xml:space="preserve">Mine, Re-sync, Selected publications, Most cited first); provenance uses real source names; citation</w:t>
      </w:r>
      <w:r>
        <w:t xml:space="preserve"> </w:t>
      </w:r>
      <w:r>
        <w:t xml:space="preserve">styles and metrics use domain vocabulary (APA/IEEE/Nature, h-index, FWCI) with DORA/Leiden framing.</w:t>
      </w:r>
      <w:r>
        <w:t xml:space="preserve"> </w:t>
      </w:r>
      <w:r>
        <w:t xml:space="preserve">Shortfall: some app-coined terms (Hide vs Hide-from-view, Mascot companion, the genre style names)</w:t>
      </w:r>
      <w:r>
        <w:t xml:space="preserve"> </w:t>
      </w:r>
      <w:r>
        <w:t xml:space="preserve">are not self-evident until a tooltip or thumbnail is seen.</w:t>
      </w:r>
    </w:p>
    <w:p>
      <w:pPr>
        <w:pStyle w:val="BodyText"/>
      </w:pPr>
      <w:r>
        <w:rPr>
          <w:b/>
          <w:bCs/>
        </w:rPr>
        <w:t xml:space="preserve">3. User control and freedom.</w:t>
      </w:r>
      <w:r>
        <w:t xml:space="preserve"> </w:t>
      </w:r>
      <w:r>
        <w:t xml:space="preserve">Satisfied (a core strength): curation is non-destructive and</w:t>
      </w:r>
      <w:r>
        <w:t xml:space="preserve"> </w:t>
      </w:r>
      <w:r>
        <w:t xml:space="preserve">reversible: Not mine / Hide keep the work on file, source-derived edits expose a Revert, duplicate</w:t>
      </w:r>
      <w:r>
        <w:t xml:space="preserve"> </w:t>
      </w:r>
      <w:r>
        <w:t xml:space="preserve">resolution never auto-removes, applying a layout snapshots a restorable preset; popovers close on</w:t>
      </w:r>
      <w:r>
        <w:t xml:space="preserve"> </w:t>
      </w:r>
      <w:r>
        <w:t xml:space="preserve">Escape, outside-click, and an explicit close; the one destructive action (Delete account) is behind</w:t>
      </w:r>
      <w:r>
        <w:t xml:space="preserve"> </w:t>
      </w:r>
      <w:r>
        <w:t xml:space="preserve">a focus-trapped confirmation. Shortfall: no global undo/redo (every action commits and autosaves</w:t>
      </w:r>
      <w:r>
        <w:t xml:space="preserve"> </w:t>
      </w:r>
      <w:r>
        <w:t xml:space="preserve">immediately); removing a manual entry has no confirmation and no Revert.</w:t>
      </w:r>
    </w:p>
    <w:p>
      <w:pPr>
        <w:pStyle w:val="BodyText"/>
      </w:pPr>
      <w:r>
        <w:rPr>
          <w:b/>
          <w:bCs/>
        </w:rPr>
        <w:t xml:space="preserve">4. Consistency and standards.</w:t>
      </w:r>
      <w:r>
        <w:t xml:space="preserve"> </w:t>
      </w:r>
      <w:r>
        <w:t xml:space="preserve">Satisfied: interaction patterns recur across sections; menus share</w:t>
      </w:r>
      <w:r>
        <w:t xml:space="preserve"> </w:t>
      </w:r>
      <w:r>
        <w:t xml:space="preserve">one popover implementation; ARIA patterns are followed (tabs keyboard model, dialog popovers holding</w:t>
      </w:r>
      <w:r>
        <w:t xml:space="preserve"> </w:t>
      </w:r>
      <w:r>
        <w:t xml:space="preserve">form fields, focus-trapped modals). Shortfall (internal inconsistency): the review-signal vocabulary</w:t>
      </w:r>
      <w:r>
        <w:t xml:space="preserve"> </w:t>
      </w:r>
      <w:r>
        <w:t xml:space="preserve">is overloaded: one</w:t>
      </w:r>
      <w:r>
        <w:t xml:space="preserve"> </w:t>
      </w:r>
      <w:r>
        <w:t xml:space="preserve">“review”</w:t>
      </w:r>
      <w:r>
        <w:t xml:space="preserve"> </w:t>
      </w:r>
      <w:r>
        <w:t xml:space="preserve">badge maps to three distinct conditions, and resolution verbs differ by</w:t>
      </w:r>
      <w:r>
        <w:t xml:space="preserve"> </w:t>
      </w:r>
      <w:r>
        <w:t xml:space="preserve">path (Show / Keep hidden vs Yes-it’s-mine / not-mine vs Keep-this-one / Keep-all).</w:t>
      </w:r>
    </w:p>
    <w:p>
      <w:pPr>
        <w:pStyle w:val="BodyText"/>
      </w:pPr>
      <w:r>
        <w:rPr>
          <w:b/>
          <w:bCs/>
        </w:rPr>
        <w:t xml:space="preserve">5. Error prevention.</w:t>
      </w:r>
      <w:r>
        <w:t xml:space="preserve"> </w:t>
      </w:r>
      <w:r>
        <w:t xml:space="preserve">Satisfied: inputs are constrained (publication limit clamped, numeric year</w:t>
      </w:r>
      <w:r>
        <w:t xml:space="preserve"> </w:t>
      </w:r>
      <w:r>
        <w:t xml:space="preserve">fields, character counters); the DOI-claim flow previews the work and disables Add until a</w:t>
      </w:r>
      <w:r>
        <w:t xml:space="preserve"> </w:t>
      </w:r>
      <w:r>
        <w:t xml:space="preserve">self-author is chosen; publishing is staged and shows what it exposes before the toggle flips, with</w:t>
      </w:r>
      <w:r>
        <w:t xml:space="preserve"> </w:t>
      </w:r>
      <w:r>
        <w:t xml:space="preserve">contact fields opt-in and off by default. Shortfall: email, phone, website, and the structured-entry</w:t>
      </w:r>
      <w:r>
        <w:t xml:space="preserve"> </w:t>
      </w:r>
      <w:r>
        <w:t xml:space="preserve">DOI are free text with no inline format validation before save; a Mascot set on a mascot style</w:t>
      </w:r>
      <w:r>
        <w:t xml:space="preserve"> </w:t>
      </w:r>
      <w:r>
        <w:t xml:space="preserve">becomes silently inert on a non-mascot style.</w:t>
      </w:r>
    </w:p>
    <w:p>
      <w:pPr>
        <w:pStyle w:val="BodyText"/>
      </w:pPr>
      <w:r>
        <w:rPr>
          <w:b/>
          <w:bCs/>
        </w:rPr>
        <w:t xml:space="preserve">6. Recognition rather than recall.</w:t>
      </w:r>
      <w:r>
        <w:t xml:space="preserve"> </w:t>
      </w:r>
      <w:r>
        <w:t xml:space="preserve">Satisfied (a strong area): styles, fonts, page formats,</w:t>
      </w:r>
      <w:r>
        <w:t xml:space="preserve"> </w:t>
      </w:r>
      <w:r>
        <w:t xml:space="preserve">templates, public styles, metrics, and layout presets are live-preview pickers (templates show the</w:t>
      </w:r>
      <w:r>
        <w:t xml:space="preserve"> </w:t>
      </w:r>
      <w:r>
        <w:t xml:space="preserve">user’s own CV); current state is shown beside each control; the</w:t>
      </w:r>
      <w:r>
        <w:t xml:space="preserve"> </w:t>
      </w:r>
      <w:r>
        <w:t xml:space="preserve">“needs your attention”</w:t>
      </w:r>
      <w:r>
        <w:t xml:space="preserve"> </w:t>
      </w:r>
      <w:r>
        <w:t xml:space="preserve">panel</w:t>
      </w:r>
      <w:r>
        <w:t xml:space="preserve"> </w:t>
      </w:r>
      <w:r>
        <w:t xml:space="preserve">surfaces curation debt as counts with jump-to-item. Shortfall: the visibility-options group is many</w:t>
      </w:r>
      <w:r>
        <w:t xml:space="preserve"> </w:t>
      </w:r>
      <w:r>
        <w:t xml:space="preserve">checkboxes, several without an adjacent hint; there is no global search across the whole CV (bulk</w:t>
      </w:r>
      <w:r>
        <w:t xml:space="preserve"> </w:t>
      </w:r>
      <w:r>
        <w:t xml:space="preserve">filter is per-section and only at five or more items).</w:t>
      </w:r>
    </w:p>
    <w:p>
      <w:pPr>
        <w:pStyle w:val="BodyText"/>
      </w:pPr>
      <w:r>
        <w:rPr>
          <w:b/>
          <w:bCs/>
        </w:rPr>
        <w:t xml:space="preserve">7. Flexibility and efficiency.</w:t>
      </w:r>
      <w:r>
        <w:t xml:space="preserve"> </w:t>
      </w:r>
      <w:r>
        <w:t xml:space="preserve">Satisfied: bulk curation with filtering, saved views, one-click</w:t>
      </w:r>
      <w:r>
        <w:t xml:space="preserve"> </w:t>
      </w:r>
      <w:r>
        <w:t xml:space="preserve">layout presets, a multi-format export control grouped sensibly, keyboard submit, drag plus</w:t>
      </w:r>
      <w:r>
        <w:t xml:space="preserve"> </w:t>
      </w:r>
      <w:r>
        <w:t xml:space="preserve">accessible move-button fallback, persisted preferences, and an onboarding sequencer showing one</w:t>
      </w:r>
      <w:r>
        <w:t xml:space="preserve"> </w:t>
      </w:r>
      <w:r>
        <w:t xml:space="preserve">prompt at a time. Shortfall: no keyboard accelerators for Save/Re-sync/Export; the overlapping</w:t>
      </w:r>
      <w:r>
        <w:t xml:space="preserve"> </w:t>
      </w:r>
      <w:r>
        <w:t xml:space="preserve">visibility mechanisms are powerful but costly for occasional users; bulk mode gated at five items.</w:t>
      </w:r>
    </w:p>
    <w:p>
      <w:pPr>
        <w:pStyle w:val="BodyText"/>
      </w:pPr>
      <w:r>
        <w:rPr>
          <w:b/>
          <w:bCs/>
        </w:rPr>
        <w:t xml:space="preserve">8. Aesthetic and minimalist design.</w:t>
      </w:r>
      <w:r>
        <w:t xml:space="preserve"> </w:t>
      </w:r>
      <w:r>
        <w:t xml:space="preserve">Satisfied: the top bar is one calm row with a single primary</w:t>
      </w:r>
      <w:r>
        <w:t xml:space="preserve"> </w:t>
      </w:r>
      <w:r>
        <w:t xml:space="preserve">action; destructive and data-protection controls are collapsed into the Account menu; heavy</w:t>
      </w:r>
      <w:r>
        <w:t xml:space="preserve"> </w:t>
      </w:r>
      <w:r>
        <w:t xml:space="preserve">public-page styling never reaches the document exports; a crowding note appears once several metrics</w:t>
      </w:r>
      <w:r>
        <w:t xml:space="preserve"> </w:t>
      </w:r>
      <w:r>
        <w:t xml:space="preserve">are selected. Shortfall: the visibility-options group is dense; an expanded publication row can show</w:t>
      </w:r>
      <w:r>
        <w:t xml:space="preserve"> </w:t>
      </w:r>
      <w:r>
        <w:t xml:space="preserve">title, meta, up to five badges, a reason select, a compare panel, and a long action row at once.</w:t>
      </w:r>
    </w:p>
    <w:p>
      <w:pPr>
        <w:pStyle w:val="BodyText"/>
      </w:pPr>
      <w:r>
        <w:rPr>
          <w:b/>
          <w:bCs/>
        </w:rPr>
        <w:t xml:space="preserve">9. Help users recover from errors.</w:t>
      </w:r>
      <w:r>
        <w:t xml:space="preserve"> </w:t>
      </w:r>
      <w:r>
        <w:t xml:space="preserve">Satisfied: error states are specific and actionable: the</w:t>
      </w:r>
      <w:r>
        <w:t xml:space="preserve"> </w:t>
      </w:r>
      <w:r>
        <w:t xml:space="preserve">sync-failure state names the likely cause, offers a retry, and is distinguished from</w:t>
      </w:r>
      <w:r>
        <w:t xml:space="preserve"> </w:t>
      </w:r>
      <w:r>
        <w:t xml:space="preserve">“no CV yet”</w:t>
      </w:r>
      <w:r>
        <w:t xml:space="preserve">; the</w:t>
      </w:r>
      <w:r>
        <w:t xml:space="preserve"> </w:t>
      </w:r>
      <w:r>
        <w:t xml:space="preserve">auth error page maps codes to friendly copy; optimistic toggles visibly revert and announce failure.</w:t>
      </w:r>
      <w:r>
        <w:t xml:space="preserve"> </w:t>
      </w:r>
      <w:r>
        <w:t xml:space="preserve">Shortfall: the live preview fails silently on a render error; thumbnail and clipboard-copy failures</w:t>
      </w:r>
      <w:r>
        <w:t xml:space="preserve"> </w:t>
      </w:r>
      <w:r>
        <w:t xml:space="preserve">are swallowed without feedback.</w:t>
      </w:r>
    </w:p>
    <w:p>
      <w:pPr>
        <w:pStyle w:val="BodyText"/>
      </w:pPr>
      <w:r>
        <w:rPr>
          <w:b/>
          <w:bCs/>
        </w:rPr>
        <w:t xml:space="preserve">10. Help and documentation.</w:t>
      </w:r>
      <w:r>
        <w:t xml:space="preserve"> </w:t>
      </w:r>
      <w:r>
        <w:t xml:space="preserve">Satisfied: inline just-in-time help is pervasive: an editor tip</w:t>
      </w:r>
      <w:r>
        <w:t xml:space="preserve"> </w:t>
      </w:r>
      <w:r>
        <w:t xml:space="preserve">line, a one-time disambiguation coachmark, writing prompts, tooltips on most non-obvious toggles, and</w:t>
      </w:r>
      <w:r>
        <w:t xml:space="preserve"> </w:t>
      </w:r>
      <w:r>
        <w:t xml:space="preserve">outbound links to DORA, the Leiden Manifesto, and Seglen 1997. Shortfall: no consolidated help inside</w:t>
      </w:r>
      <w:r>
        <w:t xml:space="preserve"> </w:t>
      </w:r>
      <w:r>
        <w:t xml:space="preserve">the editor; much critical help lives only in title tooltips (invisible to touch and some assistive</w:t>
      </w:r>
      <w:r>
        <w:t xml:space="preserve"> </w:t>
      </w:r>
      <w:r>
        <w:t xml:space="preserve">technology).</w:t>
      </w:r>
    </w:p>
    <w:bookmarkStart w:id="16" w:name="Xbaf061906a195d066bbb1d14c87375df6e2d125"/>
    <w:p>
      <w:pPr>
        <w:pStyle w:val="Heading3"/>
      </w:pPr>
      <w:r>
        <w:t xml:space="preserve">Table S3. Consolidated usability findings (Nielsen severity 0–4)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t xml:space="preserve">Heuristic</w:t>
            </w:r>
          </w:p>
        </w:tc>
        <w:tc>
          <w:tcPr/>
          <w:p>
            <w:pPr>
              <w:pStyle w:val="Compact"/>
            </w:pPr>
            <w:r>
              <w:t xml:space="preserve">Issue</w:t>
            </w:r>
          </w:p>
        </w:tc>
        <w:tc>
          <w:tcPr/>
          <w:p>
            <w:pPr>
              <w:pStyle w:val="Compact"/>
            </w:pPr>
            <w:r>
              <w:t xml:space="preserve">Severity</w:t>
            </w:r>
          </w:p>
        </w:tc>
        <w:tc>
          <w:tcPr/>
          <w:p>
            <w:pPr>
              <w:pStyle w:val="Compact"/>
            </w:pPr>
            <w:r>
              <w:t xml:space="preserve">Mitigated?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User control &amp; freedom</w:t>
            </w:r>
          </w:p>
        </w:tc>
        <w:tc>
          <w:tcPr/>
          <w:p>
            <w:pPr>
              <w:pStyle w:val="Compact"/>
            </w:pPr>
            <w:r>
              <w:t xml:space="preserve">No global undo/redo; every action commits and autosaves immediately.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Partly (curation non-destructive; source edits revertible)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User control &amp; freedom</w:t>
            </w:r>
          </w:p>
        </w:tc>
        <w:tc>
          <w:tcPr/>
          <w:p>
            <w:pPr>
              <w:pStyle w:val="Compact"/>
            </w:pPr>
            <w:r>
              <w:t xml:space="preserve">Deleting a manual entry is immediate, no confirmation, no Revert.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Consistency &amp; standards</w:t>
            </w:r>
          </w:p>
        </w:tc>
        <w:tc>
          <w:tcPr/>
          <w:p>
            <w:pPr>
              <w:pStyle w:val="Compact"/>
            </w:pPr>
            <w:r>
              <w:t xml:space="preserve">One</w:t>
            </w:r>
            <w:r>
              <w:t xml:space="preserve"> </w:t>
            </w:r>
            <w:r>
              <w:t xml:space="preserve">“review”</w:t>
            </w:r>
            <w:r>
              <w:t xml:space="preserve"> </w:t>
            </w:r>
            <w:r>
              <w:t xml:space="preserve">badge denotes three conditions; resolution verbs differ by path.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Partly (tooltips; health panel separates)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Error recovery</w:t>
            </w:r>
          </w:p>
        </w:tc>
        <w:tc>
          <w:tcPr/>
          <w:p>
            <w:pPr>
              <w:pStyle w:val="Compact"/>
            </w:pPr>
            <w:r>
              <w:t xml:space="preserve">Live preview fails silently; user may edit against a stale render.</w:t>
            </w:r>
          </w:p>
        </w:tc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Recognition; Flexibility</w:t>
            </w:r>
          </w:p>
        </w:tc>
        <w:tc>
          <w:tcPr/>
          <w:p>
            <w:pPr>
              <w:pStyle w:val="Compact"/>
            </w:pPr>
            <w:r>
              <w:t xml:space="preserve">No global search/filter; bulk filter per-section and only at ≥5 items.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Partly (health panel jump-to-item)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Minimalist; Recognition</w:t>
            </w:r>
          </w:p>
        </w:tc>
        <w:tc>
          <w:tcPr/>
          <w:p>
            <w:pPr>
              <w:pStyle w:val="Compact"/>
            </w:pPr>
            <w:r>
              <w:t xml:space="preserve">Visibility group is ~15 checkboxes + notes; some lack adjacent hints.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Partly (collapsible group; some tooltips)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  <w:r>
              <w:t xml:space="preserve">Match real world; Flexibility</w:t>
            </w:r>
          </w:p>
        </w:tc>
        <w:tc>
          <w:tcPr/>
          <w:p>
            <w:pPr>
              <w:pStyle w:val="Compact"/>
            </w:pPr>
            <w:r>
              <w:t xml:space="preserve">Overlapping visibility models (Hide / Hide-from-view / Featured / peer-reviewed-only).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Partly (scope hints)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  <w:r>
              <w:t xml:space="preserve">Error prevention</w:t>
            </w:r>
          </w:p>
        </w:tc>
        <w:tc>
          <w:tcPr/>
          <w:p>
            <w:pPr>
              <w:pStyle w:val="Compact"/>
            </w:pPr>
            <w:r>
              <w:t xml:space="preserve">Email/phone/website/URL and DOI free text, no inline validation before save.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Partly (semantic input types)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Visibility of status</w:t>
            </w:r>
          </w:p>
        </w:tc>
        <w:tc>
          <w:tcPr/>
          <w:p>
            <w:pPr>
              <w:pStyle w:val="Compact"/>
            </w:pPr>
            <w:r>
              <w:t xml:space="preserve">No explicit unsaved-changes indicator beyond Save enabling.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Partly (page-leave guard, post-save status)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  <w:r>
              <w:t xml:space="preserve">Visibility; Error recovery</w:t>
            </w:r>
          </w:p>
        </w:tc>
        <w:tc>
          <w:tcPr/>
          <w:p>
            <w:pPr>
              <w:pStyle w:val="Compact"/>
            </w:pPr>
            <w:r>
              <w:t xml:space="preserve">Thumbnail galleries show blank skeletons on slow/failed fetch.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Partly (skeleton; preview pane authoritative)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</w:t>
            </w:r>
          </w:p>
        </w:tc>
        <w:tc>
          <w:tcPr/>
          <w:p>
            <w:pPr>
              <w:pStyle w:val="Compact"/>
            </w:pPr>
            <w:r>
              <w:t xml:space="preserve">Error recovery</w:t>
            </w:r>
          </w:p>
        </w:tc>
        <w:tc>
          <w:tcPr/>
          <w:p>
            <w:pPr>
              <w:pStyle w:val="Compact"/>
            </w:pPr>
            <w:r>
              <w:t xml:space="preserve">Clipboard-copy failures silently ignored in Share/Publish.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  <w:tr>
        <w:tc>
          <w:tcPr/>
          <w:p>
            <w:pPr>
              <w:pStyle w:val="Compact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  <w:r>
              <w:t xml:space="preserve">Help &amp; documentation</w:t>
            </w:r>
          </w:p>
        </w:tc>
        <w:tc>
          <w:tcPr/>
          <w:p>
            <w:pPr>
              <w:pStyle w:val="Compact"/>
            </w:pPr>
            <w:r>
              <w:t xml:space="preserve">No consolidated in-editor help; help lives in title tooltips.</w:t>
            </w:r>
          </w:p>
        </w:tc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Partly (coachmark, hints, tooltips)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</w:t>
            </w:r>
          </w:p>
        </w:tc>
        <w:tc>
          <w:tcPr/>
          <w:p>
            <w:pPr>
              <w:pStyle w:val="Compact"/>
            </w:pPr>
            <w:r>
              <w:t xml:space="preserve">Match real world</w:t>
            </w:r>
          </w:p>
        </w:tc>
        <w:tc>
          <w:tcPr/>
          <w:p>
            <w:pPr>
              <w:pStyle w:val="Compact"/>
            </w:pPr>
            <w:r>
              <w:t xml:space="preserve">App-coined terms carry no meaning until a tooltip/thumbnail is seen.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Partly (tooltips/thumbnails)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14</w:t>
            </w:r>
          </w:p>
        </w:tc>
        <w:tc>
          <w:tcPr/>
          <w:p>
            <w:pPr>
              <w:pStyle w:val="Compact"/>
            </w:pPr>
            <w:r>
              <w:t xml:space="preserve">Error prevention</w:t>
            </w:r>
          </w:p>
        </w:tc>
        <w:tc>
          <w:tcPr/>
          <w:p>
            <w:pPr>
              <w:pStyle w:val="Compact"/>
            </w:pPr>
            <w:r>
              <w:t xml:space="preserve">Mascot set then switching to a non-mascot style silently makes it inert.</w:t>
            </w:r>
          </w:p>
        </w:tc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No</w:t>
            </w:r>
          </w:p>
        </w:tc>
      </w:tr>
    </w:tbl>
    <w:p>
      <w:pPr>
        <w:pStyle w:val="BodyText"/>
      </w:pPr>
      <w:r>
        <w:t xml:space="preserve">No issue reaches severity 4: the one irreversible action (account deletion) is well guarded, and the</w:t>
      </w:r>
      <w:r>
        <w:t xml:space="preserve"> </w:t>
      </w:r>
      <w:r>
        <w:t xml:space="preserve">most error-prone curation actions cannot lose data.</w:t>
      </w:r>
    </w:p>
    <w:p>
      <w:pPr>
        <w:pStyle w:val="BodyText"/>
      </w:pPr>
      <w:r>
        <w:rPr>
          <w:b/>
          <w:bCs/>
        </w:rPr>
        <w:t xml:space="preserve">Notable strengths.</w:t>
      </w:r>
      <w:r>
        <w:t xml:space="preserve"> </w:t>
      </w:r>
      <w:r>
        <w:t xml:space="preserve">Non-destructive, reversible curation as a design principle; the</w:t>
      </w:r>
      <w:r>
        <w:t xml:space="preserve"> </w:t>
      </w:r>
      <w:r>
        <w:t xml:space="preserve">“needs your</w:t>
      </w:r>
      <w:r>
        <w:t xml:space="preserve"> </w:t>
      </w:r>
      <w:r>
        <w:t xml:space="preserve">attention”</w:t>
      </w:r>
      <w:r>
        <w:t xml:space="preserve"> </w:t>
      </w:r>
      <w:r>
        <w:t xml:space="preserve">health panel; recognition-driven styling (live-previewed pickers showing the user’s own</w:t>
      </w:r>
      <w:r>
        <w:t xml:space="preserve"> </w:t>
      </w:r>
      <w:r>
        <w:t xml:space="preserve">CV); robust, accessible modal and popover handling (focus trapping, a click-catching scrim over the</w:t>
      </w:r>
      <w:r>
        <w:t xml:space="preserve"> </w:t>
      </w:r>
      <w:r>
        <w:t xml:space="preserve">preview iframe, a skip link); honest, specific error and empty states with self-reverting optimistic</w:t>
      </w:r>
      <w:r>
        <w:t xml:space="preserve"> </w:t>
      </w:r>
      <w:r>
        <w:t xml:space="preserve">toggles; and responsible-metrics framing built into the interaction (default none, a DORA/Leiden</w:t>
      </w:r>
      <w:r>
        <w:t xml:space="preserve"> </w:t>
      </w:r>
      <w:r>
        <w:t xml:space="preserve">nudge, a crowding caution, field-normalised indicators linked to sources).</w:t>
      </w:r>
    </w:p>
    <w:bookmarkEnd w:id="16"/>
    <w:bookmarkEnd w:id="17"/>
    <w:bookmarkStart w:id="18" w:name="s6.-worked-examples"/>
    <w:p>
      <w:pPr>
        <w:pStyle w:val="Heading2"/>
      </w:pPr>
      <w:r>
        <w:t xml:space="preserve">S6. Worked examples</w:t>
      </w:r>
    </w:p>
    <w:p>
      <w:pPr>
        <w:pStyle w:val="FirstParagraph"/>
      </w:pPr>
      <w:r>
        <w:t xml:space="preserve">These illustrate the mechanism summarised in Section 4.4 on two real, consenting records.</w:t>
      </w:r>
    </w:p>
    <w:p>
      <w:pPr>
        <w:pStyle w:val="BodyText"/>
      </w:pPr>
      <w:r>
        <w:t xml:space="preserve">We illustrate the pipeline end to end with the first author’s own record (ORCID 0000-0002-7483-2489).</w:t>
      </w:r>
      <w:r>
        <w:t xml:space="preserve"> </w:t>
      </w:r>
      <w:r>
        <w:t xml:space="preserve">Signing in with ORCID, SigmaCV resolves the associated OpenAlex author identifiers and assembles a</w:t>
      </w:r>
      <w:r>
        <w:t xml:space="preserve"> </w:t>
      </w:r>
      <w:r>
        <w:t xml:space="preserve">single CV that draws publications and metrics from OpenAlex with Crossref gap-fill, the profile and</w:t>
      </w:r>
      <w:r>
        <w:t xml:space="preserve"> </w:t>
      </w:r>
      <w:r>
        <w:t xml:space="preserve">claimed works from ORCID, and datasets and software from DataCite and OpenAIRE, deciding ownership by</w:t>
      </w:r>
      <w:r>
        <w:t xml:space="preserve"> </w:t>
      </w:r>
      <w:r>
        <w:t xml:space="preserve">identifier throughout. The accented family name</w:t>
      </w:r>
      <w:r>
        <w:t xml:space="preserve"> </w:t>
      </w:r>
      <w:r>
        <w:t xml:space="preserve">“Chrétien”</w:t>
      </w:r>
      <w:r>
        <w:t xml:space="preserve"> </w:t>
      </w:r>
      <w:r>
        <w:t xml:space="preserve">is highlighted correctly on the author’s</w:t>
      </w:r>
      <w:r>
        <w:t xml:space="preserve"> </w:t>
      </w:r>
      <w:r>
        <w:t xml:space="preserve">own works because the highlight keys on the identifier rather than on the string, which a name-based</w:t>
      </w:r>
      <w:r>
        <w:t xml:space="preserve"> </w:t>
      </w:r>
      <w:r>
        <w:t xml:space="preserve">highlighter would mishandle through accent-folding or abbreviation. The curated record exports</w:t>
      </w:r>
      <w:r>
        <w:t xml:space="preserve"> </w:t>
      </w:r>
      <w:r>
        <w:t xml:space="preserve">identically across formats from the one canonical object and can be published as a living page that</w:t>
      </w:r>
      <w:r>
        <w:t xml:space="preserve"> </w:t>
      </w:r>
      <w:r>
        <w:t xml:space="preserve">re-syncs from the open sources.</w:t>
      </w:r>
    </w:p>
    <w:p>
      <w:pPr>
        <w:pStyle w:val="BodyText"/>
      </w:pPr>
      <w:r>
        <w:t xml:space="preserve">A second worked example, contributed with the colleague’s consent, makes the equity case concrete on</w:t>
      </w:r>
      <w:r>
        <w:t xml:space="preserve"> </w:t>
      </w:r>
      <w:r>
        <w:t xml:space="preserve">exactly the kind of name Section 2 finds most exposed. Xueqin Huang (ORCID 0000-0001-6866-9091) is a</w:t>
      </w:r>
      <w:r>
        <w:t xml:space="preserve"> </w:t>
      </w:r>
      <w:r>
        <w:t xml:space="preserve">researcher affiliated in Japan (Nagoya City University and Nagoya University). On the same March 2026</w:t>
      </w:r>
      <w:r>
        <w:t xml:space="preserve"> </w:t>
      </w:r>
      <w:r>
        <w:t xml:space="preserve">snapshot, her printed name</w:t>
      </w:r>
      <w:r>
        <w:t xml:space="preserve"> </w:t>
      </w:r>
      <w:r>
        <w:t xml:space="preserve">“Xueqin Huang”</w:t>
      </w:r>
      <w:r>
        <w:t xml:space="preserve"> </w:t>
      </w:r>
      <w:r>
        <w:t xml:space="preserve">is shared by 22 distinct OpenAlex author entities, of which</w:t>
      </w:r>
      <w:r>
        <w:t xml:space="preserve"> </w:t>
      </w:r>
      <w:r>
        <w:t xml:space="preserve">10 carry an ORCID (a lower bound of 10 distinct real people sharing the name); the initialized form</w:t>
      </w:r>
      <w:r>
        <w:t xml:space="preserve"> </w:t>
      </w:r>
      <w:r>
        <w:t xml:space="preserve">“X. Huang”</w:t>
      </w:r>
      <w:r>
        <w:t xml:space="preserve"> </w:t>
      </w:r>
      <w:r>
        <w:t xml:space="preserve">that a citation style would print collides with 10,825 identities. A name-based assembler</w:t>
      </w:r>
      <w:r>
        <w:t xml:space="preserve"> </w:t>
      </w:r>
      <w:r>
        <w:t xml:space="preserve">would have to separate her work from up to ten thousand namesakes, and OpenAlex itself already</w:t>
      </w:r>
      <w:r>
        <w:t xml:space="preserve"> </w:t>
      </w:r>
      <w:r>
        <w:t xml:space="preserve">records her under an initialized alternative name (</w:t>
      </w:r>
      <w:r>
        <w:t xml:space="preserve">“X. X. Huang”</w:t>
      </w:r>
      <w:r>
        <w:t xml:space="preserve">). SigmaCV instead resolves her ORCID</w:t>
      </w:r>
      <w:r>
        <w:t xml:space="preserve"> </w:t>
      </w:r>
      <w:r>
        <w:t xml:space="preserve">to her OpenAlex author identifier and assembles only the works linked to it, each by a persistent</w:t>
      </w:r>
      <w:r>
        <w:t xml:space="preserve"> </w:t>
      </w:r>
      <w:r>
        <w:t xml:space="preserve">identifier, so neither the 22-entity full-name pool nor the 10,825-identity initial-form pool affects</w:t>
      </w:r>
      <w:r>
        <w:t xml:space="preserve"> </w:t>
      </w:r>
      <w:r>
        <w:t xml:space="preserve">what appears on her CV; the self-name highlight bolds</w:t>
      </w:r>
      <w:r>
        <w:t xml:space="preserve"> </w:t>
      </w:r>
      <w:r>
        <w:t xml:space="preserve">“Huang”</w:t>
      </w:r>
      <w:r>
        <w:t xml:space="preserve"> </w:t>
      </w:r>
      <w:r>
        <w:t xml:space="preserve">only on her own works because it keys</w:t>
      </w:r>
      <w:r>
        <w:t xml:space="preserve"> </w:t>
      </w:r>
      <w:r>
        <w:t xml:space="preserve">on the identifier rather than the string. Because her works span more than one field, they are also</w:t>
      </w:r>
      <w:r>
        <w:t xml:space="preserve"> </w:t>
      </w:r>
      <w:r>
        <w:t xml:space="preserve">the kind of record where OpenAlex over-merge is most likely, so any work the upstream entity wrongly</w:t>
      </w:r>
      <w:r>
        <w:t xml:space="preserve"> </w:t>
      </w:r>
      <w:r>
        <w:t xml:space="preserve">absorbed would surface under the misattribution flag of Section 3 for her to confirm or dismiss</w:t>
      </w:r>
      <w:r>
        <w:t xml:space="preserve"> </w:t>
      </w:r>
      <w:r>
        <w:t xml:space="preserve">rather than being silently trusted.</w:t>
      </w:r>
    </w:p>
    <w:bookmarkEnd w:id="18"/>
    <w:bookmarkStart w:id="19" w:name="s7.-extended-data-protection-detail"/>
    <w:p>
      <w:pPr>
        <w:pStyle w:val="Heading2"/>
      </w:pPr>
      <w:r>
        <w:t xml:space="preserve">S7. Extended data-protection detail</w:t>
      </w:r>
    </w:p>
    <w:p>
      <w:pPr>
        <w:pStyle w:val="FirstParagraph"/>
      </w:pPr>
      <w:r>
        <w:t xml:space="preserve">This expands the concise statement in Section 5.</w:t>
      </w:r>
    </w:p>
    <w:p>
      <w:pPr>
        <w:pStyle w:val="BodyText"/>
      </w:pPr>
      <w:r>
        <w:rPr>
          <w:b/>
          <w:bCs/>
        </w:rPr>
        <w:t xml:space="preserve">Lawful bases.</w:t>
      </w:r>
      <w:r>
        <w:t xml:space="preserve"> </w:t>
      </w:r>
      <w:r>
        <w:t xml:space="preserve">Assembling a researcher’s already-public scholarly record relies on</w:t>
      </w:r>
      <w:r>
        <w:t xml:space="preserve"> </w:t>
      </w:r>
      <w:r>
        <w:rPr>
          <w:b/>
          <w:bCs/>
        </w:rPr>
        <w:t xml:space="preserve">legitimate</w:t>
      </w:r>
      <w:r>
        <w:rPr>
          <w:b/>
          <w:bCs/>
        </w:rPr>
        <w:t xml:space="preserve"> </w:t>
      </w:r>
      <w:r>
        <w:rPr>
          <w:b/>
          <w:bCs/>
        </w:rPr>
        <w:t xml:space="preserve">interest</w:t>
      </w:r>
      <w:r>
        <w:t xml:space="preserve"> </w:t>
      </w:r>
      <w:r>
        <w:t xml:space="preserve">(GDPR Art. 6(1)(f)), with every field used already public in OpenAlex or ORCID and removal</w:t>
      </w:r>
      <w:r>
        <w:t xml:space="preserve"> </w:t>
      </w:r>
      <w:r>
        <w:t xml:space="preserve">available on request; research logging relies on</w:t>
      </w:r>
      <w:r>
        <w:t xml:space="preserve"> </w:t>
      </w:r>
      <w:r>
        <w:rPr>
          <w:b/>
          <w:bCs/>
        </w:rPr>
        <w:t xml:space="preserve">explicit consent</w:t>
      </w:r>
      <w:r>
        <w:t xml:space="preserve"> </w:t>
      </w:r>
      <w:r>
        <w:t xml:space="preserve">(Art. 6(1)(a), and Art. 9 where</w:t>
      </w:r>
      <w:r>
        <w:t xml:space="preserve"> </w:t>
      </w:r>
      <w:r>
        <w:t xml:space="preserve">any special-category data could be implicated).</w:t>
      </w:r>
    </w:p>
    <w:p>
      <w:pPr>
        <w:pStyle w:val="BodyText"/>
      </w:pPr>
      <w:r>
        <w:rPr>
          <w:b/>
          <w:bCs/>
        </w:rPr>
        <w:t xml:space="preserve">Controller and data-subject requests.</w:t>
      </w:r>
      <w:r>
        <w:t xml:space="preserve"> </w:t>
      </w:r>
      <w:r>
        <w:t xml:space="preserve">The data controller is the author (B. Chrétien) as the</w:t>
      </w:r>
      <w:r>
        <w:t xml:space="preserve"> </w:t>
      </w:r>
      <w:r>
        <w:t xml:space="preserve">natural person operating the service; this is stated as the current arrangement rather than as an</w:t>
      </w:r>
      <w:r>
        <w:t xml:space="preserve"> </w:t>
      </w:r>
      <w:r>
        <w:t xml:space="preserve">institutional commitment, and the author may institutionalize the service later. At this scale an</w:t>
      </w:r>
      <w:r>
        <w:t xml:space="preserve"> </w:t>
      </w:r>
      <w:r>
        <w:t xml:space="preserve">individual controller has no formal data protection officer, so data-subject requests, including</w:t>
      </w:r>
      <w:r>
        <w:t xml:space="preserve"> </w:t>
      </w:r>
      <w:r>
        <w:t xml:space="preserve">removal of an assembled public record, are handled directly by the author.</w:t>
      </w:r>
    </w:p>
    <w:p>
      <w:pPr>
        <w:pStyle w:val="BodyText"/>
      </w:pPr>
      <w:r>
        <w:rPr>
          <w:b/>
          <w:bCs/>
        </w:rPr>
        <w:t xml:space="preserve">Processing the records of non-users.</w:t>
      </w:r>
      <w:r>
        <w:t xml:space="preserve"> </w:t>
      </w:r>
      <w:r>
        <w:t xml:space="preserve">The legitimate-interest basis (GDPR Art. 6(1)(f)) covers</w:t>
      </w:r>
      <w:r>
        <w:t xml:space="preserve"> </w:t>
      </w:r>
      <w:r>
        <w:t xml:space="preserve">the public records of researchers who are not users, namely co-authors and the name-collision</w:t>
      </w:r>
      <w:r>
        <w:t xml:space="preserve"> </w:t>
      </w:r>
      <w:r>
        <w:t xml:space="preserve">subjects of Section 2. The four elements of the assessment are: the purpose is assembling an</w:t>
      </w:r>
      <w:r>
        <w:t xml:space="preserve"> </w:t>
      </w:r>
      <w:r>
        <w:t xml:space="preserve">individual’s own scholarly record and conducting a public-data measurement; the processing is</w:t>
      </w:r>
      <w:r>
        <w:t xml:space="preserve"> </w:t>
      </w:r>
      <w:r>
        <w:t xml:space="preserve">necessary to that purpose; every field used is already public in OpenAlex or ORCID; and any</w:t>
      </w:r>
      <w:r>
        <w:t xml:space="preserve"> </w:t>
      </w:r>
      <w:r>
        <w:t xml:space="preserve">researcher who appears may request removal. Article 9 applies where any special-category data could</w:t>
      </w:r>
      <w:r>
        <w:t xml:space="preserve"> </w:t>
      </w:r>
      <w:r>
        <w:t xml:space="preserve">be implicated.</w:t>
      </w:r>
    </w:p>
    <w:p>
      <w:pPr>
        <w:pStyle w:val="BodyText"/>
      </w:pPr>
      <w:r>
        <w:rPr>
          <w:b/>
          <w:bCs/>
        </w:rPr>
        <w:t xml:space="preserve">Retention.</w:t>
      </w:r>
      <w:r>
        <w:t xml:space="preserve"> </w:t>
      </w:r>
      <w:r>
        <w:t xml:space="preserve">The CV object and any published page are retained until the user deletes their</w:t>
      </w:r>
      <w:r>
        <w:t xml:space="preserve"> </w:t>
      </w:r>
      <w:r>
        <w:t xml:space="preserve">account; research events are erasable on withdrawal of research consent.</w:t>
      </w:r>
    </w:p>
    <w:p>
      <w:pPr>
        <w:pStyle w:val="BodyText"/>
      </w:pPr>
      <w:r>
        <w:rPr>
          <w:b/>
          <w:bCs/>
        </w:rPr>
        <w:t xml:space="preserve">De-identified research export.</w:t>
      </w:r>
      <w:r>
        <w:t xml:space="preserve"> </w:t>
      </w:r>
      <w:r>
        <w:t xml:space="preserve">The export pseudonymizes subjects with a keyed hash-based message</w:t>
      </w:r>
      <w:r>
        <w:t xml:space="preserve"> </w:t>
      </w:r>
      <w:r>
        <w:t xml:space="preserve">authentication code (HMAC), emits only pre-registered event types, and produces the</w:t>
      </w:r>
      <w:r>
        <w:t xml:space="preserve"> </w:t>
      </w:r>
      <w:r>
        <w:t xml:space="preserve">re-identification key table separately; the key table is held by a designated personal-information</w:t>
      </w:r>
      <w:r>
        <w:t xml:space="preserve"> </w:t>
      </w:r>
      <w:r>
        <w:t xml:space="preserve">manager and is never given to the analyst.</w:t>
      </w:r>
    </w:p>
    <w:bookmarkEnd w:id="19"/>
    <w:bookmarkEnd w:id="2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2026-06-23T07:02:02Z</dcterms:created>
  <dcterms:modified xsi:type="dcterms:W3CDTF">2026-06-23T07:02:02Z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