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3BDBF">
      <w:pPr>
        <w:spacing w:after="80"/>
      </w:pPr>
      <w:r>
        <w:rPr>
          <w:rFonts w:ascii="Times New Roman" w:hAnsi="Times New Roman" w:eastAsia="Times New Roman" w:cs="Times New Roman"/>
          <w:b/>
          <w:bCs/>
          <w:sz w:val="30"/>
          <w:szCs w:val="30"/>
        </w:rPr>
        <w:t>STROBE-MR Checklist</w:t>
      </w:r>
    </w:p>
    <w:p w14:paraId="60458C6D">
      <w:pPr>
        <w:spacing w:after="100"/>
      </w:pPr>
      <w:r>
        <w:rPr>
          <w:rFonts w:ascii="Times New Roman" w:hAnsi="Times New Roman" w:eastAsia="Times New Roman" w:cs="Times New Roman"/>
          <w:b/>
          <w:bCs/>
          <w:sz w:val="22"/>
          <w:szCs w:val="22"/>
        </w:rPr>
        <w:t>No causal effect of genetically predicted serum 25-hydroxyvitamin D on tuberculosis risk: a bidirectional two-sample Mendelian randomization study</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18"/>
        <w:gridCol w:w="1644"/>
        <w:gridCol w:w="4712"/>
        <w:gridCol w:w="3287"/>
      </w:tblGrid>
      <w:tr w14:paraId="33037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rPr>
        <w:tc>
          <w:tcPr>
            <w:tcW w:w="618" w:type="dxa"/>
            <w:tcBorders>
              <w:top w:val="single" w:color="999999" w:sz="4" w:space="0"/>
              <w:left w:val="single" w:color="999999" w:sz="4" w:space="0"/>
              <w:bottom w:val="single" w:color="999999" w:sz="4" w:space="0"/>
              <w:right w:val="single" w:color="999999" w:sz="4" w:space="0"/>
            </w:tcBorders>
            <w:shd w:val="clear" w:color="auto" w:fill="E6E6E6"/>
          </w:tcPr>
          <w:p w14:paraId="3DAF20B6">
            <w:pPr>
              <w:spacing w:after="0"/>
            </w:pPr>
            <w:bookmarkStart w:id="0" w:name="_GoBack"/>
            <w:bookmarkEnd w:id="0"/>
            <w:r>
              <w:rPr>
                <w:rFonts w:ascii="Times New Roman" w:hAnsi="Times New Roman" w:eastAsia="Times New Roman" w:cs="Times New Roman"/>
                <w:b/>
                <w:bCs/>
                <w:sz w:val="19"/>
                <w:szCs w:val="19"/>
              </w:rPr>
              <w:t>No.</w:t>
            </w:r>
          </w:p>
        </w:tc>
        <w:tc>
          <w:tcPr>
            <w:tcW w:w="1648" w:type="dxa"/>
            <w:tcBorders>
              <w:top w:val="single" w:color="999999" w:sz="4" w:space="0"/>
              <w:left w:val="single" w:color="999999" w:sz="4" w:space="0"/>
              <w:bottom w:val="single" w:color="999999" w:sz="4" w:space="0"/>
              <w:right w:val="single" w:color="999999" w:sz="4" w:space="0"/>
            </w:tcBorders>
            <w:shd w:val="clear" w:color="auto" w:fill="E6E6E6"/>
          </w:tcPr>
          <w:p w14:paraId="0E59BB41">
            <w:pPr>
              <w:spacing w:after="0"/>
            </w:pPr>
            <w:r>
              <w:rPr>
                <w:rFonts w:ascii="Times New Roman" w:hAnsi="Times New Roman" w:eastAsia="Times New Roman" w:cs="Times New Roman"/>
                <w:b/>
                <w:bCs/>
                <w:sz w:val="19"/>
                <w:szCs w:val="19"/>
              </w:rPr>
              <w:t>Section</w:t>
            </w:r>
          </w:p>
        </w:tc>
        <w:tc>
          <w:tcPr>
            <w:tcW w:w="4738" w:type="dxa"/>
            <w:tcBorders>
              <w:top w:val="single" w:color="999999" w:sz="4" w:space="0"/>
              <w:left w:val="single" w:color="999999" w:sz="4" w:space="0"/>
              <w:bottom w:val="single" w:color="999999" w:sz="4" w:space="0"/>
              <w:right w:val="single" w:color="999999" w:sz="4" w:space="0"/>
            </w:tcBorders>
            <w:shd w:val="clear" w:color="auto" w:fill="E6E6E6"/>
          </w:tcPr>
          <w:p w14:paraId="78726EBB">
            <w:pPr>
              <w:spacing w:after="0"/>
            </w:pPr>
            <w:r>
              <w:rPr>
                <w:rFonts w:ascii="Times New Roman" w:hAnsi="Times New Roman" w:eastAsia="Times New Roman" w:cs="Times New Roman"/>
                <w:b/>
                <w:bCs/>
                <w:sz w:val="19"/>
                <w:szCs w:val="19"/>
              </w:rPr>
              <w:t>Checklist item</w:t>
            </w:r>
          </w:p>
        </w:tc>
        <w:tc>
          <w:tcPr>
            <w:tcW w:w="3296" w:type="dxa"/>
            <w:tcBorders>
              <w:top w:val="single" w:color="999999" w:sz="4" w:space="0"/>
              <w:left w:val="single" w:color="999999" w:sz="4" w:space="0"/>
              <w:bottom w:val="single" w:color="999999" w:sz="4" w:space="0"/>
              <w:right w:val="single" w:color="999999" w:sz="4" w:space="0"/>
            </w:tcBorders>
            <w:shd w:val="clear" w:color="auto" w:fill="E6E6E6"/>
          </w:tcPr>
          <w:p w14:paraId="0FFD14A4">
            <w:pPr>
              <w:spacing w:after="0"/>
            </w:pPr>
            <w:r>
              <w:rPr>
                <w:rFonts w:ascii="Times New Roman" w:hAnsi="Times New Roman" w:eastAsia="Times New Roman" w:cs="Times New Roman"/>
                <w:b/>
                <w:bCs/>
                <w:sz w:val="19"/>
                <w:szCs w:val="19"/>
              </w:rPr>
              <w:t>Location in manuscript</w:t>
            </w:r>
          </w:p>
        </w:tc>
      </w:tr>
      <w:tr w14:paraId="508E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02908134">
            <w:pPr>
              <w:spacing w:after="0"/>
            </w:pPr>
            <w:r>
              <w:rPr>
                <w:rFonts w:ascii="Times New Roman" w:hAnsi="Times New Roman" w:eastAsia="Times New Roman" w:cs="Times New Roman"/>
                <w:b/>
                <w:bCs/>
                <w:sz w:val="19"/>
                <w:szCs w:val="19"/>
              </w:rPr>
              <w:t>TITLE AND ABSTRACT</w:t>
            </w:r>
          </w:p>
        </w:tc>
      </w:tr>
      <w:tr w14:paraId="7696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72738CD4">
            <w:pPr>
              <w:spacing w:after="0"/>
            </w:pPr>
            <w:r>
              <w:rPr>
                <w:rFonts w:ascii="Times New Roman" w:hAnsi="Times New Roman" w:eastAsia="Times New Roman" w:cs="Times New Roman"/>
                <w:b/>
                <w:bCs/>
                <w:sz w:val="19"/>
                <w:szCs w:val="19"/>
              </w:rPr>
              <w:t>1</w:t>
            </w:r>
          </w:p>
        </w:tc>
        <w:tc>
          <w:tcPr>
            <w:tcW w:w="1648" w:type="dxa"/>
            <w:tcBorders>
              <w:top w:val="single" w:color="999999" w:sz="4" w:space="0"/>
              <w:left w:val="single" w:color="999999" w:sz="4" w:space="0"/>
              <w:bottom w:val="single" w:color="999999" w:sz="4" w:space="0"/>
              <w:right w:val="single" w:color="999999" w:sz="4" w:space="0"/>
            </w:tcBorders>
          </w:tcPr>
          <w:p w14:paraId="7C7CD5EB">
            <w:pPr>
              <w:spacing w:after="0"/>
            </w:pPr>
            <w:r>
              <w:rPr>
                <w:rFonts w:ascii="Times New Roman" w:hAnsi="Times New Roman" w:eastAsia="Times New Roman" w:cs="Times New Roman"/>
                <w:sz w:val="19"/>
                <w:szCs w:val="19"/>
              </w:rPr>
              <w:t>Title and abstract</w:t>
            </w:r>
          </w:p>
        </w:tc>
        <w:tc>
          <w:tcPr>
            <w:tcW w:w="4738" w:type="dxa"/>
            <w:tcBorders>
              <w:top w:val="single" w:color="999999" w:sz="4" w:space="0"/>
              <w:left w:val="single" w:color="999999" w:sz="4" w:space="0"/>
              <w:bottom w:val="single" w:color="999999" w:sz="4" w:space="0"/>
              <w:right w:val="single" w:color="999999" w:sz="4" w:space="0"/>
            </w:tcBorders>
          </w:tcPr>
          <w:p w14:paraId="096273D1">
            <w:pPr>
              <w:spacing w:after="0"/>
            </w:pPr>
            <w:r>
              <w:rPr>
                <w:rFonts w:ascii="Times New Roman" w:hAnsi="Times New Roman" w:eastAsia="Times New Roman" w:cs="Times New Roman"/>
                <w:sz w:val="19"/>
                <w:szCs w:val="19"/>
              </w:rPr>
              <w:t>Indicate Mendelian randomization (MR) as the study's design in the title and/or abstract if that is a main purpose of the study.</w:t>
            </w:r>
          </w:p>
        </w:tc>
        <w:tc>
          <w:tcPr>
            <w:tcW w:w="3296" w:type="dxa"/>
            <w:tcBorders>
              <w:top w:val="single" w:color="999999" w:sz="4" w:space="0"/>
              <w:left w:val="single" w:color="999999" w:sz="4" w:space="0"/>
              <w:bottom w:val="single" w:color="999999" w:sz="4" w:space="0"/>
              <w:right w:val="single" w:color="999999" w:sz="4" w:space="0"/>
            </w:tcBorders>
          </w:tcPr>
          <w:p w14:paraId="53AE8680">
            <w:pPr>
              <w:spacing w:after="0"/>
            </w:pPr>
            <w:r>
              <w:rPr>
                <w:rFonts w:ascii="Times New Roman" w:hAnsi="Times New Roman" w:eastAsia="Times New Roman" w:cs="Times New Roman"/>
                <w:i/>
                <w:iCs/>
                <w:sz w:val="19"/>
                <w:szCs w:val="19"/>
              </w:rPr>
              <w:t>Title states 'a bidirectional two-sample Mendelian randomization study'; the structured abstract identifies the design, exposure, outcome, methods and findings. (p. 1)</w:t>
            </w:r>
          </w:p>
        </w:tc>
      </w:tr>
      <w:tr w14:paraId="2540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09D99E09">
            <w:pPr>
              <w:spacing w:after="0"/>
            </w:pPr>
            <w:r>
              <w:rPr>
                <w:rFonts w:ascii="Times New Roman" w:hAnsi="Times New Roman" w:eastAsia="Times New Roman" w:cs="Times New Roman"/>
                <w:b/>
                <w:bCs/>
                <w:sz w:val="19"/>
                <w:szCs w:val="19"/>
              </w:rPr>
              <w:t>INTRODUCTION</w:t>
            </w:r>
          </w:p>
        </w:tc>
      </w:tr>
      <w:tr w14:paraId="59EF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7E30A2C8">
            <w:pPr>
              <w:spacing w:after="0"/>
            </w:pPr>
            <w:r>
              <w:rPr>
                <w:rFonts w:ascii="Times New Roman" w:hAnsi="Times New Roman" w:eastAsia="Times New Roman" w:cs="Times New Roman"/>
                <w:b/>
                <w:bCs/>
                <w:sz w:val="19"/>
                <w:szCs w:val="19"/>
              </w:rPr>
              <w:t>2</w:t>
            </w:r>
          </w:p>
        </w:tc>
        <w:tc>
          <w:tcPr>
            <w:tcW w:w="1648" w:type="dxa"/>
            <w:tcBorders>
              <w:top w:val="single" w:color="999999" w:sz="4" w:space="0"/>
              <w:left w:val="single" w:color="999999" w:sz="4" w:space="0"/>
              <w:bottom w:val="single" w:color="999999" w:sz="4" w:space="0"/>
              <w:right w:val="single" w:color="999999" w:sz="4" w:space="0"/>
            </w:tcBorders>
          </w:tcPr>
          <w:p w14:paraId="0AC657D6">
            <w:pPr>
              <w:spacing w:after="0"/>
            </w:pPr>
            <w:r>
              <w:rPr>
                <w:rFonts w:ascii="Times New Roman" w:hAnsi="Times New Roman" w:eastAsia="Times New Roman" w:cs="Times New Roman"/>
                <w:sz w:val="19"/>
                <w:szCs w:val="19"/>
              </w:rPr>
              <w:t>Background</w:t>
            </w:r>
          </w:p>
        </w:tc>
        <w:tc>
          <w:tcPr>
            <w:tcW w:w="4738" w:type="dxa"/>
            <w:tcBorders>
              <w:top w:val="single" w:color="999999" w:sz="4" w:space="0"/>
              <w:left w:val="single" w:color="999999" w:sz="4" w:space="0"/>
              <w:bottom w:val="single" w:color="999999" w:sz="4" w:space="0"/>
              <w:right w:val="single" w:color="999999" w:sz="4" w:space="0"/>
            </w:tcBorders>
          </w:tcPr>
          <w:p w14:paraId="12233F46">
            <w:pPr>
              <w:spacing w:after="0"/>
            </w:pPr>
            <w:r>
              <w:rPr>
                <w:rFonts w:ascii="Times New Roman" w:hAnsi="Times New Roman" w:eastAsia="Times New Roman" w:cs="Times New Roman"/>
                <w:sz w:val="19"/>
                <w:szCs w:val="19"/>
              </w:rPr>
              <w:t>Explain the scientific background and rationale. What is the exposure? Is a causal relationship between exposure and outcome plausible? Justify why MR is a helpful method.</w:t>
            </w:r>
          </w:p>
        </w:tc>
        <w:tc>
          <w:tcPr>
            <w:tcW w:w="3296" w:type="dxa"/>
            <w:tcBorders>
              <w:top w:val="single" w:color="999999" w:sz="4" w:space="0"/>
              <w:left w:val="single" w:color="999999" w:sz="4" w:space="0"/>
              <w:bottom w:val="single" w:color="999999" w:sz="4" w:space="0"/>
              <w:right w:val="single" w:color="999999" w:sz="4" w:space="0"/>
            </w:tcBorders>
          </w:tcPr>
          <w:p w14:paraId="11D6B654">
            <w:pPr>
              <w:spacing w:after="0"/>
            </w:pPr>
            <w:r>
              <w:rPr>
                <w:rFonts w:ascii="Times New Roman" w:hAnsi="Times New Roman" w:eastAsia="Times New Roman" w:cs="Times New Roman"/>
                <w:i/>
                <w:iCs/>
                <w:sz w:val="19"/>
                <w:szCs w:val="19"/>
              </w:rPr>
              <w:t>Background: observational vitamin D-TB association (OR 3.23), cathelicidin rationale, limits of observational and trial evidence, and why MR mitigates confounding and reverse causation. (p. 2)</w:t>
            </w:r>
          </w:p>
        </w:tc>
      </w:tr>
      <w:tr w14:paraId="2D997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042F3262">
            <w:pPr>
              <w:spacing w:after="0"/>
            </w:pPr>
            <w:r>
              <w:rPr>
                <w:rFonts w:ascii="Times New Roman" w:hAnsi="Times New Roman" w:eastAsia="Times New Roman" w:cs="Times New Roman"/>
                <w:b/>
                <w:bCs/>
                <w:sz w:val="19"/>
                <w:szCs w:val="19"/>
              </w:rPr>
              <w:t>3</w:t>
            </w:r>
          </w:p>
        </w:tc>
        <w:tc>
          <w:tcPr>
            <w:tcW w:w="1648" w:type="dxa"/>
            <w:tcBorders>
              <w:top w:val="single" w:color="999999" w:sz="4" w:space="0"/>
              <w:left w:val="single" w:color="999999" w:sz="4" w:space="0"/>
              <w:bottom w:val="single" w:color="999999" w:sz="4" w:space="0"/>
              <w:right w:val="single" w:color="999999" w:sz="4" w:space="0"/>
            </w:tcBorders>
          </w:tcPr>
          <w:p w14:paraId="66F5EAEF">
            <w:pPr>
              <w:spacing w:after="0"/>
            </w:pPr>
            <w:r>
              <w:rPr>
                <w:rFonts w:ascii="Times New Roman" w:hAnsi="Times New Roman" w:eastAsia="Times New Roman" w:cs="Times New Roman"/>
                <w:sz w:val="19"/>
                <w:szCs w:val="19"/>
              </w:rPr>
              <w:t>Objectives</w:t>
            </w:r>
          </w:p>
        </w:tc>
        <w:tc>
          <w:tcPr>
            <w:tcW w:w="4738" w:type="dxa"/>
            <w:tcBorders>
              <w:top w:val="single" w:color="999999" w:sz="4" w:space="0"/>
              <w:left w:val="single" w:color="999999" w:sz="4" w:space="0"/>
              <w:bottom w:val="single" w:color="999999" w:sz="4" w:space="0"/>
              <w:right w:val="single" w:color="999999" w:sz="4" w:space="0"/>
            </w:tcBorders>
          </w:tcPr>
          <w:p w14:paraId="04FDE8AC">
            <w:pPr>
              <w:spacing w:after="0"/>
            </w:pPr>
            <w:r>
              <w:rPr>
                <w:rFonts w:ascii="Times New Roman" w:hAnsi="Times New Roman" w:eastAsia="Times New Roman" w:cs="Times New Roman"/>
                <w:sz w:val="19"/>
                <w:szCs w:val="19"/>
              </w:rPr>
              <w:t>State specific objectives, including pre-specified causal hypotheses (if any). State that MR, under specific assumptions, intends to estimate causal effects.</w:t>
            </w:r>
          </w:p>
        </w:tc>
        <w:tc>
          <w:tcPr>
            <w:tcW w:w="3296" w:type="dxa"/>
            <w:tcBorders>
              <w:top w:val="single" w:color="999999" w:sz="4" w:space="0"/>
              <w:left w:val="single" w:color="999999" w:sz="4" w:space="0"/>
              <w:bottom w:val="single" w:color="999999" w:sz="4" w:space="0"/>
              <w:right w:val="single" w:color="999999" w:sz="4" w:space="0"/>
            </w:tcBorders>
          </w:tcPr>
          <w:p w14:paraId="7EE40F6A">
            <w:pPr>
              <w:spacing w:after="0"/>
            </w:pPr>
            <w:r>
              <w:rPr>
                <w:rFonts w:ascii="Times New Roman" w:hAnsi="Times New Roman" w:eastAsia="Times New Roman" w:cs="Times New Roman"/>
                <w:i/>
                <w:iCs/>
                <w:sz w:val="19"/>
                <w:szCs w:val="19"/>
              </w:rPr>
              <w:t>Background, final paragraph: pre-specified hypothesis (if causal, higher 25(OH)D would lower TB risk) and objective to test this, with an exploratory reverse analysis. (p. 2)</w:t>
            </w:r>
          </w:p>
        </w:tc>
      </w:tr>
      <w:tr w14:paraId="66F3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7B8DACD4">
            <w:pPr>
              <w:spacing w:after="0"/>
            </w:pPr>
            <w:r>
              <w:rPr>
                <w:rFonts w:ascii="Times New Roman" w:hAnsi="Times New Roman" w:eastAsia="Times New Roman" w:cs="Times New Roman"/>
                <w:b/>
                <w:bCs/>
                <w:sz w:val="19"/>
                <w:szCs w:val="19"/>
              </w:rPr>
              <w:t>METHODS</w:t>
            </w:r>
          </w:p>
        </w:tc>
      </w:tr>
      <w:tr w14:paraId="32FE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453320AB">
            <w:pPr>
              <w:spacing w:after="0"/>
            </w:pPr>
            <w:r>
              <w:rPr>
                <w:rFonts w:ascii="Times New Roman" w:hAnsi="Times New Roman" w:eastAsia="Times New Roman" w:cs="Times New Roman"/>
                <w:b/>
                <w:bCs/>
                <w:sz w:val="19"/>
                <w:szCs w:val="19"/>
              </w:rPr>
              <w:t>4</w:t>
            </w:r>
          </w:p>
        </w:tc>
        <w:tc>
          <w:tcPr>
            <w:tcW w:w="1648" w:type="dxa"/>
            <w:tcBorders>
              <w:top w:val="single" w:color="999999" w:sz="4" w:space="0"/>
              <w:left w:val="single" w:color="999999" w:sz="4" w:space="0"/>
              <w:bottom w:val="single" w:color="999999" w:sz="4" w:space="0"/>
              <w:right w:val="single" w:color="999999" w:sz="4" w:space="0"/>
            </w:tcBorders>
          </w:tcPr>
          <w:p w14:paraId="1E7962C8">
            <w:pPr>
              <w:spacing w:after="0"/>
            </w:pPr>
            <w:r>
              <w:rPr>
                <w:rFonts w:ascii="Times New Roman" w:hAnsi="Times New Roman" w:eastAsia="Times New Roman" w:cs="Times New Roman"/>
                <w:sz w:val="19"/>
                <w:szCs w:val="19"/>
              </w:rPr>
              <w:t>Study design and data sources</w:t>
            </w:r>
          </w:p>
        </w:tc>
        <w:tc>
          <w:tcPr>
            <w:tcW w:w="4738" w:type="dxa"/>
            <w:tcBorders>
              <w:top w:val="single" w:color="999999" w:sz="4" w:space="0"/>
              <w:left w:val="single" w:color="999999" w:sz="4" w:space="0"/>
              <w:bottom w:val="single" w:color="999999" w:sz="4" w:space="0"/>
              <w:right w:val="single" w:color="999999" w:sz="4" w:space="0"/>
            </w:tcBorders>
          </w:tcPr>
          <w:p w14:paraId="4847C902">
            <w:pPr>
              <w:spacing w:after="0"/>
            </w:pPr>
            <w:r>
              <w:rPr>
                <w:rFonts w:ascii="Times New Roman" w:hAnsi="Times New Roman" w:eastAsia="Times New Roman" w:cs="Times New Roman"/>
                <w:sz w:val="19"/>
                <w:szCs w:val="19"/>
              </w:rPr>
              <w:t>Present key elements of the study design early. Consider a table of data sources. For each data source, describe the following (a to e):</w:t>
            </w:r>
          </w:p>
        </w:tc>
        <w:tc>
          <w:tcPr>
            <w:tcW w:w="3296" w:type="dxa"/>
            <w:tcBorders>
              <w:top w:val="single" w:color="999999" w:sz="4" w:space="0"/>
              <w:left w:val="single" w:color="999999" w:sz="4" w:space="0"/>
              <w:bottom w:val="single" w:color="999999" w:sz="4" w:space="0"/>
              <w:right w:val="single" w:color="999999" w:sz="4" w:space="0"/>
            </w:tcBorders>
          </w:tcPr>
          <w:p w14:paraId="43451F24">
            <w:pPr>
              <w:spacing w:after="0"/>
            </w:pPr>
            <w:r>
              <w:rPr>
                <w:rFonts w:ascii="Times New Roman" w:hAnsi="Times New Roman" w:eastAsia="Times New Roman" w:cs="Times New Roman"/>
                <w:i/>
                <w:iCs/>
                <w:sz w:val="19"/>
                <w:szCs w:val="19"/>
              </w:rPr>
              <w:t>Materials and methods, 'Study design and reporting' and 'Data sources'. (p. 3 to 4)</w:t>
            </w:r>
          </w:p>
        </w:tc>
      </w:tr>
      <w:tr w14:paraId="0A01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16994D47">
            <w:pPr>
              <w:spacing w:after="0"/>
            </w:pPr>
            <w:r>
              <w:rPr>
                <w:rFonts w:ascii="Times New Roman" w:hAnsi="Times New Roman" w:eastAsia="Times New Roman" w:cs="Times New Roman"/>
                <w:b/>
                <w:bCs/>
                <w:sz w:val="19"/>
                <w:szCs w:val="19"/>
              </w:rPr>
              <w:t>4a</w:t>
            </w:r>
          </w:p>
        </w:tc>
        <w:tc>
          <w:tcPr>
            <w:tcW w:w="1648" w:type="dxa"/>
            <w:tcBorders>
              <w:top w:val="single" w:color="999999" w:sz="4" w:space="0"/>
              <w:left w:val="single" w:color="999999" w:sz="4" w:space="0"/>
              <w:bottom w:val="single" w:color="999999" w:sz="4" w:space="0"/>
              <w:right w:val="single" w:color="999999" w:sz="4" w:space="0"/>
            </w:tcBorders>
          </w:tcPr>
          <w:p w14:paraId="01E731D1">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4FCA587D">
            <w:pPr>
              <w:spacing w:after="0"/>
            </w:pPr>
            <w:r>
              <w:rPr>
                <w:rFonts w:ascii="Times New Roman" w:hAnsi="Times New Roman" w:eastAsia="Times New Roman" w:cs="Times New Roman"/>
                <w:sz w:val="19"/>
                <w:szCs w:val="19"/>
              </w:rPr>
              <w:t>Setting: study design and underlying population; setting, locations and relevant dates, when available.</w:t>
            </w:r>
          </w:p>
        </w:tc>
        <w:tc>
          <w:tcPr>
            <w:tcW w:w="3296" w:type="dxa"/>
            <w:tcBorders>
              <w:top w:val="single" w:color="999999" w:sz="4" w:space="0"/>
              <w:left w:val="single" w:color="999999" w:sz="4" w:space="0"/>
              <w:bottom w:val="single" w:color="999999" w:sz="4" w:space="0"/>
              <w:right w:val="single" w:color="999999" w:sz="4" w:space="0"/>
            </w:tcBorders>
          </w:tcPr>
          <w:p w14:paraId="64491D29">
            <w:pPr>
              <w:spacing w:after="0"/>
            </w:pPr>
            <w:r>
              <w:rPr>
                <w:rFonts w:ascii="Times New Roman" w:hAnsi="Times New Roman" w:eastAsia="Times New Roman" w:cs="Times New Roman"/>
                <w:i/>
                <w:iCs/>
                <w:sz w:val="19"/>
                <w:szCs w:val="19"/>
              </w:rPr>
              <w:t>Data sources: contributing GWAS, European-ancestry populations; data accessed 14 June 2026. (p. 3 to 4)</w:t>
            </w:r>
          </w:p>
        </w:tc>
      </w:tr>
      <w:tr w14:paraId="2EE3A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683514CF">
            <w:pPr>
              <w:spacing w:after="0"/>
            </w:pPr>
            <w:r>
              <w:rPr>
                <w:rFonts w:ascii="Times New Roman" w:hAnsi="Times New Roman" w:eastAsia="Times New Roman" w:cs="Times New Roman"/>
                <w:b/>
                <w:bCs/>
                <w:sz w:val="19"/>
                <w:szCs w:val="19"/>
              </w:rPr>
              <w:t>4b</w:t>
            </w:r>
          </w:p>
        </w:tc>
        <w:tc>
          <w:tcPr>
            <w:tcW w:w="1648" w:type="dxa"/>
            <w:tcBorders>
              <w:top w:val="single" w:color="999999" w:sz="4" w:space="0"/>
              <w:left w:val="single" w:color="999999" w:sz="4" w:space="0"/>
              <w:bottom w:val="single" w:color="999999" w:sz="4" w:space="0"/>
              <w:right w:val="single" w:color="999999" w:sz="4" w:space="0"/>
            </w:tcBorders>
          </w:tcPr>
          <w:p w14:paraId="12E584C9">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0115FB1B">
            <w:pPr>
              <w:spacing w:after="0"/>
            </w:pPr>
            <w:r>
              <w:rPr>
                <w:rFonts w:ascii="Times New Roman" w:hAnsi="Times New Roman" w:eastAsia="Times New Roman" w:cs="Times New Roman"/>
                <w:sz w:val="19"/>
                <w:szCs w:val="19"/>
              </w:rPr>
              <w:t>Participants: eligibility, sources and selection; sample size; whether power or sample size calculations were carried out prior to the main analysis.</w:t>
            </w:r>
          </w:p>
        </w:tc>
        <w:tc>
          <w:tcPr>
            <w:tcW w:w="3296" w:type="dxa"/>
            <w:tcBorders>
              <w:top w:val="single" w:color="999999" w:sz="4" w:space="0"/>
              <w:left w:val="single" w:color="999999" w:sz="4" w:space="0"/>
              <w:bottom w:val="single" w:color="999999" w:sz="4" w:space="0"/>
              <w:right w:val="single" w:color="999999" w:sz="4" w:space="0"/>
            </w:tcBorders>
          </w:tcPr>
          <w:p w14:paraId="1246B328">
            <w:pPr>
              <w:spacing w:after="0"/>
            </w:pPr>
            <w:r>
              <w:rPr>
                <w:rFonts w:ascii="Times New Roman" w:hAnsi="Times New Roman" w:eastAsia="Times New Roman" w:cs="Times New Roman"/>
                <w:i/>
                <w:iCs/>
                <w:sz w:val="19"/>
                <w:szCs w:val="19"/>
              </w:rPr>
              <w:t>Data sources (sample sizes: 2,473 TB cases / 482,125 controls) and 'Statistical power' (a priori mRnd power calculation). (p. 3 to 4)</w:t>
            </w:r>
          </w:p>
        </w:tc>
      </w:tr>
      <w:tr w14:paraId="12E4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2B6A43A9">
            <w:pPr>
              <w:spacing w:after="0"/>
            </w:pPr>
            <w:r>
              <w:rPr>
                <w:rFonts w:ascii="Times New Roman" w:hAnsi="Times New Roman" w:eastAsia="Times New Roman" w:cs="Times New Roman"/>
                <w:b/>
                <w:bCs/>
                <w:sz w:val="19"/>
                <w:szCs w:val="19"/>
              </w:rPr>
              <w:t>4c</w:t>
            </w:r>
          </w:p>
        </w:tc>
        <w:tc>
          <w:tcPr>
            <w:tcW w:w="1648" w:type="dxa"/>
            <w:tcBorders>
              <w:top w:val="single" w:color="999999" w:sz="4" w:space="0"/>
              <w:left w:val="single" w:color="999999" w:sz="4" w:space="0"/>
              <w:bottom w:val="single" w:color="999999" w:sz="4" w:space="0"/>
              <w:right w:val="single" w:color="999999" w:sz="4" w:space="0"/>
            </w:tcBorders>
          </w:tcPr>
          <w:p w14:paraId="72A12B2F">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7E818CE2">
            <w:pPr>
              <w:spacing w:after="0"/>
            </w:pPr>
            <w:r>
              <w:rPr>
                <w:rFonts w:ascii="Times New Roman" w:hAnsi="Times New Roman" w:eastAsia="Times New Roman" w:cs="Times New Roman"/>
                <w:sz w:val="19"/>
                <w:szCs w:val="19"/>
              </w:rPr>
              <w:t>Describe measurement, quality control and selection of genetic variants.</w:t>
            </w:r>
          </w:p>
        </w:tc>
        <w:tc>
          <w:tcPr>
            <w:tcW w:w="3296" w:type="dxa"/>
            <w:tcBorders>
              <w:top w:val="single" w:color="999999" w:sz="4" w:space="0"/>
              <w:left w:val="single" w:color="999999" w:sz="4" w:space="0"/>
              <w:bottom w:val="single" w:color="999999" w:sz="4" w:space="0"/>
              <w:right w:val="single" w:color="999999" w:sz="4" w:space="0"/>
            </w:tcBorders>
          </w:tcPr>
          <w:p w14:paraId="3AF1BFC0">
            <w:pPr>
              <w:spacing w:after="0"/>
            </w:pPr>
            <w:r>
              <w:rPr>
                <w:rFonts w:ascii="Times New Roman" w:hAnsi="Times New Roman" w:eastAsia="Times New Roman" w:cs="Times New Roman"/>
                <w:i/>
                <w:iCs/>
                <w:sz w:val="19"/>
                <w:szCs w:val="19"/>
              </w:rPr>
              <w:t>Instrument selection: genome-wide threshold, LD clumping, harmonisation, palindromic SNP removal. (p. 3 to 4)</w:t>
            </w:r>
          </w:p>
        </w:tc>
      </w:tr>
      <w:tr w14:paraId="4134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0FC8D3A5">
            <w:pPr>
              <w:spacing w:after="0"/>
            </w:pPr>
            <w:r>
              <w:rPr>
                <w:rFonts w:ascii="Times New Roman" w:hAnsi="Times New Roman" w:eastAsia="Times New Roman" w:cs="Times New Roman"/>
                <w:b/>
                <w:bCs/>
                <w:sz w:val="19"/>
                <w:szCs w:val="19"/>
              </w:rPr>
              <w:t>4d</w:t>
            </w:r>
          </w:p>
        </w:tc>
        <w:tc>
          <w:tcPr>
            <w:tcW w:w="1648" w:type="dxa"/>
            <w:tcBorders>
              <w:top w:val="single" w:color="999999" w:sz="4" w:space="0"/>
              <w:left w:val="single" w:color="999999" w:sz="4" w:space="0"/>
              <w:bottom w:val="single" w:color="999999" w:sz="4" w:space="0"/>
              <w:right w:val="single" w:color="999999" w:sz="4" w:space="0"/>
            </w:tcBorders>
          </w:tcPr>
          <w:p w14:paraId="1FF59214">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04E14C07">
            <w:pPr>
              <w:spacing w:after="0"/>
            </w:pPr>
            <w:r>
              <w:rPr>
                <w:rFonts w:ascii="Times New Roman" w:hAnsi="Times New Roman" w:eastAsia="Times New Roman" w:cs="Times New Roman"/>
                <w:sz w:val="19"/>
                <w:szCs w:val="19"/>
              </w:rPr>
              <w:t>For each exposure, outcome and other relevant variable, describe methods of assessment and diagnostic criteria.</w:t>
            </w:r>
          </w:p>
        </w:tc>
        <w:tc>
          <w:tcPr>
            <w:tcW w:w="3296" w:type="dxa"/>
            <w:tcBorders>
              <w:top w:val="single" w:color="999999" w:sz="4" w:space="0"/>
              <w:left w:val="single" w:color="999999" w:sz="4" w:space="0"/>
              <w:bottom w:val="single" w:color="999999" w:sz="4" w:space="0"/>
              <w:right w:val="single" w:color="999999" w:sz="4" w:space="0"/>
            </w:tcBorders>
          </w:tcPr>
          <w:p w14:paraId="2A38F236">
            <w:pPr>
              <w:spacing w:after="0"/>
            </w:pPr>
            <w:r>
              <w:rPr>
                <w:rFonts w:ascii="Times New Roman" w:hAnsi="Times New Roman" w:eastAsia="Times New Roman" w:cs="Times New Roman"/>
                <w:i/>
                <w:iCs/>
                <w:sz w:val="19"/>
                <w:szCs w:val="19"/>
              </w:rPr>
              <w:t>Data sources: serum 25(OH)D standardised (per SD); TB case definition from the outcome GWAS. (p. 3 to 4)</w:t>
            </w:r>
          </w:p>
        </w:tc>
      </w:tr>
      <w:tr w14:paraId="7A94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59EA08F8">
            <w:pPr>
              <w:spacing w:after="0"/>
            </w:pPr>
            <w:r>
              <w:rPr>
                <w:rFonts w:ascii="Times New Roman" w:hAnsi="Times New Roman" w:eastAsia="Times New Roman" w:cs="Times New Roman"/>
                <w:b/>
                <w:bCs/>
                <w:sz w:val="19"/>
                <w:szCs w:val="19"/>
              </w:rPr>
              <w:t>4e</w:t>
            </w:r>
          </w:p>
        </w:tc>
        <w:tc>
          <w:tcPr>
            <w:tcW w:w="1648" w:type="dxa"/>
            <w:tcBorders>
              <w:top w:val="single" w:color="999999" w:sz="4" w:space="0"/>
              <w:left w:val="single" w:color="999999" w:sz="4" w:space="0"/>
              <w:bottom w:val="single" w:color="999999" w:sz="4" w:space="0"/>
              <w:right w:val="single" w:color="999999" w:sz="4" w:space="0"/>
            </w:tcBorders>
          </w:tcPr>
          <w:p w14:paraId="6688C2FE">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4BE07586">
            <w:pPr>
              <w:spacing w:after="0"/>
            </w:pPr>
            <w:r>
              <w:rPr>
                <w:rFonts w:ascii="Times New Roman" w:hAnsi="Times New Roman" w:eastAsia="Times New Roman" w:cs="Times New Roman"/>
                <w:sz w:val="19"/>
                <w:szCs w:val="19"/>
              </w:rPr>
              <w:t>Provide details of ethics committee approval and participant informed consent, if relevant.</w:t>
            </w:r>
          </w:p>
        </w:tc>
        <w:tc>
          <w:tcPr>
            <w:tcW w:w="3296" w:type="dxa"/>
            <w:tcBorders>
              <w:top w:val="single" w:color="999999" w:sz="4" w:space="0"/>
              <w:left w:val="single" w:color="999999" w:sz="4" w:space="0"/>
              <w:bottom w:val="single" w:color="999999" w:sz="4" w:space="0"/>
              <w:right w:val="single" w:color="999999" w:sz="4" w:space="0"/>
            </w:tcBorders>
          </w:tcPr>
          <w:p w14:paraId="41EB178D">
            <w:pPr>
              <w:spacing w:after="0"/>
            </w:pPr>
            <w:r>
              <w:rPr>
                <w:rFonts w:ascii="Times New Roman" w:hAnsi="Times New Roman" w:eastAsia="Times New Roman" w:cs="Times New Roman"/>
                <w:i/>
                <w:iCs/>
                <w:sz w:val="19"/>
                <w:szCs w:val="19"/>
              </w:rPr>
              <w:t>Declarations, 'Ethics approval and consent to participate': publicly available summary data; original studies obtained their own approvals and consent. (p. 10)</w:t>
            </w:r>
          </w:p>
        </w:tc>
      </w:tr>
      <w:tr w14:paraId="1AEE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2BF993A5">
            <w:pPr>
              <w:spacing w:after="0"/>
            </w:pPr>
            <w:r>
              <w:rPr>
                <w:rFonts w:ascii="Times New Roman" w:hAnsi="Times New Roman" w:eastAsia="Times New Roman" w:cs="Times New Roman"/>
                <w:b/>
                <w:bCs/>
                <w:sz w:val="19"/>
                <w:szCs w:val="19"/>
              </w:rPr>
              <w:t>5</w:t>
            </w:r>
          </w:p>
        </w:tc>
        <w:tc>
          <w:tcPr>
            <w:tcW w:w="1648" w:type="dxa"/>
            <w:tcBorders>
              <w:top w:val="single" w:color="999999" w:sz="4" w:space="0"/>
              <w:left w:val="single" w:color="999999" w:sz="4" w:space="0"/>
              <w:bottom w:val="single" w:color="999999" w:sz="4" w:space="0"/>
              <w:right w:val="single" w:color="999999" w:sz="4" w:space="0"/>
            </w:tcBorders>
          </w:tcPr>
          <w:p w14:paraId="5904EC02">
            <w:pPr>
              <w:spacing w:after="0"/>
            </w:pPr>
            <w:r>
              <w:rPr>
                <w:rFonts w:ascii="Times New Roman" w:hAnsi="Times New Roman" w:eastAsia="Times New Roman" w:cs="Times New Roman"/>
                <w:sz w:val="19"/>
                <w:szCs w:val="19"/>
              </w:rPr>
              <w:t>Assumptions</w:t>
            </w:r>
          </w:p>
        </w:tc>
        <w:tc>
          <w:tcPr>
            <w:tcW w:w="4738" w:type="dxa"/>
            <w:tcBorders>
              <w:top w:val="single" w:color="999999" w:sz="4" w:space="0"/>
              <w:left w:val="single" w:color="999999" w:sz="4" w:space="0"/>
              <w:bottom w:val="single" w:color="999999" w:sz="4" w:space="0"/>
              <w:right w:val="single" w:color="999999" w:sz="4" w:space="0"/>
            </w:tcBorders>
          </w:tcPr>
          <w:p w14:paraId="4CD0952A">
            <w:pPr>
              <w:spacing w:after="0"/>
            </w:pPr>
            <w:r>
              <w:rPr>
                <w:rFonts w:ascii="Times New Roman" w:hAnsi="Times New Roman" w:eastAsia="Times New Roman" w:cs="Times New Roman"/>
                <w:sz w:val="19"/>
                <w:szCs w:val="19"/>
              </w:rPr>
              <w:t>Explicitly state the three core IV assumptions for the main analysis (relevance, independence, exclusion restriction) and assumptions for any sensitivity analysis.</w:t>
            </w:r>
          </w:p>
        </w:tc>
        <w:tc>
          <w:tcPr>
            <w:tcW w:w="3296" w:type="dxa"/>
            <w:tcBorders>
              <w:top w:val="single" w:color="999999" w:sz="4" w:space="0"/>
              <w:left w:val="single" w:color="999999" w:sz="4" w:space="0"/>
              <w:bottom w:val="single" w:color="999999" w:sz="4" w:space="0"/>
              <w:right w:val="single" w:color="999999" w:sz="4" w:space="0"/>
            </w:tcBorders>
          </w:tcPr>
          <w:p w14:paraId="6BF67434">
            <w:pPr>
              <w:spacing w:after="0"/>
            </w:pPr>
            <w:r>
              <w:rPr>
                <w:rFonts w:ascii="Times New Roman" w:hAnsi="Times New Roman" w:eastAsia="Times New Roman" w:cs="Times New Roman"/>
                <w:i/>
                <w:iCs/>
                <w:sz w:val="19"/>
                <w:szCs w:val="19"/>
              </w:rPr>
              <w:t>Materials and methods, 'Study design and reporting' (three assumptions stated) and the independence-assumption paragraph. (p. 3 to 4)</w:t>
            </w:r>
          </w:p>
        </w:tc>
      </w:tr>
      <w:tr w14:paraId="629B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639ADDC6">
            <w:pPr>
              <w:spacing w:after="0"/>
            </w:pPr>
            <w:r>
              <w:rPr>
                <w:rFonts w:ascii="Times New Roman" w:hAnsi="Times New Roman" w:eastAsia="Times New Roman" w:cs="Times New Roman"/>
                <w:b/>
                <w:bCs/>
                <w:sz w:val="19"/>
                <w:szCs w:val="19"/>
              </w:rPr>
              <w:t>6</w:t>
            </w:r>
          </w:p>
        </w:tc>
        <w:tc>
          <w:tcPr>
            <w:tcW w:w="1648" w:type="dxa"/>
            <w:tcBorders>
              <w:top w:val="single" w:color="999999" w:sz="4" w:space="0"/>
              <w:left w:val="single" w:color="999999" w:sz="4" w:space="0"/>
              <w:bottom w:val="single" w:color="999999" w:sz="4" w:space="0"/>
              <w:right w:val="single" w:color="999999" w:sz="4" w:space="0"/>
            </w:tcBorders>
          </w:tcPr>
          <w:p w14:paraId="26673A36">
            <w:pPr>
              <w:spacing w:after="0"/>
            </w:pPr>
            <w:r>
              <w:rPr>
                <w:rFonts w:ascii="Times New Roman" w:hAnsi="Times New Roman" w:eastAsia="Times New Roman" w:cs="Times New Roman"/>
                <w:sz w:val="19"/>
                <w:szCs w:val="19"/>
              </w:rPr>
              <w:t>Statistical methods: main analysis</w:t>
            </w:r>
          </w:p>
        </w:tc>
        <w:tc>
          <w:tcPr>
            <w:tcW w:w="4738" w:type="dxa"/>
            <w:tcBorders>
              <w:top w:val="single" w:color="999999" w:sz="4" w:space="0"/>
              <w:left w:val="single" w:color="999999" w:sz="4" w:space="0"/>
              <w:bottom w:val="single" w:color="999999" w:sz="4" w:space="0"/>
              <w:right w:val="single" w:color="999999" w:sz="4" w:space="0"/>
            </w:tcBorders>
          </w:tcPr>
          <w:p w14:paraId="53A7649A">
            <w:pPr>
              <w:spacing w:after="0"/>
            </w:pPr>
            <w:r>
              <w:rPr>
                <w:rFonts w:ascii="Times New Roman" w:hAnsi="Times New Roman" w:eastAsia="Times New Roman" w:cs="Times New Roman"/>
                <w:sz w:val="19"/>
                <w:szCs w:val="19"/>
              </w:rPr>
              <w:t>Describe the statistical methods and statistics used (a to e):</w:t>
            </w:r>
          </w:p>
        </w:tc>
        <w:tc>
          <w:tcPr>
            <w:tcW w:w="3296" w:type="dxa"/>
            <w:tcBorders>
              <w:top w:val="single" w:color="999999" w:sz="4" w:space="0"/>
              <w:left w:val="single" w:color="999999" w:sz="4" w:space="0"/>
              <w:bottom w:val="single" w:color="999999" w:sz="4" w:space="0"/>
              <w:right w:val="single" w:color="999999" w:sz="4" w:space="0"/>
            </w:tcBorders>
          </w:tcPr>
          <w:p w14:paraId="77FE13B7">
            <w:pPr>
              <w:spacing w:after="0"/>
            </w:pPr>
            <w:r>
              <w:rPr>
                <w:rFonts w:ascii="Times New Roman" w:hAnsi="Times New Roman" w:eastAsia="Times New Roman" w:cs="Times New Roman"/>
                <w:i/>
                <w:iCs/>
                <w:sz w:val="19"/>
                <w:szCs w:val="19"/>
              </w:rPr>
              <w:t>Materials and methods, 'Statistical analysis'. (p. 3 to 4)</w:t>
            </w:r>
          </w:p>
        </w:tc>
      </w:tr>
      <w:tr w14:paraId="766A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40B6171A">
            <w:pPr>
              <w:spacing w:after="0"/>
            </w:pPr>
            <w:r>
              <w:rPr>
                <w:rFonts w:ascii="Times New Roman" w:hAnsi="Times New Roman" w:eastAsia="Times New Roman" w:cs="Times New Roman"/>
                <w:b/>
                <w:bCs/>
                <w:sz w:val="19"/>
                <w:szCs w:val="19"/>
              </w:rPr>
              <w:t>6a</w:t>
            </w:r>
          </w:p>
        </w:tc>
        <w:tc>
          <w:tcPr>
            <w:tcW w:w="1648" w:type="dxa"/>
            <w:tcBorders>
              <w:top w:val="single" w:color="999999" w:sz="4" w:space="0"/>
              <w:left w:val="single" w:color="999999" w:sz="4" w:space="0"/>
              <w:bottom w:val="single" w:color="999999" w:sz="4" w:space="0"/>
              <w:right w:val="single" w:color="999999" w:sz="4" w:space="0"/>
            </w:tcBorders>
          </w:tcPr>
          <w:p w14:paraId="276FF0BD">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33F6AC68">
            <w:pPr>
              <w:spacing w:after="0"/>
            </w:pPr>
            <w:r>
              <w:rPr>
                <w:rFonts w:ascii="Times New Roman" w:hAnsi="Times New Roman" w:eastAsia="Times New Roman" w:cs="Times New Roman"/>
                <w:sz w:val="19"/>
                <w:szCs w:val="19"/>
              </w:rPr>
              <w:t>How quantitative variables were handled (scale, units, model).</w:t>
            </w:r>
          </w:p>
        </w:tc>
        <w:tc>
          <w:tcPr>
            <w:tcW w:w="3296" w:type="dxa"/>
            <w:tcBorders>
              <w:top w:val="single" w:color="999999" w:sz="4" w:space="0"/>
              <w:left w:val="single" w:color="999999" w:sz="4" w:space="0"/>
              <w:bottom w:val="single" w:color="999999" w:sz="4" w:space="0"/>
              <w:right w:val="single" w:color="999999" w:sz="4" w:space="0"/>
            </w:tcBorders>
          </w:tcPr>
          <w:p w14:paraId="37F605A4">
            <w:pPr>
              <w:spacing w:after="0"/>
            </w:pPr>
            <w:r>
              <w:rPr>
                <w:rFonts w:ascii="Times New Roman" w:hAnsi="Times New Roman" w:eastAsia="Times New Roman" w:cs="Times New Roman"/>
                <w:i/>
                <w:iCs/>
                <w:sz w:val="19"/>
                <w:szCs w:val="19"/>
              </w:rPr>
              <w:t>Statistical analysis: effects expressed as odds ratios per standard-deviation increase in 25(OH)D. (p. 3 to 4)</w:t>
            </w:r>
          </w:p>
        </w:tc>
      </w:tr>
      <w:tr w14:paraId="260E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23D8DCE8">
            <w:pPr>
              <w:spacing w:after="0"/>
            </w:pPr>
            <w:r>
              <w:rPr>
                <w:rFonts w:ascii="Times New Roman" w:hAnsi="Times New Roman" w:eastAsia="Times New Roman" w:cs="Times New Roman"/>
                <w:b/>
                <w:bCs/>
                <w:sz w:val="19"/>
                <w:szCs w:val="19"/>
              </w:rPr>
              <w:t>6b</w:t>
            </w:r>
          </w:p>
        </w:tc>
        <w:tc>
          <w:tcPr>
            <w:tcW w:w="1648" w:type="dxa"/>
            <w:tcBorders>
              <w:top w:val="single" w:color="999999" w:sz="4" w:space="0"/>
              <w:left w:val="single" w:color="999999" w:sz="4" w:space="0"/>
              <w:bottom w:val="single" w:color="999999" w:sz="4" w:space="0"/>
              <w:right w:val="single" w:color="999999" w:sz="4" w:space="0"/>
            </w:tcBorders>
          </w:tcPr>
          <w:p w14:paraId="3971DA5C">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4A6DAF24">
            <w:pPr>
              <w:spacing w:after="0"/>
            </w:pPr>
            <w:r>
              <w:rPr>
                <w:rFonts w:ascii="Times New Roman" w:hAnsi="Times New Roman" w:eastAsia="Times New Roman" w:cs="Times New Roman"/>
                <w:sz w:val="19"/>
                <w:szCs w:val="19"/>
              </w:rPr>
              <w:t>How genetic variants were handled and, if applicable, how weights were selected.</w:t>
            </w:r>
          </w:p>
        </w:tc>
        <w:tc>
          <w:tcPr>
            <w:tcW w:w="3296" w:type="dxa"/>
            <w:tcBorders>
              <w:top w:val="single" w:color="999999" w:sz="4" w:space="0"/>
              <w:left w:val="single" w:color="999999" w:sz="4" w:space="0"/>
              <w:bottom w:val="single" w:color="999999" w:sz="4" w:space="0"/>
              <w:right w:val="single" w:color="999999" w:sz="4" w:space="0"/>
            </w:tcBorders>
          </w:tcPr>
          <w:p w14:paraId="647DD403">
            <w:pPr>
              <w:spacing w:after="0"/>
            </w:pPr>
            <w:r>
              <w:rPr>
                <w:rFonts w:ascii="Times New Roman" w:hAnsi="Times New Roman" w:eastAsia="Times New Roman" w:cs="Times New Roman"/>
                <w:i/>
                <w:iCs/>
                <w:sz w:val="19"/>
                <w:szCs w:val="19"/>
              </w:rPr>
              <w:t>Instrument selection and Statistical analysis: independent genome-wide SNPs, inverse-variance weighting. (p. 3 to 4)</w:t>
            </w:r>
          </w:p>
        </w:tc>
      </w:tr>
      <w:tr w14:paraId="68B7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68816AB8">
            <w:pPr>
              <w:spacing w:after="0"/>
            </w:pPr>
            <w:r>
              <w:rPr>
                <w:rFonts w:ascii="Times New Roman" w:hAnsi="Times New Roman" w:eastAsia="Times New Roman" w:cs="Times New Roman"/>
                <w:b/>
                <w:bCs/>
                <w:sz w:val="19"/>
                <w:szCs w:val="19"/>
              </w:rPr>
              <w:t>6c</w:t>
            </w:r>
          </w:p>
        </w:tc>
        <w:tc>
          <w:tcPr>
            <w:tcW w:w="1648" w:type="dxa"/>
            <w:tcBorders>
              <w:top w:val="single" w:color="999999" w:sz="4" w:space="0"/>
              <w:left w:val="single" w:color="999999" w:sz="4" w:space="0"/>
              <w:bottom w:val="single" w:color="999999" w:sz="4" w:space="0"/>
              <w:right w:val="single" w:color="999999" w:sz="4" w:space="0"/>
            </w:tcBorders>
          </w:tcPr>
          <w:p w14:paraId="094B1CBB">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4DA0B682">
            <w:pPr>
              <w:spacing w:after="0"/>
            </w:pPr>
            <w:r>
              <w:rPr>
                <w:rFonts w:ascii="Times New Roman" w:hAnsi="Times New Roman" w:eastAsia="Times New Roman" w:cs="Times New Roman"/>
                <w:sz w:val="19"/>
                <w:szCs w:val="19"/>
              </w:rPr>
              <w:t>The MR estimator (e.g. Wald ratio, two-stage least squares) and related statistics; covariates; for two-sample MR, whether the same covariate set was used in both samples.</w:t>
            </w:r>
          </w:p>
        </w:tc>
        <w:tc>
          <w:tcPr>
            <w:tcW w:w="3296" w:type="dxa"/>
            <w:tcBorders>
              <w:top w:val="single" w:color="999999" w:sz="4" w:space="0"/>
              <w:left w:val="single" w:color="999999" w:sz="4" w:space="0"/>
              <w:bottom w:val="single" w:color="999999" w:sz="4" w:space="0"/>
              <w:right w:val="single" w:color="999999" w:sz="4" w:space="0"/>
            </w:tcBorders>
          </w:tcPr>
          <w:p w14:paraId="0DCCDB89">
            <w:pPr>
              <w:spacing w:after="0"/>
            </w:pPr>
            <w:r>
              <w:rPr>
                <w:rFonts w:ascii="Times New Roman" w:hAnsi="Times New Roman" w:eastAsia="Times New Roman" w:cs="Times New Roman"/>
                <w:i/>
                <w:iCs/>
                <w:sz w:val="19"/>
                <w:szCs w:val="19"/>
              </w:rPr>
              <w:t>Statistical analysis: random-effects IVW as the primary estimator (summary-level two-sample MR). (p. 3 to 4)</w:t>
            </w:r>
          </w:p>
        </w:tc>
      </w:tr>
      <w:tr w14:paraId="08CE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7F55845E">
            <w:pPr>
              <w:spacing w:after="0"/>
            </w:pPr>
            <w:r>
              <w:rPr>
                <w:rFonts w:ascii="Times New Roman" w:hAnsi="Times New Roman" w:eastAsia="Times New Roman" w:cs="Times New Roman"/>
                <w:b/>
                <w:bCs/>
                <w:sz w:val="19"/>
                <w:szCs w:val="19"/>
              </w:rPr>
              <w:t>6d</w:t>
            </w:r>
          </w:p>
        </w:tc>
        <w:tc>
          <w:tcPr>
            <w:tcW w:w="1648" w:type="dxa"/>
            <w:tcBorders>
              <w:top w:val="single" w:color="999999" w:sz="4" w:space="0"/>
              <w:left w:val="single" w:color="999999" w:sz="4" w:space="0"/>
              <w:bottom w:val="single" w:color="999999" w:sz="4" w:space="0"/>
              <w:right w:val="single" w:color="999999" w:sz="4" w:space="0"/>
            </w:tcBorders>
          </w:tcPr>
          <w:p w14:paraId="57A94AC7">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0EFEA000">
            <w:pPr>
              <w:spacing w:after="0"/>
            </w:pPr>
            <w:r>
              <w:rPr>
                <w:rFonts w:ascii="Times New Roman" w:hAnsi="Times New Roman" w:eastAsia="Times New Roman" w:cs="Times New Roman"/>
                <w:sz w:val="19"/>
                <w:szCs w:val="19"/>
              </w:rPr>
              <w:t>How missing data were addressed.</w:t>
            </w:r>
          </w:p>
        </w:tc>
        <w:tc>
          <w:tcPr>
            <w:tcW w:w="3296" w:type="dxa"/>
            <w:tcBorders>
              <w:top w:val="single" w:color="999999" w:sz="4" w:space="0"/>
              <w:left w:val="single" w:color="999999" w:sz="4" w:space="0"/>
              <w:bottom w:val="single" w:color="999999" w:sz="4" w:space="0"/>
              <w:right w:val="single" w:color="999999" w:sz="4" w:space="0"/>
            </w:tcBorders>
          </w:tcPr>
          <w:p w14:paraId="2E672259">
            <w:pPr>
              <w:spacing w:after="0"/>
            </w:pPr>
            <w:r>
              <w:rPr>
                <w:rFonts w:ascii="Times New Roman" w:hAnsi="Times New Roman" w:eastAsia="Times New Roman" w:cs="Times New Roman"/>
                <w:i/>
                <w:iCs/>
                <w:sz w:val="19"/>
                <w:szCs w:val="19"/>
              </w:rPr>
              <w:t>Instrument selection: SNPs absent from the outcome data handled at harmonisation; one palindromic SNP (rs7955128) removed. (p. 3 to 4)</w:t>
            </w:r>
          </w:p>
        </w:tc>
      </w:tr>
      <w:tr w14:paraId="737EE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26FCFA67">
            <w:pPr>
              <w:spacing w:after="0"/>
            </w:pPr>
            <w:r>
              <w:rPr>
                <w:rFonts w:ascii="Times New Roman" w:hAnsi="Times New Roman" w:eastAsia="Times New Roman" w:cs="Times New Roman"/>
                <w:b/>
                <w:bCs/>
                <w:sz w:val="19"/>
                <w:szCs w:val="19"/>
              </w:rPr>
              <w:t>6e</w:t>
            </w:r>
          </w:p>
        </w:tc>
        <w:tc>
          <w:tcPr>
            <w:tcW w:w="1648" w:type="dxa"/>
            <w:tcBorders>
              <w:top w:val="single" w:color="999999" w:sz="4" w:space="0"/>
              <w:left w:val="single" w:color="999999" w:sz="4" w:space="0"/>
              <w:bottom w:val="single" w:color="999999" w:sz="4" w:space="0"/>
              <w:right w:val="single" w:color="999999" w:sz="4" w:space="0"/>
            </w:tcBorders>
          </w:tcPr>
          <w:p w14:paraId="2817EF7A">
            <w:pPr>
              <w:spacing w:after="0"/>
            </w:pPr>
          </w:p>
        </w:tc>
        <w:tc>
          <w:tcPr>
            <w:tcW w:w="4738" w:type="dxa"/>
            <w:tcBorders>
              <w:top w:val="single" w:color="999999" w:sz="4" w:space="0"/>
              <w:left w:val="single" w:color="999999" w:sz="4" w:space="0"/>
              <w:bottom w:val="single" w:color="999999" w:sz="4" w:space="0"/>
              <w:right w:val="single" w:color="999999" w:sz="4" w:space="0"/>
            </w:tcBorders>
          </w:tcPr>
          <w:p w14:paraId="53AE7521">
            <w:pPr>
              <w:spacing w:after="0"/>
            </w:pPr>
            <w:r>
              <w:rPr>
                <w:rFonts w:ascii="Times New Roman" w:hAnsi="Times New Roman" w:eastAsia="Times New Roman" w:cs="Times New Roman"/>
                <w:sz w:val="19"/>
                <w:szCs w:val="19"/>
              </w:rPr>
              <w:t>If applicable, how multiple testing was addressed.</w:t>
            </w:r>
          </w:p>
        </w:tc>
        <w:tc>
          <w:tcPr>
            <w:tcW w:w="3296" w:type="dxa"/>
            <w:tcBorders>
              <w:top w:val="single" w:color="999999" w:sz="4" w:space="0"/>
              <w:left w:val="single" w:color="999999" w:sz="4" w:space="0"/>
              <w:bottom w:val="single" w:color="999999" w:sz="4" w:space="0"/>
              <w:right w:val="single" w:color="999999" w:sz="4" w:space="0"/>
            </w:tcBorders>
          </w:tcPr>
          <w:p w14:paraId="30541CB5">
            <w:pPr>
              <w:spacing w:after="0"/>
            </w:pPr>
            <w:r>
              <w:rPr>
                <w:rFonts w:ascii="Times New Roman" w:hAnsi="Times New Roman" w:eastAsia="Times New Roman" w:cs="Times New Roman"/>
                <w:i/>
                <w:iCs/>
                <w:sz w:val="19"/>
                <w:szCs w:val="19"/>
              </w:rPr>
              <w:t>Not applicable: a single primary hypothesis was tested; the reverse direction is exploratory.</w:t>
            </w:r>
          </w:p>
        </w:tc>
      </w:tr>
      <w:tr w14:paraId="4E4F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540C6D55">
            <w:pPr>
              <w:spacing w:after="0"/>
            </w:pPr>
            <w:r>
              <w:rPr>
                <w:rFonts w:ascii="Times New Roman" w:hAnsi="Times New Roman" w:eastAsia="Times New Roman" w:cs="Times New Roman"/>
                <w:b/>
                <w:bCs/>
                <w:sz w:val="19"/>
                <w:szCs w:val="19"/>
              </w:rPr>
              <w:t>7</w:t>
            </w:r>
          </w:p>
        </w:tc>
        <w:tc>
          <w:tcPr>
            <w:tcW w:w="1648" w:type="dxa"/>
            <w:tcBorders>
              <w:top w:val="single" w:color="999999" w:sz="4" w:space="0"/>
              <w:left w:val="single" w:color="999999" w:sz="4" w:space="0"/>
              <w:bottom w:val="single" w:color="999999" w:sz="4" w:space="0"/>
              <w:right w:val="single" w:color="999999" w:sz="4" w:space="0"/>
            </w:tcBorders>
          </w:tcPr>
          <w:p w14:paraId="21FB1400">
            <w:pPr>
              <w:spacing w:after="0"/>
            </w:pPr>
            <w:r>
              <w:rPr>
                <w:rFonts w:ascii="Times New Roman" w:hAnsi="Times New Roman" w:eastAsia="Times New Roman" w:cs="Times New Roman"/>
                <w:sz w:val="19"/>
                <w:szCs w:val="19"/>
              </w:rPr>
              <w:t>Assessment of assumptions</w:t>
            </w:r>
          </w:p>
        </w:tc>
        <w:tc>
          <w:tcPr>
            <w:tcW w:w="4738" w:type="dxa"/>
            <w:tcBorders>
              <w:top w:val="single" w:color="999999" w:sz="4" w:space="0"/>
              <w:left w:val="single" w:color="999999" w:sz="4" w:space="0"/>
              <w:bottom w:val="single" w:color="999999" w:sz="4" w:space="0"/>
              <w:right w:val="single" w:color="999999" w:sz="4" w:space="0"/>
            </w:tcBorders>
          </w:tcPr>
          <w:p w14:paraId="57A76426">
            <w:pPr>
              <w:spacing w:after="0"/>
            </w:pPr>
            <w:r>
              <w:rPr>
                <w:rFonts w:ascii="Times New Roman" w:hAnsi="Times New Roman" w:eastAsia="Times New Roman" w:cs="Times New Roman"/>
                <w:sz w:val="19"/>
                <w:szCs w:val="19"/>
              </w:rPr>
              <w:t>Describe methods or prior knowledge used to assess the assumptions or justify their validity.</w:t>
            </w:r>
          </w:p>
        </w:tc>
        <w:tc>
          <w:tcPr>
            <w:tcW w:w="3296" w:type="dxa"/>
            <w:tcBorders>
              <w:top w:val="single" w:color="999999" w:sz="4" w:space="0"/>
              <w:left w:val="single" w:color="999999" w:sz="4" w:space="0"/>
              <w:bottom w:val="single" w:color="999999" w:sz="4" w:space="0"/>
              <w:right w:val="single" w:color="999999" w:sz="4" w:space="0"/>
            </w:tcBorders>
          </w:tcPr>
          <w:p w14:paraId="2AEE83E1">
            <w:pPr>
              <w:spacing w:after="0"/>
            </w:pPr>
            <w:r>
              <w:rPr>
                <w:rFonts w:ascii="Times New Roman" w:hAnsi="Times New Roman" w:eastAsia="Times New Roman" w:cs="Times New Roman"/>
                <w:i/>
                <w:iCs/>
                <w:sz w:val="19"/>
                <w:szCs w:val="19"/>
              </w:rPr>
              <w:t>Statistical analysis and independence paragraph: F-statistics (relevance); canonical vitamin D genes plus MR-Egger intercept, MR-PRESSO and Cochran's Q (independence and exclusion restriction). (p. 3 to 4)</w:t>
            </w:r>
          </w:p>
        </w:tc>
      </w:tr>
      <w:tr w14:paraId="4602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0A11DDB5">
            <w:pPr>
              <w:spacing w:after="0"/>
            </w:pPr>
            <w:r>
              <w:rPr>
                <w:rFonts w:ascii="Times New Roman" w:hAnsi="Times New Roman" w:eastAsia="Times New Roman" w:cs="Times New Roman"/>
                <w:b/>
                <w:bCs/>
                <w:sz w:val="19"/>
                <w:szCs w:val="19"/>
              </w:rPr>
              <w:t>8</w:t>
            </w:r>
          </w:p>
        </w:tc>
        <w:tc>
          <w:tcPr>
            <w:tcW w:w="1648" w:type="dxa"/>
            <w:tcBorders>
              <w:top w:val="single" w:color="999999" w:sz="4" w:space="0"/>
              <w:left w:val="single" w:color="999999" w:sz="4" w:space="0"/>
              <w:bottom w:val="single" w:color="999999" w:sz="4" w:space="0"/>
              <w:right w:val="single" w:color="999999" w:sz="4" w:space="0"/>
            </w:tcBorders>
          </w:tcPr>
          <w:p w14:paraId="2826ADCF">
            <w:pPr>
              <w:spacing w:after="0"/>
            </w:pPr>
            <w:r>
              <w:rPr>
                <w:rFonts w:ascii="Times New Roman" w:hAnsi="Times New Roman" w:eastAsia="Times New Roman" w:cs="Times New Roman"/>
                <w:sz w:val="19"/>
                <w:szCs w:val="19"/>
              </w:rPr>
              <w:t>Sensitivity and additional analyses</w:t>
            </w:r>
          </w:p>
        </w:tc>
        <w:tc>
          <w:tcPr>
            <w:tcW w:w="4738" w:type="dxa"/>
            <w:tcBorders>
              <w:top w:val="single" w:color="999999" w:sz="4" w:space="0"/>
              <w:left w:val="single" w:color="999999" w:sz="4" w:space="0"/>
              <w:bottom w:val="single" w:color="999999" w:sz="4" w:space="0"/>
              <w:right w:val="single" w:color="999999" w:sz="4" w:space="0"/>
            </w:tcBorders>
          </w:tcPr>
          <w:p w14:paraId="3BC5E236">
            <w:pPr>
              <w:spacing w:after="0"/>
            </w:pPr>
            <w:r>
              <w:rPr>
                <w:rFonts w:ascii="Times New Roman" w:hAnsi="Times New Roman" w:eastAsia="Times New Roman" w:cs="Times New Roman"/>
                <w:sz w:val="19"/>
                <w:szCs w:val="19"/>
              </w:rPr>
              <w:t>Describe any sensitivity or additional analyses (e.g. comparison of estimators, replication, bias analyses, instrument validation, simulations).</w:t>
            </w:r>
          </w:p>
        </w:tc>
        <w:tc>
          <w:tcPr>
            <w:tcW w:w="3296" w:type="dxa"/>
            <w:tcBorders>
              <w:top w:val="single" w:color="999999" w:sz="4" w:space="0"/>
              <w:left w:val="single" w:color="999999" w:sz="4" w:space="0"/>
              <w:bottom w:val="single" w:color="999999" w:sz="4" w:space="0"/>
              <w:right w:val="single" w:color="999999" w:sz="4" w:space="0"/>
            </w:tcBorders>
          </w:tcPr>
          <w:p w14:paraId="2EFD6855">
            <w:pPr>
              <w:spacing w:after="0"/>
            </w:pPr>
            <w:r>
              <w:rPr>
                <w:rFonts w:ascii="Times New Roman" w:hAnsi="Times New Roman" w:eastAsia="Times New Roman" w:cs="Times New Roman"/>
                <w:i/>
                <w:iCs/>
                <w:sz w:val="19"/>
                <w:szCs w:val="19"/>
              </w:rPr>
              <w:t>Statistical analysis: MR-Egger, weighted median, simple and weighted mode; leave-one-out; funnel plot. 'Statistical power': a priori power analysis. (p. 3 to 4)</w:t>
            </w:r>
          </w:p>
        </w:tc>
      </w:tr>
      <w:tr w14:paraId="3B41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33FBA4A8">
            <w:pPr>
              <w:spacing w:after="0"/>
            </w:pPr>
            <w:r>
              <w:rPr>
                <w:rFonts w:ascii="Times New Roman" w:hAnsi="Times New Roman" w:eastAsia="Times New Roman" w:cs="Times New Roman"/>
                <w:b/>
                <w:bCs/>
                <w:sz w:val="19"/>
                <w:szCs w:val="19"/>
              </w:rPr>
              <w:t>9</w:t>
            </w:r>
          </w:p>
        </w:tc>
        <w:tc>
          <w:tcPr>
            <w:tcW w:w="1648" w:type="dxa"/>
            <w:tcBorders>
              <w:top w:val="single" w:color="999999" w:sz="4" w:space="0"/>
              <w:left w:val="single" w:color="999999" w:sz="4" w:space="0"/>
              <w:bottom w:val="single" w:color="999999" w:sz="4" w:space="0"/>
              <w:right w:val="single" w:color="999999" w:sz="4" w:space="0"/>
            </w:tcBorders>
          </w:tcPr>
          <w:p w14:paraId="1EABCE87">
            <w:pPr>
              <w:spacing w:after="0"/>
            </w:pPr>
            <w:r>
              <w:rPr>
                <w:rFonts w:ascii="Times New Roman" w:hAnsi="Times New Roman" w:eastAsia="Times New Roman" w:cs="Times New Roman"/>
                <w:sz w:val="19"/>
                <w:szCs w:val="19"/>
              </w:rPr>
              <w:t>Software and pre-registration</w:t>
            </w:r>
          </w:p>
        </w:tc>
        <w:tc>
          <w:tcPr>
            <w:tcW w:w="4738" w:type="dxa"/>
            <w:tcBorders>
              <w:top w:val="single" w:color="999999" w:sz="4" w:space="0"/>
              <w:left w:val="single" w:color="999999" w:sz="4" w:space="0"/>
              <w:bottom w:val="single" w:color="999999" w:sz="4" w:space="0"/>
              <w:right w:val="single" w:color="999999" w:sz="4" w:space="0"/>
            </w:tcBorders>
          </w:tcPr>
          <w:p w14:paraId="21C8CABE">
            <w:pPr>
              <w:spacing w:after="0"/>
            </w:pPr>
            <w:r>
              <w:rPr>
                <w:rFonts w:ascii="Times New Roman" w:hAnsi="Times New Roman" w:eastAsia="Times New Roman" w:cs="Times New Roman"/>
                <w:sz w:val="19"/>
                <w:szCs w:val="19"/>
              </w:rPr>
              <w:t>(a) Name statistical software and packages, including version and settings. (b) State whether the protocol was pre-registered (when and where).</w:t>
            </w:r>
          </w:p>
        </w:tc>
        <w:tc>
          <w:tcPr>
            <w:tcW w:w="3296" w:type="dxa"/>
            <w:tcBorders>
              <w:top w:val="single" w:color="999999" w:sz="4" w:space="0"/>
              <w:left w:val="single" w:color="999999" w:sz="4" w:space="0"/>
              <w:bottom w:val="single" w:color="999999" w:sz="4" w:space="0"/>
              <w:right w:val="single" w:color="999999" w:sz="4" w:space="0"/>
            </w:tcBorders>
          </w:tcPr>
          <w:p w14:paraId="5D1B1ECB">
            <w:pPr>
              <w:spacing w:after="0"/>
            </w:pPr>
            <w:r>
              <w:rPr>
                <w:rFonts w:ascii="Times New Roman" w:hAnsi="Times New Roman" w:eastAsia="Times New Roman" w:cs="Times New Roman"/>
                <w:i/>
                <w:iCs/>
                <w:sz w:val="19"/>
                <w:szCs w:val="19"/>
              </w:rPr>
              <w:t>(a) Statistical analysis: R 4.5.3, TwoSampleMR 0.7.8, MR-PRESSO; clumping r2 &lt; 0.001, 10,000 kb (p. 3 to 4). (b) Not pre-registered.</w:t>
            </w:r>
          </w:p>
        </w:tc>
      </w:tr>
      <w:tr w14:paraId="62BA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2837BC81">
            <w:pPr>
              <w:spacing w:after="0"/>
            </w:pPr>
            <w:r>
              <w:rPr>
                <w:rFonts w:ascii="Times New Roman" w:hAnsi="Times New Roman" w:eastAsia="Times New Roman" w:cs="Times New Roman"/>
                <w:b/>
                <w:bCs/>
                <w:sz w:val="19"/>
                <w:szCs w:val="19"/>
              </w:rPr>
              <w:t>RESULTS</w:t>
            </w:r>
          </w:p>
        </w:tc>
      </w:tr>
      <w:tr w14:paraId="4F2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5C549EB5">
            <w:pPr>
              <w:spacing w:after="0"/>
            </w:pPr>
            <w:r>
              <w:rPr>
                <w:rFonts w:ascii="Times New Roman" w:hAnsi="Times New Roman" w:eastAsia="Times New Roman" w:cs="Times New Roman"/>
                <w:b/>
                <w:bCs/>
                <w:sz w:val="19"/>
                <w:szCs w:val="19"/>
              </w:rPr>
              <w:t>10</w:t>
            </w:r>
          </w:p>
        </w:tc>
        <w:tc>
          <w:tcPr>
            <w:tcW w:w="1648" w:type="dxa"/>
            <w:tcBorders>
              <w:top w:val="single" w:color="999999" w:sz="4" w:space="0"/>
              <w:left w:val="single" w:color="999999" w:sz="4" w:space="0"/>
              <w:bottom w:val="single" w:color="999999" w:sz="4" w:space="0"/>
              <w:right w:val="single" w:color="999999" w:sz="4" w:space="0"/>
            </w:tcBorders>
          </w:tcPr>
          <w:p w14:paraId="20F1B9F7">
            <w:pPr>
              <w:spacing w:after="0"/>
            </w:pPr>
            <w:r>
              <w:rPr>
                <w:rFonts w:ascii="Times New Roman" w:hAnsi="Times New Roman" w:eastAsia="Times New Roman" w:cs="Times New Roman"/>
                <w:sz w:val="19"/>
                <w:szCs w:val="19"/>
              </w:rPr>
              <w:t>Descriptive data</w:t>
            </w:r>
          </w:p>
        </w:tc>
        <w:tc>
          <w:tcPr>
            <w:tcW w:w="4738" w:type="dxa"/>
            <w:tcBorders>
              <w:top w:val="single" w:color="999999" w:sz="4" w:space="0"/>
              <w:left w:val="single" w:color="999999" w:sz="4" w:space="0"/>
              <w:bottom w:val="single" w:color="999999" w:sz="4" w:space="0"/>
              <w:right w:val="single" w:color="999999" w:sz="4" w:space="0"/>
            </w:tcBorders>
          </w:tcPr>
          <w:p w14:paraId="392E9E0F">
            <w:pPr>
              <w:spacing w:after="0"/>
            </w:pPr>
            <w:r>
              <w:rPr>
                <w:rFonts w:ascii="Times New Roman" w:hAnsi="Times New Roman" w:eastAsia="Times New Roman" w:cs="Times New Roman"/>
                <w:sz w:val="19"/>
                <w:szCs w:val="19"/>
              </w:rPr>
              <w:t>(a) Numbers at each stage and reasons for exclusion (consider a flow diagram). (b) Summary statistics for exposure(s) and outcome(s). (d) For two-sample MR: justify similarity of variant-exposure associations across samples and report sample overlap.</w:t>
            </w:r>
          </w:p>
        </w:tc>
        <w:tc>
          <w:tcPr>
            <w:tcW w:w="3296" w:type="dxa"/>
            <w:tcBorders>
              <w:top w:val="single" w:color="999999" w:sz="4" w:space="0"/>
              <w:left w:val="single" w:color="999999" w:sz="4" w:space="0"/>
              <w:bottom w:val="single" w:color="999999" w:sz="4" w:space="0"/>
              <w:right w:val="single" w:color="999999" w:sz="4" w:space="0"/>
            </w:tcBorders>
          </w:tcPr>
          <w:p w14:paraId="68505AB6">
            <w:pPr>
              <w:spacing w:after="0"/>
            </w:pPr>
            <w:r>
              <w:rPr>
                <w:rFonts w:ascii="Times New Roman" w:hAnsi="Times New Roman" w:eastAsia="Times New Roman" w:cs="Times New Roman"/>
                <w:i/>
                <w:iCs/>
                <w:sz w:val="19"/>
                <w:szCs w:val="19"/>
              </w:rPr>
              <w:t>Instrument selection and Results: 115 SNPs extracted, 114 retained; reverse 14 extracted, 11 retained. Same ancestry; possible UK Biobank overlap addressed in Discussion. (p. 6)</w:t>
            </w:r>
          </w:p>
        </w:tc>
      </w:tr>
      <w:tr w14:paraId="6057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5A036AEC">
            <w:pPr>
              <w:spacing w:after="0"/>
            </w:pPr>
            <w:r>
              <w:rPr>
                <w:rFonts w:ascii="Times New Roman" w:hAnsi="Times New Roman" w:eastAsia="Times New Roman" w:cs="Times New Roman"/>
                <w:b/>
                <w:bCs/>
                <w:sz w:val="19"/>
                <w:szCs w:val="19"/>
              </w:rPr>
              <w:t>11</w:t>
            </w:r>
          </w:p>
        </w:tc>
        <w:tc>
          <w:tcPr>
            <w:tcW w:w="1648" w:type="dxa"/>
            <w:tcBorders>
              <w:top w:val="single" w:color="999999" w:sz="4" w:space="0"/>
              <w:left w:val="single" w:color="999999" w:sz="4" w:space="0"/>
              <w:bottom w:val="single" w:color="999999" w:sz="4" w:space="0"/>
              <w:right w:val="single" w:color="999999" w:sz="4" w:space="0"/>
            </w:tcBorders>
          </w:tcPr>
          <w:p w14:paraId="4A8FE6AC">
            <w:pPr>
              <w:spacing w:after="0"/>
            </w:pPr>
            <w:r>
              <w:rPr>
                <w:rFonts w:ascii="Times New Roman" w:hAnsi="Times New Roman" w:eastAsia="Times New Roman" w:cs="Times New Roman"/>
                <w:sz w:val="19"/>
                <w:szCs w:val="19"/>
              </w:rPr>
              <w:t>Main results</w:t>
            </w:r>
          </w:p>
        </w:tc>
        <w:tc>
          <w:tcPr>
            <w:tcW w:w="4738" w:type="dxa"/>
            <w:tcBorders>
              <w:top w:val="single" w:color="999999" w:sz="4" w:space="0"/>
              <w:left w:val="single" w:color="999999" w:sz="4" w:space="0"/>
              <w:bottom w:val="single" w:color="999999" w:sz="4" w:space="0"/>
              <w:right w:val="single" w:color="999999" w:sz="4" w:space="0"/>
            </w:tcBorders>
          </w:tcPr>
          <w:p w14:paraId="5703AD80">
            <w:pPr>
              <w:spacing w:after="0"/>
            </w:pPr>
            <w:r>
              <w:rPr>
                <w:rFonts w:ascii="Times New Roman" w:hAnsi="Times New Roman" w:eastAsia="Times New Roman" w:cs="Times New Roman"/>
                <w:sz w:val="19"/>
                <w:szCs w:val="19"/>
              </w:rPr>
              <w:t>(a) Variant-exposure and variant-outcome associations on an interpretable scale. (b) MR estimates with uncertainty on an interpretable scale (e.g. OR per SD). (d) Plots to visualise results.</w:t>
            </w:r>
          </w:p>
        </w:tc>
        <w:tc>
          <w:tcPr>
            <w:tcW w:w="3296" w:type="dxa"/>
            <w:tcBorders>
              <w:top w:val="single" w:color="999999" w:sz="4" w:space="0"/>
              <w:left w:val="single" w:color="999999" w:sz="4" w:space="0"/>
              <w:bottom w:val="single" w:color="999999" w:sz="4" w:space="0"/>
              <w:right w:val="single" w:color="999999" w:sz="4" w:space="0"/>
            </w:tcBorders>
          </w:tcPr>
          <w:p w14:paraId="2849851A">
            <w:pPr>
              <w:spacing w:after="0"/>
            </w:pPr>
            <w:r>
              <w:rPr>
                <w:rFonts w:ascii="Times New Roman" w:hAnsi="Times New Roman" w:eastAsia="Times New Roman" w:cs="Times New Roman"/>
                <w:i/>
                <w:iCs/>
                <w:sz w:val="19"/>
                <w:szCs w:val="19"/>
              </w:rPr>
              <w:t>Results and Table 1: forward IVW OR 1.00 (95% CI 0.999 to 1.001) per SD, p = 0.88. Scatter plot, Fig 1. (p. 6 to 7)</w:t>
            </w:r>
          </w:p>
        </w:tc>
      </w:tr>
      <w:tr w14:paraId="4932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7F46D35D">
            <w:pPr>
              <w:spacing w:after="0"/>
            </w:pPr>
            <w:r>
              <w:rPr>
                <w:rFonts w:ascii="Times New Roman" w:hAnsi="Times New Roman" w:eastAsia="Times New Roman" w:cs="Times New Roman"/>
                <w:b/>
                <w:bCs/>
                <w:sz w:val="19"/>
                <w:szCs w:val="19"/>
              </w:rPr>
              <w:t>12</w:t>
            </w:r>
          </w:p>
        </w:tc>
        <w:tc>
          <w:tcPr>
            <w:tcW w:w="1648" w:type="dxa"/>
            <w:tcBorders>
              <w:top w:val="single" w:color="999999" w:sz="4" w:space="0"/>
              <w:left w:val="single" w:color="999999" w:sz="4" w:space="0"/>
              <w:bottom w:val="single" w:color="999999" w:sz="4" w:space="0"/>
              <w:right w:val="single" w:color="999999" w:sz="4" w:space="0"/>
            </w:tcBorders>
          </w:tcPr>
          <w:p w14:paraId="6855A6C2">
            <w:pPr>
              <w:spacing w:after="0"/>
            </w:pPr>
            <w:r>
              <w:rPr>
                <w:rFonts w:ascii="Times New Roman" w:hAnsi="Times New Roman" w:eastAsia="Times New Roman" w:cs="Times New Roman"/>
                <w:sz w:val="19"/>
                <w:szCs w:val="19"/>
              </w:rPr>
              <w:t>Assessment of assumptions</w:t>
            </w:r>
          </w:p>
        </w:tc>
        <w:tc>
          <w:tcPr>
            <w:tcW w:w="4738" w:type="dxa"/>
            <w:tcBorders>
              <w:top w:val="single" w:color="999999" w:sz="4" w:space="0"/>
              <w:left w:val="single" w:color="999999" w:sz="4" w:space="0"/>
              <w:bottom w:val="single" w:color="999999" w:sz="4" w:space="0"/>
              <w:right w:val="single" w:color="999999" w:sz="4" w:space="0"/>
            </w:tcBorders>
          </w:tcPr>
          <w:p w14:paraId="59E93864">
            <w:pPr>
              <w:spacing w:after="0"/>
            </w:pPr>
            <w:r>
              <w:rPr>
                <w:rFonts w:ascii="Times New Roman" w:hAnsi="Times New Roman" w:eastAsia="Times New Roman" w:cs="Times New Roman"/>
                <w:sz w:val="19"/>
                <w:szCs w:val="19"/>
              </w:rPr>
              <w:t>(a) Report the assessment of the validity of the assumptions. (b) Report additional statistics (e.g. heterogeneity, I-squared, Q statistic, E-value).</w:t>
            </w:r>
          </w:p>
        </w:tc>
        <w:tc>
          <w:tcPr>
            <w:tcW w:w="3296" w:type="dxa"/>
            <w:tcBorders>
              <w:top w:val="single" w:color="999999" w:sz="4" w:space="0"/>
              <w:left w:val="single" w:color="999999" w:sz="4" w:space="0"/>
              <w:bottom w:val="single" w:color="999999" w:sz="4" w:space="0"/>
              <w:right w:val="single" w:color="999999" w:sz="4" w:space="0"/>
            </w:tcBorders>
          </w:tcPr>
          <w:p w14:paraId="38D57E77">
            <w:pPr>
              <w:spacing w:after="0"/>
            </w:pPr>
            <w:r>
              <w:rPr>
                <w:rFonts w:ascii="Times New Roman" w:hAnsi="Times New Roman" w:eastAsia="Times New Roman" w:cs="Times New Roman"/>
                <w:i/>
                <w:iCs/>
                <w:sz w:val="19"/>
                <w:szCs w:val="19"/>
              </w:rPr>
              <w:t>Results: no directional pleiotropy (MR-Egger intercept p = 0.55; MR-PRESSO global test p = 0.61, no outliers); no heterogeneity (Cochran's Q p = 0.63). (p. 6 to 7)</w:t>
            </w:r>
          </w:p>
        </w:tc>
      </w:tr>
      <w:tr w14:paraId="796F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564E56A6">
            <w:pPr>
              <w:spacing w:after="0"/>
            </w:pPr>
            <w:r>
              <w:rPr>
                <w:rFonts w:ascii="Times New Roman" w:hAnsi="Times New Roman" w:eastAsia="Times New Roman" w:cs="Times New Roman"/>
                <w:b/>
                <w:bCs/>
                <w:sz w:val="19"/>
                <w:szCs w:val="19"/>
              </w:rPr>
              <w:t>13</w:t>
            </w:r>
          </w:p>
        </w:tc>
        <w:tc>
          <w:tcPr>
            <w:tcW w:w="1648" w:type="dxa"/>
            <w:tcBorders>
              <w:top w:val="single" w:color="999999" w:sz="4" w:space="0"/>
              <w:left w:val="single" w:color="999999" w:sz="4" w:space="0"/>
              <w:bottom w:val="single" w:color="999999" w:sz="4" w:space="0"/>
              <w:right w:val="single" w:color="999999" w:sz="4" w:space="0"/>
            </w:tcBorders>
          </w:tcPr>
          <w:p w14:paraId="364B7CF4">
            <w:pPr>
              <w:spacing w:after="0"/>
            </w:pPr>
            <w:r>
              <w:rPr>
                <w:rFonts w:ascii="Times New Roman" w:hAnsi="Times New Roman" w:eastAsia="Times New Roman" w:cs="Times New Roman"/>
                <w:sz w:val="19"/>
                <w:szCs w:val="19"/>
              </w:rPr>
              <w:t>Sensitivity and additional analyses</w:t>
            </w:r>
          </w:p>
        </w:tc>
        <w:tc>
          <w:tcPr>
            <w:tcW w:w="4738" w:type="dxa"/>
            <w:tcBorders>
              <w:top w:val="single" w:color="999999" w:sz="4" w:space="0"/>
              <w:left w:val="single" w:color="999999" w:sz="4" w:space="0"/>
              <w:bottom w:val="single" w:color="999999" w:sz="4" w:space="0"/>
              <w:right w:val="single" w:color="999999" w:sz="4" w:space="0"/>
            </w:tcBorders>
          </w:tcPr>
          <w:p w14:paraId="3AC41ABA">
            <w:pPr>
              <w:spacing w:after="0"/>
            </w:pPr>
            <w:r>
              <w:rPr>
                <w:rFonts w:ascii="Times New Roman" w:hAnsi="Times New Roman" w:eastAsia="Times New Roman" w:cs="Times New Roman"/>
                <w:sz w:val="19"/>
                <w:szCs w:val="19"/>
              </w:rPr>
              <w:t>(a, b) Sensitivity analyses for robustness to assumption violations. (c) Assessment of direction of causation (e.g. bidirectional MR). (d) Comparison with non-MR estimates. (e) Additional plots (e.g. leave-one-out).</w:t>
            </w:r>
          </w:p>
        </w:tc>
        <w:tc>
          <w:tcPr>
            <w:tcW w:w="3296" w:type="dxa"/>
            <w:tcBorders>
              <w:top w:val="single" w:color="999999" w:sz="4" w:space="0"/>
              <w:left w:val="single" w:color="999999" w:sz="4" w:space="0"/>
              <w:bottom w:val="single" w:color="999999" w:sz="4" w:space="0"/>
              <w:right w:val="single" w:color="999999" w:sz="4" w:space="0"/>
            </w:tcBorders>
          </w:tcPr>
          <w:p w14:paraId="147EC95A">
            <w:pPr>
              <w:spacing w:after="0"/>
            </w:pPr>
            <w:r>
              <w:rPr>
                <w:rFonts w:ascii="Times New Roman" w:hAnsi="Times New Roman" w:eastAsia="Times New Roman" w:cs="Times New Roman"/>
                <w:i/>
                <w:iCs/>
                <w:sz w:val="19"/>
                <w:szCs w:val="19"/>
              </w:rPr>
              <w:t>Results: five concordant null estimators (Table 1); bidirectional (reverse) analysis reported; compared with observational OR 3.23 in Discussion; funnel (Fig 2) and leave-one-out (Fig 3). (p. 6 to 7)</w:t>
            </w:r>
          </w:p>
        </w:tc>
      </w:tr>
      <w:tr w14:paraId="5B85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72457AE6">
            <w:pPr>
              <w:spacing w:after="0"/>
            </w:pPr>
            <w:r>
              <w:rPr>
                <w:rFonts w:ascii="Times New Roman" w:hAnsi="Times New Roman" w:eastAsia="Times New Roman" w:cs="Times New Roman"/>
                <w:b/>
                <w:bCs/>
                <w:sz w:val="19"/>
                <w:szCs w:val="19"/>
              </w:rPr>
              <w:t>DISCUSSION</w:t>
            </w:r>
          </w:p>
        </w:tc>
      </w:tr>
      <w:tr w14:paraId="720E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3E1BF2C9">
            <w:pPr>
              <w:spacing w:after="0"/>
            </w:pPr>
            <w:r>
              <w:rPr>
                <w:rFonts w:ascii="Times New Roman" w:hAnsi="Times New Roman" w:eastAsia="Times New Roman" w:cs="Times New Roman"/>
                <w:b/>
                <w:bCs/>
                <w:sz w:val="19"/>
                <w:szCs w:val="19"/>
              </w:rPr>
              <w:t>14</w:t>
            </w:r>
          </w:p>
        </w:tc>
        <w:tc>
          <w:tcPr>
            <w:tcW w:w="1648" w:type="dxa"/>
            <w:tcBorders>
              <w:top w:val="single" w:color="999999" w:sz="4" w:space="0"/>
              <w:left w:val="single" w:color="999999" w:sz="4" w:space="0"/>
              <w:bottom w:val="single" w:color="999999" w:sz="4" w:space="0"/>
              <w:right w:val="single" w:color="999999" w:sz="4" w:space="0"/>
            </w:tcBorders>
          </w:tcPr>
          <w:p w14:paraId="356827D9">
            <w:pPr>
              <w:spacing w:after="0"/>
            </w:pPr>
            <w:r>
              <w:rPr>
                <w:rFonts w:ascii="Times New Roman" w:hAnsi="Times New Roman" w:eastAsia="Times New Roman" w:cs="Times New Roman"/>
                <w:sz w:val="19"/>
                <w:szCs w:val="19"/>
              </w:rPr>
              <w:t>Key results</w:t>
            </w:r>
          </w:p>
        </w:tc>
        <w:tc>
          <w:tcPr>
            <w:tcW w:w="4738" w:type="dxa"/>
            <w:tcBorders>
              <w:top w:val="single" w:color="999999" w:sz="4" w:space="0"/>
              <w:left w:val="single" w:color="999999" w:sz="4" w:space="0"/>
              <w:bottom w:val="single" w:color="999999" w:sz="4" w:space="0"/>
              <w:right w:val="single" w:color="999999" w:sz="4" w:space="0"/>
            </w:tcBorders>
          </w:tcPr>
          <w:p w14:paraId="21419948">
            <w:pPr>
              <w:spacing w:after="0"/>
            </w:pPr>
            <w:r>
              <w:rPr>
                <w:rFonts w:ascii="Times New Roman" w:hAnsi="Times New Roman" w:eastAsia="Times New Roman" w:cs="Times New Roman"/>
                <w:sz w:val="19"/>
                <w:szCs w:val="19"/>
              </w:rPr>
              <w:t>Summarise key results with reference to the study objectives.</w:t>
            </w:r>
          </w:p>
        </w:tc>
        <w:tc>
          <w:tcPr>
            <w:tcW w:w="3296" w:type="dxa"/>
            <w:tcBorders>
              <w:top w:val="single" w:color="999999" w:sz="4" w:space="0"/>
              <w:left w:val="single" w:color="999999" w:sz="4" w:space="0"/>
              <w:bottom w:val="single" w:color="999999" w:sz="4" w:space="0"/>
              <w:right w:val="single" w:color="999999" w:sz="4" w:space="0"/>
            </w:tcBorders>
          </w:tcPr>
          <w:p w14:paraId="078CA93C">
            <w:pPr>
              <w:spacing w:after="0"/>
            </w:pPr>
            <w:r>
              <w:rPr>
                <w:rFonts w:ascii="Times New Roman" w:hAnsi="Times New Roman" w:eastAsia="Times New Roman" w:cs="Times New Roman"/>
                <w:i/>
                <w:iCs/>
                <w:sz w:val="19"/>
                <w:szCs w:val="19"/>
              </w:rPr>
              <w:t>Discussion, opening paragraph, and Conclusions: no causal effect of 25(OH)D on TB and no reverse effect. (p. 8)</w:t>
            </w:r>
          </w:p>
        </w:tc>
      </w:tr>
      <w:tr w14:paraId="6231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00D34264">
            <w:pPr>
              <w:spacing w:after="0"/>
            </w:pPr>
            <w:r>
              <w:rPr>
                <w:rFonts w:ascii="Times New Roman" w:hAnsi="Times New Roman" w:eastAsia="Times New Roman" w:cs="Times New Roman"/>
                <w:b/>
                <w:bCs/>
                <w:sz w:val="19"/>
                <w:szCs w:val="19"/>
              </w:rPr>
              <w:t>15</w:t>
            </w:r>
          </w:p>
        </w:tc>
        <w:tc>
          <w:tcPr>
            <w:tcW w:w="1648" w:type="dxa"/>
            <w:tcBorders>
              <w:top w:val="single" w:color="999999" w:sz="4" w:space="0"/>
              <w:left w:val="single" w:color="999999" w:sz="4" w:space="0"/>
              <w:bottom w:val="single" w:color="999999" w:sz="4" w:space="0"/>
              <w:right w:val="single" w:color="999999" w:sz="4" w:space="0"/>
            </w:tcBorders>
          </w:tcPr>
          <w:p w14:paraId="1B9663F1">
            <w:pPr>
              <w:spacing w:after="0"/>
            </w:pPr>
            <w:r>
              <w:rPr>
                <w:rFonts w:ascii="Times New Roman" w:hAnsi="Times New Roman" w:eastAsia="Times New Roman" w:cs="Times New Roman"/>
                <w:sz w:val="19"/>
                <w:szCs w:val="19"/>
              </w:rPr>
              <w:t>Limitations</w:t>
            </w:r>
          </w:p>
        </w:tc>
        <w:tc>
          <w:tcPr>
            <w:tcW w:w="4738" w:type="dxa"/>
            <w:tcBorders>
              <w:top w:val="single" w:color="999999" w:sz="4" w:space="0"/>
              <w:left w:val="single" w:color="999999" w:sz="4" w:space="0"/>
              <w:bottom w:val="single" w:color="999999" w:sz="4" w:space="0"/>
              <w:right w:val="single" w:color="999999" w:sz="4" w:space="0"/>
            </w:tcBorders>
          </w:tcPr>
          <w:p w14:paraId="4209BE57">
            <w:pPr>
              <w:spacing w:after="0"/>
            </w:pPr>
            <w:r>
              <w:rPr>
                <w:rFonts w:ascii="Times New Roman" w:hAnsi="Times New Roman" w:eastAsia="Times New Roman" w:cs="Times New Roman"/>
                <w:sz w:val="19"/>
                <w:szCs w:val="19"/>
              </w:rPr>
              <w:t>Discuss limitations, including the validity of IV assumptions, other sources of bias and imprecision; discuss direction and magnitude of bias and efforts to address it.</w:t>
            </w:r>
          </w:p>
        </w:tc>
        <w:tc>
          <w:tcPr>
            <w:tcW w:w="3296" w:type="dxa"/>
            <w:tcBorders>
              <w:top w:val="single" w:color="999999" w:sz="4" w:space="0"/>
              <w:left w:val="single" w:color="999999" w:sz="4" w:space="0"/>
              <w:bottom w:val="single" w:color="999999" w:sz="4" w:space="0"/>
              <w:right w:val="single" w:color="999999" w:sz="4" w:space="0"/>
            </w:tcBorders>
          </w:tcPr>
          <w:p w14:paraId="4693C609">
            <w:pPr>
              <w:spacing w:after="0"/>
            </w:pPr>
            <w:r>
              <w:rPr>
                <w:rFonts w:ascii="Times New Roman" w:hAnsi="Times New Roman" w:eastAsia="Times New Roman" w:cs="Times New Roman"/>
                <w:i/>
                <w:iCs/>
                <w:sz w:val="19"/>
                <w:szCs w:val="19"/>
              </w:rPr>
              <w:t>Discussion, limitations paragraph: European-only data; underpowered reverse direction; possible sample overlap (biases toward the observational estimate, against the null); linearity; summary-level data. (p. 8 to 9)</w:t>
            </w:r>
          </w:p>
        </w:tc>
      </w:tr>
      <w:tr w14:paraId="7734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7ADD5BF0">
            <w:pPr>
              <w:spacing w:after="0"/>
            </w:pPr>
            <w:r>
              <w:rPr>
                <w:rFonts w:ascii="Times New Roman" w:hAnsi="Times New Roman" w:eastAsia="Times New Roman" w:cs="Times New Roman"/>
                <w:b/>
                <w:bCs/>
                <w:sz w:val="19"/>
                <w:szCs w:val="19"/>
              </w:rPr>
              <w:t>16</w:t>
            </w:r>
          </w:p>
        </w:tc>
        <w:tc>
          <w:tcPr>
            <w:tcW w:w="1648" w:type="dxa"/>
            <w:tcBorders>
              <w:top w:val="single" w:color="999999" w:sz="4" w:space="0"/>
              <w:left w:val="single" w:color="999999" w:sz="4" w:space="0"/>
              <w:bottom w:val="single" w:color="999999" w:sz="4" w:space="0"/>
              <w:right w:val="single" w:color="999999" w:sz="4" w:space="0"/>
            </w:tcBorders>
          </w:tcPr>
          <w:p w14:paraId="3AA529A3">
            <w:pPr>
              <w:spacing w:after="0"/>
            </w:pPr>
            <w:r>
              <w:rPr>
                <w:rFonts w:ascii="Times New Roman" w:hAnsi="Times New Roman" w:eastAsia="Times New Roman" w:cs="Times New Roman"/>
                <w:sz w:val="19"/>
                <w:szCs w:val="19"/>
              </w:rPr>
              <w:t>Interpretation</w:t>
            </w:r>
          </w:p>
        </w:tc>
        <w:tc>
          <w:tcPr>
            <w:tcW w:w="4738" w:type="dxa"/>
            <w:tcBorders>
              <w:top w:val="single" w:color="999999" w:sz="4" w:space="0"/>
              <w:left w:val="single" w:color="999999" w:sz="4" w:space="0"/>
              <w:bottom w:val="single" w:color="999999" w:sz="4" w:space="0"/>
              <w:right w:val="single" w:color="999999" w:sz="4" w:space="0"/>
            </w:tcBorders>
          </w:tcPr>
          <w:p w14:paraId="59F1825F">
            <w:pPr>
              <w:spacing w:after="0"/>
            </w:pPr>
            <w:r>
              <w:rPr>
                <w:rFonts w:ascii="Times New Roman" w:hAnsi="Times New Roman" w:eastAsia="Times New Roman" w:cs="Times New Roman"/>
                <w:sz w:val="19"/>
                <w:szCs w:val="19"/>
              </w:rPr>
              <w:t>(a) Cautious overall interpretation against limitations and other studies. (b) Underlying biological mechanisms and careful causal language. (c) Clinical or public-policy relevance.</w:t>
            </w:r>
          </w:p>
        </w:tc>
        <w:tc>
          <w:tcPr>
            <w:tcW w:w="3296" w:type="dxa"/>
            <w:tcBorders>
              <w:top w:val="single" w:color="999999" w:sz="4" w:space="0"/>
              <w:left w:val="single" w:color="999999" w:sz="4" w:space="0"/>
              <w:bottom w:val="single" w:color="999999" w:sz="4" w:space="0"/>
              <w:right w:val="single" w:color="999999" w:sz="4" w:space="0"/>
            </w:tcBorders>
          </w:tcPr>
          <w:p w14:paraId="2E3F911B">
            <w:pPr>
              <w:spacing w:after="0"/>
            </w:pPr>
            <w:r>
              <w:rPr>
                <w:rFonts w:ascii="Times New Roman" w:hAnsi="Times New Roman" w:eastAsia="Times New Roman" w:cs="Times New Roman"/>
                <w:i/>
                <w:iCs/>
                <w:sz w:val="19"/>
                <w:szCs w:val="19"/>
              </w:rPr>
              <w:t>Discussion: comparison with prior null MR and trials; cathelicidin and threshold or short-term mechanisms; relevance to vitamin D supplementation in high-burden settings. (p. 8 to 9)</w:t>
            </w:r>
          </w:p>
        </w:tc>
      </w:tr>
      <w:tr w14:paraId="523E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67F63D24">
            <w:pPr>
              <w:spacing w:after="0"/>
            </w:pPr>
            <w:r>
              <w:rPr>
                <w:rFonts w:ascii="Times New Roman" w:hAnsi="Times New Roman" w:eastAsia="Times New Roman" w:cs="Times New Roman"/>
                <w:b/>
                <w:bCs/>
                <w:sz w:val="19"/>
                <w:szCs w:val="19"/>
              </w:rPr>
              <w:t>17</w:t>
            </w:r>
          </w:p>
        </w:tc>
        <w:tc>
          <w:tcPr>
            <w:tcW w:w="1648" w:type="dxa"/>
            <w:tcBorders>
              <w:top w:val="single" w:color="999999" w:sz="4" w:space="0"/>
              <w:left w:val="single" w:color="999999" w:sz="4" w:space="0"/>
              <w:bottom w:val="single" w:color="999999" w:sz="4" w:space="0"/>
              <w:right w:val="single" w:color="999999" w:sz="4" w:space="0"/>
            </w:tcBorders>
          </w:tcPr>
          <w:p w14:paraId="23FFD0BB">
            <w:pPr>
              <w:spacing w:after="0"/>
            </w:pPr>
            <w:r>
              <w:rPr>
                <w:rFonts w:ascii="Times New Roman" w:hAnsi="Times New Roman" w:eastAsia="Times New Roman" w:cs="Times New Roman"/>
                <w:sz w:val="19"/>
                <w:szCs w:val="19"/>
              </w:rPr>
              <w:t>Generalisability</w:t>
            </w:r>
          </w:p>
        </w:tc>
        <w:tc>
          <w:tcPr>
            <w:tcW w:w="4738" w:type="dxa"/>
            <w:tcBorders>
              <w:top w:val="single" w:color="999999" w:sz="4" w:space="0"/>
              <w:left w:val="single" w:color="999999" w:sz="4" w:space="0"/>
              <w:bottom w:val="single" w:color="999999" w:sz="4" w:space="0"/>
              <w:right w:val="single" w:color="999999" w:sz="4" w:space="0"/>
            </w:tcBorders>
          </w:tcPr>
          <w:p w14:paraId="7BC26389">
            <w:pPr>
              <w:spacing w:after="0"/>
            </w:pPr>
            <w:r>
              <w:rPr>
                <w:rFonts w:ascii="Times New Roman" w:hAnsi="Times New Roman" w:eastAsia="Times New Roman" w:cs="Times New Roman"/>
                <w:sz w:val="19"/>
                <w:szCs w:val="19"/>
              </w:rPr>
              <w:t>Discuss generalisability to other populations, exposure periods and levels of exposure.</w:t>
            </w:r>
          </w:p>
        </w:tc>
        <w:tc>
          <w:tcPr>
            <w:tcW w:w="3296" w:type="dxa"/>
            <w:tcBorders>
              <w:top w:val="single" w:color="999999" w:sz="4" w:space="0"/>
              <w:left w:val="single" w:color="999999" w:sz="4" w:space="0"/>
              <w:bottom w:val="single" w:color="999999" w:sz="4" w:space="0"/>
              <w:right w:val="single" w:color="999999" w:sz="4" w:space="0"/>
            </w:tcBorders>
          </w:tcPr>
          <w:p w14:paraId="38B01978">
            <w:pPr>
              <w:spacing w:after="0"/>
            </w:pPr>
            <w:r>
              <w:rPr>
                <w:rFonts w:ascii="Times New Roman" w:hAnsi="Times New Roman" w:eastAsia="Times New Roman" w:cs="Times New Roman"/>
                <w:i/>
                <w:iCs/>
                <w:sz w:val="19"/>
                <w:szCs w:val="19"/>
              </w:rPr>
              <w:t>Discussion: cautions against extrapolation to African and other high-burden populations; calls for ancestry-matched and non-linear analyses. (p. 8 to 9)</w:t>
            </w:r>
          </w:p>
        </w:tc>
      </w:tr>
      <w:tr w14:paraId="49DC9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gridSpan w:val="4"/>
            <w:tcBorders>
              <w:top w:val="single" w:color="999999" w:sz="4" w:space="0"/>
              <w:left w:val="single" w:color="999999" w:sz="4" w:space="0"/>
              <w:bottom w:val="single" w:color="999999" w:sz="4" w:space="0"/>
              <w:right w:val="single" w:color="999999" w:sz="4" w:space="0"/>
            </w:tcBorders>
            <w:shd w:val="clear" w:color="auto" w:fill="D9D9D9"/>
          </w:tcPr>
          <w:p w14:paraId="12616C75">
            <w:pPr>
              <w:spacing w:after="0"/>
            </w:pPr>
            <w:r>
              <w:rPr>
                <w:rFonts w:ascii="Times New Roman" w:hAnsi="Times New Roman" w:eastAsia="Times New Roman" w:cs="Times New Roman"/>
                <w:b/>
                <w:bCs/>
                <w:sz w:val="19"/>
                <w:szCs w:val="19"/>
              </w:rPr>
              <w:t>OTHER INFORMATION</w:t>
            </w:r>
          </w:p>
        </w:tc>
      </w:tr>
      <w:tr w14:paraId="21A8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147CDA11">
            <w:pPr>
              <w:spacing w:after="0"/>
            </w:pPr>
            <w:r>
              <w:rPr>
                <w:rFonts w:ascii="Times New Roman" w:hAnsi="Times New Roman" w:eastAsia="Times New Roman" w:cs="Times New Roman"/>
                <w:b/>
                <w:bCs/>
                <w:sz w:val="19"/>
                <w:szCs w:val="19"/>
              </w:rPr>
              <w:t>18</w:t>
            </w:r>
          </w:p>
        </w:tc>
        <w:tc>
          <w:tcPr>
            <w:tcW w:w="1648" w:type="dxa"/>
            <w:tcBorders>
              <w:top w:val="single" w:color="999999" w:sz="4" w:space="0"/>
              <w:left w:val="single" w:color="999999" w:sz="4" w:space="0"/>
              <w:bottom w:val="single" w:color="999999" w:sz="4" w:space="0"/>
              <w:right w:val="single" w:color="999999" w:sz="4" w:space="0"/>
            </w:tcBorders>
          </w:tcPr>
          <w:p w14:paraId="19A12B69">
            <w:pPr>
              <w:spacing w:after="0"/>
            </w:pPr>
            <w:r>
              <w:rPr>
                <w:rFonts w:ascii="Times New Roman" w:hAnsi="Times New Roman" w:eastAsia="Times New Roman" w:cs="Times New Roman"/>
                <w:sz w:val="19"/>
                <w:szCs w:val="19"/>
              </w:rPr>
              <w:t>Funding</w:t>
            </w:r>
          </w:p>
        </w:tc>
        <w:tc>
          <w:tcPr>
            <w:tcW w:w="4738" w:type="dxa"/>
            <w:tcBorders>
              <w:top w:val="single" w:color="999999" w:sz="4" w:space="0"/>
              <w:left w:val="single" w:color="999999" w:sz="4" w:space="0"/>
              <w:bottom w:val="single" w:color="999999" w:sz="4" w:space="0"/>
              <w:right w:val="single" w:color="999999" w:sz="4" w:space="0"/>
            </w:tcBorders>
          </w:tcPr>
          <w:p w14:paraId="7765E22D">
            <w:pPr>
              <w:spacing w:after="0"/>
            </w:pPr>
            <w:r>
              <w:rPr>
                <w:rFonts w:ascii="Times New Roman" w:hAnsi="Times New Roman" w:eastAsia="Times New Roman" w:cs="Times New Roman"/>
                <w:sz w:val="19"/>
                <w:szCs w:val="19"/>
              </w:rPr>
              <w:t>Describe sources of funding and the role of funders, and, if applicable, funding for the underlying databases or original studies.</w:t>
            </w:r>
          </w:p>
        </w:tc>
        <w:tc>
          <w:tcPr>
            <w:tcW w:w="3296" w:type="dxa"/>
            <w:tcBorders>
              <w:top w:val="single" w:color="999999" w:sz="4" w:space="0"/>
              <w:left w:val="single" w:color="999999" w:sz="4" w:space="0"/>
              <w:bottom w:val="single" w:color="999999" w:sz="4" w:space="0"/>
              <w:right w:val="single" w:color="999999" w:sz="4" w:space="0"/>
            </w:tcBorders>
          </w:tcPr>
          <w:p w14:paraId="09369B48">
            <w:pPr>
              <w:spacing w:after="0"/>
            </w:pPr>
            <w:r>
              <w:rPr>
                <w:rFonts w:ascii="Times New Roman" w:hAnsi="Times New Roman" w:eastAsia="Times New Roman" w:cs="Times New Roman"/>
                <w:i/>
                <w:iCs/>
                <w:sz w:val="19"/>
                <w:szCs w:val="19"/>
              </w:rPr>
              <w:t>Declarations, 'Funding': no specific funding received. (p. 10)</w:t>
            </w:r>
          </w:p>
        </w:tc>
      </w:tr>
      <w:tr w14:paraId="7572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0083430F">
            <w:pPr>
              <w:spacing w:after="0"/>
            </w:pPr>
            <w:r>
              <w:rPr>
                <w:rFonts w:ascii="Times New Roman" w:hAnsi="Times New Roman" w:eastAsia="Times New Roman" w:cs="Times New Roman"/>
                <w:b/>
                <w:bCs/>
                <w:sz w:val="19"/>
                <w:szCs w:val="19"/>
              </w:rPr>
              <w:t>19</w:t>
            </w:r>
          </w:p>
        </w:tc>
        <w:tc>
          <w:tcPr>
            <w:tcW w:w="1648" w:type="dxa"/>
            <w:tcBorders>
              <w:top w:val="single" w:color="999999" w:sz="4" w:space="0"/>
              <w:left w:val="single" w:color="999999" w:sz="4" w:space="0"/>
              <w:bottom w:val="single" w:color="999999" w:sz="4" w:space="0"/>
              <w:right w:val="single" w:color="999999" w:sz="4" w:space="0"/>
            </w:tcBorders>
          </w:tcPr>
          <w:p w14:paraId="6062A426">
            <w:pPr>
              <w:spacing w:after="0"/>
            </w:pPr>
            <w:r>
              <w:rPr>
                <w:rFonts w:ascii="Times New Roman" w:hAnsi="Times New Roman" w:eastAsia="Times New Roman" w:cs="Times New Roman"/>
                <w:sz w:val="19"/>
                <w:szCs w:val="19"/>
              </w:rPr>
              <w:t>Data and data sharing</w:t>
            </w:r>
          </w:p>
        </w:tc>
        <w:tc>
          <w:tcPr>
            <w:tcW w:w="4738" w:type="dxa"/>
            <w:tcBorders>
              <w:top w:val="single" w:color="999999" w:sz="4" w:space="0"/>
              <w:left w:val="single" w:color="999999" w:sz="4" w:space="0"/>
              <w:bottom w:val="single" w:color="999999" w:sz="4" w:space="0"/>
              <w:right w:val="single" w:color="999999" w:sz="4" w:space="0"/>
            </w:tcBorders>
          </w:tcPr>
          <w:p w14:paraId="3383A479">
            <w:pPr>
              <w:spacing w:after="0"/>
            </w:pPr>
            <w:r>
              <w:rPr>
                <w:rFonts w:ascii="Times New Roman" w:hAnsi="Times New Roman" w:eastAsia="Times New Roman" w:cs="Times New Roman"/>
                <w:sz w:val="19"/>
                <w:szCs w:val="19"/>
              </w:rPr>
              <w:t>Provide the data used, or report where and how it can be accessed, and reference these sources. Provide the statistical code to reproduce the results, or state where it is publicly accessible.</w:t>
            </w:r>
          </w:p>
        </w:tc>
        <w:tc>
          <w:tcPr>
            <w:tcW w:w="3296" w:type="dxa"/>
            <w:tcBorders>
              <w:top w:val="single" w:color="999999" w:sz="4" w:space="0"/>
              <w:left w:val="single" w:color="999999" w:sz="4" w:space="0"/>
              <w:bottom w:val="single" w:color="999999" w:sz="4" w:space="0"/>
              <w:right w:val="single" w:color="999999" w:sz="4" w:space="0"/>
            </w:tcBorders>
          </w:tcPr>
          <w:p w14:paraId="126E7754">
            <w:pPr>
              <w:spacing w:after="0"/>
            </w:pPr>
            <w:r>
              <w:rPr>
                <w:rFonts w:ascii="Times New Roman" w:hAnsi="Times New Roman" w:eastAsia="Times New Roman" w:cs="Times New Roman"/>
                <w:i/>
                <w:iCs/>
                <w:sz w:val="19"/>
                <w:szCs w:val="19"/>
              </w:rPr>
              <w:t>Declarations, 'Availability of data and materials': IEU OpenGWAS ids ebi-a-GCST90000618 and ebi-a-GCST90038710; code and results at Zenodo, DOI 10.5281/zenodo.20751221. (p. 10)</w:t>
            </w:r>
          </w:p>
        </w:tc>
      </w:tr>
      <w:tr w14:paraId="5F61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8" w:type="dxa"/>
            <w:tcBorders>
              <w:top w:val="single" w:color="999999" w:sz="4" w:space="0"/>
              <w:left w:val="single" w:color="999999" w:sz="4" w:space="0"/>
              <w:bottom w:val="single" w:color="999999" w:sz="4" w:space="0"/>
              <w:right w:val="single" w:color="999999" w:sz="4" w:space="0"/>
            </w:tcBorders>
          </w:tcPr>
          <w:p w14:paraId="49A0707A">
            <w:pPr>
              <w:spacing w:after="0"/>
            </w:pPr>
            <w:r>
              <w:rPr>
                <w:rFonts w:ascii="Times New Roman" w:hAnsi="Times New Roman" w:eastAsia="Times New Roman" w:cs="Times New Roman"/>
                <w:b/>
                <w:bCs/>
                <w:sz w:val="19"/>
                <w:szCs w:val="19"/>
              </w:rPr>
              <w:t>20</w:t>
            </w:r>
          </w:p>
        </w:tc>
        <w:tc>
          <w:tcPr>
            <w:tcW w:w="1648" w:type="dxa"/>
            <w:tcBorders>
              <w:top w:val="single" w:color="999999" w:sz="4" w:space="0"/>
              <w:left w:val="single" w:color="999999" w:sz="4" w:space="0"/>
              <w:bottom w:val="single" w:color="999999" w:sz="4" w:space="0"/>
              <w:right w:val="single" w:color="999999" w:sz="4" w:space="0"/>
            </w:tcBorders>
          </w:tcPr>
          <w:p w14:paraId="0226EE16">
            <w:pPr>
              <w:spacing w:after="0"/>
            </w:pPr>
            <w:r>
              <w:rPr>
                <w:rFonts w:ascii="Times New Roman" w:hAnsi="Times New Roman" w:eastAsia="Times New Roman" w:cs="Times New Roman"/>
                <w:sz w:val="19"/>
                <w:szCs w:val="19"/>
              </w:rPr>
              <w:t>Conflicts of interest</w:t>
            </w:r>
          </w:p>
        </w:tc>
        <w:tc>
          <w:tcPr>
            <w:tcW w:w="4738" w:type="dxa"/>
            <w:tcBorders>
              <w:top w:val="single" w:color="999999" w:sz="4" w:space="0"/>
              <w:left w:val="single" w:color="999999" w:sz="4" w:space="0"/>
              <w:bottom w:val="single" w:color="999999" w:sz="4" w:space="0"/>
              <w:right w:val="single" w:color="999999" w:sz="4" w:space="0"/>
            </w:tcBorders>
          </w:tcPr>
          <w:p w14:paraId="48989CA6">
            <w:pPr>
              <w:spacing w:after="0"/>
            </w:pPr>
            <w:r>
              <w:rPr>
                <w:rFonts w:ascii="Times New Roman" w:hAnsi="Times New Roman" w:eastAsia="Times New Roman" w:cs="Times New Roman"/>
                <w:sz w:val="19"/>
                <w:szCs w:val="19"/>
              </w:rPr>
              <w:t>All authors should declare all potential conflicts of interest.</w:t>
            </w:r>
          </w:p>
        </w:tc>
        <w:tc>
          <w:tcPr>
            <w:tcW w:w="3296" w:type="dxa"/>
            <w:tcBorders>
              <w:top w:val="single" w:color="999999" w:sz="4" w:space="0"/>
              <w:left w:val="single" w:color="999999" w:sz="4" w:space="0"/>
              <w:bottom w:val="single" w:color="999999" w:sz="4" w:space="0"/>
              <w:right w:val="single" w:color="999999" w:sz="4" w:space="0"/>
            </w:tcBorders>
          </w:tcPr>
          <w:p w14:paraId="7E9F027E">
            <w:pPr>
              <w:spacing w:after="0"/>
            </w:pPr>
            <w:r>
              <w:rPr>
                <w:rFonts w:ascii="Times New Roman" w:hAnsi="Times New Roman" w:eastAsia="Times New Roman" w:cs="Times New Roman"/>
                <w:i/>
                <w:iCs/>
                <w:sz w:val="19"/>
                <w:szCs w:val="19"/>
              </w:rPr>
              <w:t>Declarations, 'Competing interests': the author declares no competing interests. (p. 10)</w:t>
            </w:r>
          </w:p>
        </w:tc>
      </w:tr>
    </w:tbl>
    <w:p w14:paraId="01673561">
      <w:pPr>
        <w:spacing w:before="200" w:after="40"/>
      </w:pPr>
      <w:r>
        <w:rPr>
          <w:rFonts w:ascii="Times New Roman" w:hAnsi="Times New Roman" w:eastAsia="Times New Roman" w:cs="Times New Roman"/>
          <w:b/>
          <w:bCs/>
          <w:sz w:val="20"/>
          <w:szCs w:val="20"/>
        </w:rPr>
        <w:t>Reference</w:t>
      </w:r>
    </w:p>
    <w:p w14:paraId="2289DAEE">
      <w:r>
        <w:rPr>
          <w:rFonts w:ascii="Times New Roman" w:hAnsi="Times New Roman" w:eastAsia="Times New Roman" w:cs="Times New Roman"/>
          <w:sz w:val="18"/>
          <w:szCs w:val="18"/>
        </w:rPr>
        <w:t>Skrivankova VW, Richmond RC, Woolf BAR, Davies NM, Swanson SA, VanderWeele TJ, et al. Strengthening the Reporting of Observational Studies in Epidemiology using Mendelian Randomization (STROBE-MR): explanation and elaboration. BMJ. 2021;375:n2233. The checklist is distributed under the Creative Commons Attribution 3.0 (CC BY 3.0) licence.</w:t>
      </w:r>
    </w:p>
    <w:sectPr>
      <w:pgSz w:w="12240" w:h="15840"/>
      <w:pgMar w:top="1000" w:right="1000" w:bottom="1000" w:left="10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8"/>
  <w:displayBackgroundShape w:val="1"/>
  <w:documentProtection w:enforcement="0"/>
  <w:compat>
    <w:compatSetting w:name="compatibilityMode" w:uri="http://schemas.microsoft.com/office/word" w:val="15"/>
  </w:compat>
  <w:rsids>
    <w:rsidRoot w:val="00000000"/>
    <w:rsid w:val="FFFFEC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0"/>
      <w:szCs w:val="20"/>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0"/>
      <w:szCs w:val="20"/>
    </w:rPr>
  </w:style>
  <w:style w:type="paragraph" w:styleId="6">
    <w:name w:val="heading 5"/>
    <w:next w:val="1"/>
    <w:qFormat/>
    <w:uiPriority w:val="0"/>
    <w:rPr>
      <w:rFonts w:ascii="Times New Roman" w:hAnsi="Times New Roman" w:eastAsia="Times New Roman" w:cs="Times New Roman"/>
      <w:color w:val="2E74B5"/>
      <w:sz w:val="20"/>
      <w:szCs w:val="20"/>
    </w:rPr>
  </w:style>
  <w:style w:type="paragraph" w:styleId="7">
    <w:name w:val="heading 6"/>
    <w:next w:val="1"/>
    <w:qFormat/>
    <w:uiPriority w:val="0"/>
    <w:rPr>
      <w:rFonts w:ascii="Times New Roman" w:hAnsi="Times New Roman" w:eastAsia="Times New Roman" w:cs="Times New Roman"/>
      <w:color w:val="1F4D78"/>
      <w:sz w:val="20"/>
      <w:szCs w:val="20"/>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character" w:styleId="14">
    <w:name w:val="Hyperlink"/>
    <w:unhideWhenUsed/>
    <w:uiPriority w:val="99"/>
    <w:rPr>
      <w:color w:val="0563C1"/>
      <w:u w:val="single"/>
    </w:rPr>
  </w:style>
  <w:style w:type="paragraph" w:styleId="15">
    <w:name w:val="Title"/>
    <w:qFormat/>
    <w:uiPriority w:val="0"/>
    <w:rPr>
      <w:rFonts w:ascii="Times New Roman" w:hAnsi="Times New Roman" w:eastAsia="Times New Roman" w:cs="Times New Roman"/>
      <w:sz w:val="56"/>
      <w:szCs w:val="56"/>
    </w:rPr>
  </w:style>
  <w:style w:type="paragraph" w:styleId="16">
    <w:name w:val="List Paragraph"/>
    <w:qFormat/>
    <w:uiPriority w:val="0"/>
    <w:rPr>
      <w:rFonts w:ascii="Times New Roman" w:hAnsi="Times New Roman" w:eastAsia="Times New Roman" w:cs="Times New Roman"/>
      <w:sz w:val="20"/>
      <w:szCs w:val="20"/>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Office_12.1.25897.25897_F1E327BC-269C-435d-A152-05C5408002CA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Kaweesi Calvin</cp:lastModifiedBy>
  <dcterms:modified xsi:type="dcterms:W3CDTF">2026-06-23T08:26:58Z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1033-12.1.25897.25897</vt:lpwstr>
  </property>
  <property fmtid="{D5CDD505-2E9C-101B-9397-08002B2CF9AE}" pid="3" name="ICV">
    <vt:lpwstr>0A4C3F44AFD5093F22193A6A66C29539_42</vt:lpwstr>
  </property>
</Properties>
</file>