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0F5BD">
      <w:pPr>
        <w:spacing w:line="240" w:lineRule="auto"/>
        <w:ind w:firstLine="0" w:firstLineChars="0"/>
        <w:jc w:val="left"/>
        <w:rPr>
          <w:rFonts w:ascii="Times New Roman" w:hAnsi="Times New Roman" w:eastAsia="宋体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</w:rPr>
        <w:t>.1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i w:val="0"/>
          <w:iCs w:val="0"/>
          <w:sz w:val="24"/>
          <w:szCs w:val="24"/>
        </w:rPr>
        <w:t>Cross-time window exploration of differences in the activation levels of whole-brain areas of interest (HbO) between the expert group and the novice group across the four experimental blocks.</w:t>
      </w:r>
    </w:p>
    <w:tbl>
      <w:tblPr>
        <w:tblStyle w:val="3"/>
        <w:tblW w:w="9732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0"/>
        <w:gridCol w:w="1174"/>
        <w:gridCol w:w="1764"/>
        <w:gridCol w:w="1774"/>
        <w:gridCol w:w="1498"/>
        <w:gridCol w:w="1502"/>
      </w:tblGrid>
      <w:tr w14:paraId="790876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044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BAA7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 xml:space="preserve">Region of Interest </w:t>
            </w:r>
          </w:p>
          <w:p w14:paraId="14000E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>(ROI)</w:t>
            </w:r>
          </w:p>
        </w:tc>
        <w:tc>
          <w:tcPr>
            <w:tcW w:w="950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FAF1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>HbO activation index</w:t>
            </w:r>
          </w:p>
        </w:tc>
        <w:tc>
          <w:tcPr>
            <w:tcW w:w="1784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D49F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>Block1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t/Z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 xml:space="preserve"> value, original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 xml:space="preserve">, FDR corrected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795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B7A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>Block2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t/Z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 xml:space="preserve"> value, original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 xml:space="preserve">, FDR corrected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510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923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>Block3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t/Z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 xml:space="preserve"> value, original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 xml:space="preserve">, FDR corrected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514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BC31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>Block4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t/Z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 xml:space="preserve"> value, original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 xml:space="preserve">, FDR corrected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14:paraId="07036D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6434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DLPFC</w:t>
            </w:r>
          </w:p>
        </w:tc>
        <w:tc>
          <w:tcPr>
            <w:tcW w:w="95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F60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peak</w:t>
            </w:r>
          </w:p>
        </w:tc>
        <w:tc>
          <w:tcPr>
            <w:tcW w:w="1784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5A4F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0.52,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.610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.610)</w:t>
            </w:r>
          </w:p>
        </w:tc>
        <w:tc>
          <w:tcPr>
            <w:tcW w:w="179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6F78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0.42,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.678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.836)</w:t>
            </w:r>
          </w:p>
        </w:tc>
        <w:tc>
          <w:tcPr>
            <w:tcW w:w="151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3587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0.94,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.354 (FDR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.641)</w:t>
            </w:r>
          </w:p>
        </w:tc>
        <w:tc>
          <w:tcPr>
            <w:tcW w:w="1514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6172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0.21,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.834 (FDR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.962)</w:t>
            </w:r>
          </w:p>
        </w:tc>
      </w:tr>
      <w:tr w14:paraId="3C8D38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5D07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A3E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mean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4826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= 0.27,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.793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.793)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BD4C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-0.63,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.537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.805)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EBFF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0.06,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.951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.968)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65EB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-0.16,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.878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(FDR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.988)</w:t>
            </w:r>
          </w:p>
        </w:tc>
      </w:tr>
      <w:tr w14:paraId="6FC0ED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D570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VLPFC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14B5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peak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321B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-2.04,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.042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.355)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23C2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-3.51,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.001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.009)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>**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AA4F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-0.72,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.474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(FDR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.995)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7A13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0.05,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= .962 (FDR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.962)</w:t>
            </w:r>
          </w:p>
        </w:tc>
      </w:tr>
      <w:tr w14:paraId="2041AC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2951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F84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mean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0873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0.43,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.674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.793)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0941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-2.89,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.007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.040)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4"/>
                <w:szCs w:val="24"/>
              </w:rPr>
              <w:t>*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EE06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-0.79,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.429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(FDR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.968)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4587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0.08,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.940 (FDR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.988)</w:t>
            </w:r>
          </w:p>
        </w:tc>
      </w:tr>
      <w:tr w14:paraId="1E049A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B401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FPA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593F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peak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9F84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-1.55,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.122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.355)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72A5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0.57,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.572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.836)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118D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1.13,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.267 (FDR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.641)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1B40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1.33,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.193 (FDR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.751)</w:t>
            </w:r>
          </w:p>
        </w:tc>
      </w:tr>
      <w:tr w14:paraId="109955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E997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31D2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mean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1A18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1.73,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.097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.563)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F964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-0.74,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.464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.805)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43B5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-0.04,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.968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(FDR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.968)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6536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-1.24,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.214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(FDR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.988)</w:t>
            </w:r>
          </w:p>
        </w:tc>
      </w:tr>
      <w:tr w14:paraId="1747E2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6CD7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PMC/SMA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52F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peak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D400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-1.96,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.050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.610)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F2EB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1.92,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.055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.110)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0870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0.63,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.534 (FDR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= .641)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8581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-1.17,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.250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.751)</w:t>
            </w:r>
          </w:p>
        </w:tc>
      </w:tr>
      <w:tr w14:paraId="553846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8AC7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DA0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mean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B182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-0.64,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.522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.793)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B105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-2.63,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.013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.040)*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F014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-0.83,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.407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.968)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1961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0.68,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.498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.988)</w:t>
            </w:r>
          </w:p>
        </w:tc>
      </w:tr>
      <w:tr w14:paraId="6B6ADD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6BA8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OFC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DEC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peak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6E05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-0.83,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.407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.567)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8FCB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-0.45,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.651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.836)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3B82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Z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-0.38,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.706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.641)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D329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0.42,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.678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.901)</w:t>
            </w:r>
          </w:p>
        </w:tc>
      </w:tr>
      <w:tr w14:paraId="31E40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D106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C65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mean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F8C8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0.60,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.552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.793)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E861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-0.34,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.734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.857)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BB81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0.09,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.933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.968)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11A2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0.02,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.988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.988)</w:t>
            </w:r>
          </w:p>
        </w:tc>
      </w:tr>
      <w:tr w14:paraId="36CE95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3106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Other motor sensory areas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8808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peak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8923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-2.07,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.038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.355)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E1E8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-0.78,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.440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.836)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5CCB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0.08,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.940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.641)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BD17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0.49,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.624 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 .901)</w:t>
            </w:r>
          </w:p>
        </w:tc>
      </w:tr>
      <w:tr w14:paraId="72FB49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04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0B51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0D3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mean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E31D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-1.09,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.274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.793)</w:t>
            </w:r>
          </w:p>
        </w:tc>
        <w:tc>
          <w:tcPr>
            <w:tcW w:w="1795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BC92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-0.28,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.782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.857)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1676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-1.05,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.303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.968)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8290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-0.27,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.788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(FDR 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</w:rPr>
              <w:t>.988)</w:t>
            </w:r>
          </w:p>
        </w:tc>
      </w:tr>
    </w:tbl>
    <w:p w14:paraId="2D5045D8">
      <w:pPr>
        <w:spacing w:line="240" w:lineRule="auto"/>
        <w:jc w:val="lef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Note: DLPFC = dorsolateral prefrontal cortex; VLPFC = ventrolateral prefrontal cortex; FPA = frontal pole; PMC/SMA = primary motor cortex and supplementary motor cortex; OFC = orbitofrontal cortex. The table cells report the test statistics and significance levels for the intergroup comparisons. On the basis of the normality distribution characteristics of each indicator, independent samples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bidi="ar"/>
        </w:rPr>
        <w:t>t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 tests (corresponding to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bidi="ar"/>
        </w:rPr>
        <w:t>t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 values) or Mann‒Whitney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bidi="ar"/>
        </w:rPr>
        <w:t>U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 tests (corresponding to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bidi="ar"/>
        </w:rPr>
        <w:t>Z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 values) were used. The FDR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bidi="ar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 in parentheses represents the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bidi="ar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 value corrected for multiple comparisons after controlling for false positives using the Benjamini‒Hochberg method. Bold cells with an asterisk indicate significant intergroup differences within that brain region (*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bidi="ar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 &lt; .05, **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bidi="ar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 &lt; .01; the significance level here is based on the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bidi="ar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 value corrected for the FDR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bidi="ar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).</w:t>
      </w:r>
    </w:p>
    <w:p w14:paraId="2F402AE9">
      <w:pPr>
        <w:spacing w:line="240" w:lineRule="auto"/>
        <w:ind w:firstLine="0" w:firstLineChars="0"/>
        <w:jc w:val="left"/>
        <w:rPr>
          <w:rFonts w:ascii="Times New Roman" w:hAnsi="Times New Roman" w:eastAsia="宋体" w:cs="Times New Roman"/>
          <w:b/>
          <w:bCs/>
          <w:i w:val="0"/>
          <w:iCs w:val="0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650F94"/>
    <w:rsid w:val="0BD602EA"/>
    <w:rsid w:val="0F4166EC"/>
    <w:rsid w:val="126A32DB"/>
    <w:rsid w:val="2BF84971"/>
    <w:rsid w:val="587363AB"/>
    <w:rsid w:val="63EF70E1"/>
    <w:rsid w:val="70650F94"/>
    <w:rsid w:val="7BEC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699</Words>
  <Characters>2360</Characters>
  <Lines>0</Lines>
  <Paragraphs>0</Paragraphs>
  <TotalTime>26</TotalTime>
  <ScaleCrop>false</ScaleCrop>
  <LinksUpToDate>false</LinksUpToDate>
  <CharactersWithSpaces>2995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2026-04-16T10:28:00Z</dcterms:created>
  <dc:creator>李破晓</dc:creator>
  <cp:lastModifiedBy>李破晓</cp:lastModifiedBy>
  <dcterms:modified xsi:type="dcterms:W3CDTF">2026-06-23T00:54:25Z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7D63A2ACA9904B47A13C90C5D740ADA1_11</vt:lpwstr>
  </property>
  <property fmtid="{D5CDD505-2E9C-101B-9397-08002B2CF9AE}" pid="4" name="KSOTemplateDocerSaveRecord">
    <vt:lpwstr>eyJoZGlkIjoiOTFiYTY0MmE5NGI1MmE1MmRkMTIyOGY5MDU1NzQzYTkiLCJ1c2VySWQiOiI3Mzk1NzI1OTIifQ==</vt:lpwstr>
  </property>
</Properties>
</file>