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STROBE Checklist Draft for Observational Case Series</w:t>
      </w:r>
    </w:p>
    <w:p>
      <w:r>
        <w:t>Manuscript: Clinical Outcomes of GPS Leukocyte-Rich Platelet-Rich Plasma Injection for Kellgren-Lawrence Grade II-III Knee Osteoarthritis: A Real-World 1-Year Case Series From Japan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STROBE item</w:t>
            </w:r>
          </w:p>
        </w:tc>
        <w:tc>
          <w:tcPr>
            <w:tcW w:type="dxa" w:w="2880"/>
          </w:tcPr>
          <w:p>
            <w:r>
              <w:t>Location</w:t>
            </w:r>
          </w:p>
        </w:tc>
        <w:tc>
          <w:tcPr>
            <w:tcW w:type="dxa" w:w="2880"/>
          </w:tcPr>
          <w:p>
            <w:r>
              <w:t>How addressed</w:t>
            </w:r>
          </w:p>
        </w:tc>
      </w:tr>
      <w:tr>
        <w:tc>
          <w:tcPr>
            <w:tcW w:type="dxa" w:w="2880"/>
          </w:tcPr>
          <w:p>
            <w:r>
              <w:t>Title/abstract</w:t>
            </w:r>
          </w:p>
        </w:tc>
        <w:tc>
          <w:tcPr>
            <w:tcW w:type="dxa" w:w="2880"/>
          </w:tcPr>
          <w:p>
            <w:r>
              <w:t>Title, Abstract</w:t>
            </w:r>
          </w:p>
        </w:tc>
        <w:tc>
          <w:tcPr>
            <w:tcW w:type="dxa" w:w="2880"/>
          </w:tcPr>
          <w:p>
            <w:r>
              <w:t>Study design and main findings reported in title/abstract.</w:t>
            </w:r>
          </w:p>
        </w:tc>
      </w:tr>
      <w:tr>
        <w:tc>
          <w:tcPr>
            <w:tcW w:type="dxa" w:w="2880"/>
          </w:tcPr>
          <w:p>
            <w:r>
              <w:t>Background/rationale</w:t>
            </w:r>
          </w:p>
        </w:tc>
        <w:tc>
          <w:tcPr>
            <w:tcW w:type="dxa" w:w="2880"/>
          </w:tcPr>
          <w:p>
            <w:r>
              <w:t>Introduction</w:t>
            </w:r>
          </w:p>
        </w:tc>
        <w:tc>
          <w:tcPr>
            <w:tcW w:type="dxa" w:w="2880"/>
          </w:tcPr>
          <w:p>
            <w:r>
              <w:t>Japanese knee OA/locomotive syndrome and nonoperative biologic treatment rationale described.</w:t>
            </w:r>
          </w:p>
        </w:tc>
      </w:tr>
      <w:tr>
        <w:tc>
          <w:tcPr>
            <w:tcW w:type="dxa" w:w="2880"/>
          </w:tcPr>
          <w:p>
            <w:r>
              <w:t>Objectives</w:t>
            </w:r>
          </w:p>
        </w:tc>
        <w:tc>
          <w:tcPr>
            <w:tcW w:type="dxa" w:w="2880"/>
          </w:tcPr>
          <w:p>
            <w:r>
              <w:t>Introduction</w:t>
            </w:r>
          </w:p>
        </w:tc>
        <w:tc>
          <w:tcPr>
            <w:tcW w:type="dxa" w:w="2880"/>
          </w:tcPr>
          <w:p>
            <w:r>
              <w:t>Purpose stated: evaluate 1-year GPS L-PRP outcomes for KL II-III knee OA.</w:t>
            </w:r>
          </w:p>
        </w:tc>
      </w:tr>
      <w:tr>
        <w:tc>
          <w:tcPr>
            <w:tcW w:type="dxa" w:w="2880"/>
          </w:tcPr>
          <w:p>
            <w:r>
              <w:t>Study design</w:t>
            </w:r>
          </w:p>
        </w:tc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Retrospective real-world complete-case case series.</w:t>
            </w:r>
          </w:p>
        </w:tc>
      </w:tr>
      <w:tr>
        <w:tc>
          <w:tcPr>
            <w:tcW w:type="dxa" w:w="2880"/>
          </w:tcPr>
          <w:p>
            <w:r>
              <w:t>Setting</w:t>
            </w:r>
          </w:p>
        </w:tc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Single orthopaedic hospital in Japan; baseline and 1-year follow-up.</w:t>
            </w:r>
          </w:p>
        </w:tc>
      </w:tr>
      <w:tr>
        <w:tc>
          <w:tcPr>
            <w:tcW w:type="dxa" w:w="2880"/>
          </w:tcPr>
          <w:p>
            <w:r>
              <w:t>Participants</w:t>
            </w:r>
          </w:p>
        </w:tc>
        <w:tc>
          <w:tcPr>
            <w:tcW w:type="dxa" w:w="2880"/>
          </w:tcPr>
          <w:p>
            <w:r>
              <w:t>Methods/Results</w:t>
            </w:r>
          </w:p>
        </w:tc>
        <w:tc>
          <w:tcPr>
            <w:tcW w:type="dxa" w:w="2880"/>
          </w:tcPr>
          <w:p>
            <w:r>
              <w:t>KL II-III knee OA; complete paired GPS cohort of 15 patients/knees.</w:t>
            </w:r>
          </w:p>
        </w:tc>
      </w:tr>
      <w:tr>
        <w:tc>
          <w:tcPr>
            <w:tcW w:type="dxa" w:w="2880"/>
          </w:tcPr>
          <w:p>
            <w:r>
              <w:t>Variables</w:t>
            </w:r>
          </w:p>
        </w:tc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NRS, KOOS domains, responder analysis, satisfaction, adverse events.</w:t>
            </w:r>
          </w:p>
        </w:tc>
      </w:tr>
      <w:tr>
        <w:tc>
          <w:tcPr>
            <w:tcW w:type="dxa" w:w="2880"/>
          </w:tcPr>
          <w:p>
            <w:r>
              <w:t>Data sources/measurement</w:t>
            </w:r>
          </w:p>
        </w:tc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X-P, MRI, questionnaires, clinical records.</w:t>
            </w:r>
          </w:p>
        </w:tc>
      </w:tr>
      <w:tr>
        <w:tc>
          <w:tcPr>
            <w:tcW w:type="dxa" w:w="2880"/>
          </w:tcPr>
          <w:p>
            <w:r>
              <w:t>Bias</w:t>
            </w:r>
          </w:p>
        </w:tc>
        <w:tc>
          <w:tcPr>
            <w:tcW w:type="dxa" w:w="2880"/>
          </w:tcPr>
          <w:p>
            <w:r>
              <w:t>Limitations</w:t>
            </w:r>
          </w:p>
        </w:tc>
        <w:tc>
          <w:tcPr>
            <w:tcW w:type="dxa" w:w="2880"/>
          </w:tcPr>
          <w:p>
            <w:r>
              <w:t>Retrospective design, complete-case analysis, no control group.</w:t>
            </w:r>
          </w:p>
        </w:tc>
      </w:tr>
      <w:tr>
        <w:tc>
          <w:tcPr>
            <w:tcW w:type="dxa" w:w="2880"/>
          </w:tcPr>
          <w:p>
            <w:r>
              <w:t>Study size</w:t>
            </w:r>
          </w:p>
        </w:tc>
        <w:tc>
          <w:tcPr>
            <w:tcW w:type="dxa" w:w="2880"/>
          </w:tcPr>
          <w:p>
            <w:r>
              <w:t>Methods/Limitations</w:t>
            </w:r>
          </w:p>
        </w:tc>
        <w:tc>
          <w:tcPr>
            <w:tcW w:type="dxa" w:w="2880"/>
          </w:tcPr>
          <w:p>
            <w:r>
              <w:t>Available complete paired cohort; no formal sample-size calculation.</w:t>
            </w:r>
          </w:p>
        </w:tc>
      </w:tr>
      <w:tr>
        <w:tc>
          <w:tcPr>
            <w:tcW w:type="dxa" w:w="2880"/>
          </w:tcPr>
          <w:p>
            <w:r>
              <w:t>Quantitative variables</w:t>
            </w:r>
          </w:p>
        </w:tc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Continuous outcomes summarized as mean ± SD; KOOS transformed to 0-100.</w:t>
            </w:r>
          </w:p>
        </w:tc>
      </w:tr>
      <w:tr>
        <w:tc>
          <w:tcPr>
            <w:tcW w:type="dxa" w:w="2880"/>
          </w:tcPr>
          <w:p>
            <w:r>
              <w:t>Statistical methods</w:t>
            </w:r>
          </w:p>
        </w:tc>
        <w:tc>
          <w:tcPr>
            <w:tcW w:type="dxa" w:w="2880"/>
          </w:tcPr>
          <w:p>
            <w:r>
              <w:t>Methods</w:t>
            </w:r>
          </w:p>
        </w:tc>
        <w:tc>
          <w:tcPr>
            <w:tcW w:type="dxa" w:w="2880"/>
          </w:tcPr>
          <w:p>
            <w:r>
              <w:t>Wilcoxon signed-rank test and paired t-test; P&lt;.05.</w:t>
            </w:r>
          </w:p>
        </w:tc>
      </w:tr>
      <w:tr>
        <w:tc>
          <w:tcPr>
            <w:tcW w:type="dxa" w:w="2880"/>
          </w:tcPr>
          <w:p>
            <w:r>
              <w:t>Participants/results</w:t>
            </w:r>
          </w:p>
        </w:tc>
        <w:tc>
          <w:tcPr>
            <w:tcW w:type="dxa" w:w="2880"/>
          </w:tcPr>
          <w:p>
            <w:r>
              <w:t>Results/Figure 1</w:t>
            </w:r>
          </w:p>
        </w:tc>
        <w:tc>
          <w:tcPr>
            <w:tcW w:type="dxa" w:w="2880"/>
          </w:tcPr>
          <w:p>
            <w:r>
              <w:t>Study flow and cohort characteristics reported.</w:t>
            </w:r>
          </w:p>
        </w:tc>
      </w:tr>
      <w:tr>
        <w:tc>
          <w:tcPr>
            <w:tcW w:type="dxa" w:w="2880"/>
          </w:tcPr>
          <w:p>
            <w:r>
              <w:t>Descriptive data</w:t>
            </w:r>
          </w:p>
        </w:tc>
        <w:tc>
          <w:tcPr>
            <w:tcW w:type="dxa" w:w="2880"/>
          </w:tcPr>
          <w:p>
            <w:r>
              <w:t>Table 1/Table 2</w:t>
            </w:r>
          </w:p>
        </w:tc>
        <w:tc>
          <w:tcPr>
            <w:tcW w:type="dxa" w:w="2880"/>
          </w:tcPr>
          <w:p>
            <w:r>
              <w:t>Age, sex, KL distribution.</w:t>
            </w:r>
          </w:p>
        </w:tc>
      </w:tr>
      <w:tr>
        <w:tc>
          <w:tcPr>
            <w:tcW w:type="dxa" w:w="2880"/>
          </w:tcPr>
          <w:p>
            <w:r>
              <w:t>Outcome data/main results</w:t>
            </w:r>
          </w:p>
        </w:tc>
        <w:tc>
          <w:tcPr>
            <w:tcW w:type="dxa" w:w="2880"/>
          </w:tcPr>
          <w:p>
            <w:r>
              <w:t>Results/Table 3</w:t>
            </w:r>
          </w:p>
        </w:tc>
        <w:tc>
          <w:tcPr>
            <w:tcW w:type="dxa" w:w="2880"/>
          </w:tcPr>
          <w:p>
            <w:r>
              <w:t>NRS and KOOS results with P values.</w:t>
            </w:r>
          </w:p>
        </w:tc>
      </w:tr>
      <w:tr>
        <w:tc>
          <w:tcPr>
            <w:tcW w:type="dxa" w:w="2880"/>
          </w:tcPr>
          <w:p>
            <w:r>
              <w:t>Other analyses</w:t>
            </w:r>
          </w:p>
        </w:tc>
        <w:tc>
          <w:tcPr>
            <w:tcW w:type="dxa" w:w="2880"/>
          </w:tcPr>
          <w:p>
            <w:r>
              <w:t>Results/Figure 4</w:t>
            </w:r>
          </w:p>
        </w:tc>
        <w:tc>
          <w:tcPr>
            <w:tcW w:type="dxa" w:w="2880"/>
          </w:tcPr>
          <w:p>
            <w:r>
              <w:t>Responder analysis.</w:t>
            </w:r>
          </w:p>
        </w:tc>
      </w:tr>
      <w:tr>
        <w:tc>
          <w:tcPr>
            <w:tcW w:type="dxa" w:w="2880"/>
          </w:tcPr>
          <w:p>
            <w:r>
              <w:t>Limitations</w:t>
            </w:r>
          </w:p>
        </w:tc>
        <w:tc>
          <w:tcPr>
            <w:tcW w:type="dxa" w:w="2880"/>
          </w:tcPr>
          <w:p>
            <w:r>
              <w:t>Discussion</w:t>
            </w:r>
          </w:p>
        </w:tc>
        <w:tc>
          <w:tcPr>
            <w:tcW w:type="dxa" w:w="2880"/>
          </w:tcPr>
          <w:p>
            <w:r>
              <w:t>Small sample, no control, no blinding, heterogeneity, no platelet/leukocyte counts.</w:t>
            </w:r>
          </w:p>
        </w:tc>
      </w:tr>
      <w:tr>
        <w:tc>
          <w:tcPr>
            <w:tcW w:type="dxa" w:w="2880"/>
          </w:tcPr>
          <w:p>
            <w:r>
              <w:t>Interpretation</w:t>
            </w:r>
          </w:p>
        </w:tc>
        <w:tc>
          <w:tcPr>
            <w:tcW w:type="dxa" w:w="2880"/>
          </w:tcPr>
          <w:p>
            <w:r>
              <w:t>Discussion/Conclusion</w:t>
            </w:r>
          </w:p>
        </w:tc>
        <w:tc>
          <w:tcPr>
            <w:tcW w:type="dxa" w:w="2880"/>
          </w:tcPr>
          <w:p>
            <w:r>
              <w:t>Findings interpreted cautiously as real-world preliminary data.</w:t>
            </w:r>
          </w:p>
        </w:tc>
      </w:tr>
      <w:tr>
        <w:tc>
          <w:tcPr>
            <w:tcW w:type="dxa" w:w="2880"/>
          </w:tcPr>
          <w:p>
            <w:r>
              <w:t>Generalizability</w:t>
            </w:r>
          </w:p>
        </w:tc>
        <w:tc>
          <w:tcPr>
            <w:tcW w:type="dxa" w:w="2880"/>
          </w:tcPr>
          <w:p>
            <w:r>
              <w:t>Discussion</w:t>
            </w:r>
          </w:p>
        </w:tc>
        <w:tc>
          <w:tcPr>
            <w:tcW w:type="dxa" w:w="2880"/>
          </w:tcPr>
          <w:p>
            <w:r>
              <w:t>Applicable to selected KL II-III patients considering self-paid biologic treatment in Japan.</w:t>
            </w:r>
          </w:p>
        </w:tc>
      </w:tr>
      <w:tr>
        <w:tc>
          <w:tcPr>
            <w:tcW w:type="dxa" w:w="2880"/>
          </w:tcPr>
          <w:p>
            <w:r>
              <w:t>Funding</w:t>
            </w:r>
          </w:p>
        </w:tc>
        <w:tc>
          <w:tcPr>
            <w:tcW w:type="dxa" w:w="2880"/>
          </w:tcPr>
          <w:p>
            <w:r>
              <w:t>Declarations</w:t>
            </w:r>
          </w:p>
        </w:tc>
        <w:tc>
          <w:tcPr>
            <w:tcW w:type="dxa" w:w="2880"/>
          </w:tcPr>
          <w:p>
            <w:r>
              <w:t>No funding.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