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MIBO / PRP Reporting Summary Draft</w:t>
      </w:r>
    </w:p>
    <w:p>
      <w:r>
        <w:t>Manuscript: Clinical Outcomes of GPS Leukocyte-Rich Platelet-Rich Plasma Injection for Kellgren-Lawrence Grade II-III Knee Osteoarthritis: A Real-World 1-Year Case Series From Japan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Item</w:t>
            </w:r>
          </w:p>
        </w:tc>
        <w:tc>
          <w:tcPr>
            <w:tcW w:type="dxa" w:w="4320"/>
          </w:tcPr>
          <w:p>
            <w:r>
              <w:t>Reporting detail</w:t>
            </w:r>
          </w:p>
        </w:tc>
      </w:tr>
      <w:tr>
        <w:tc>
          <w:tcPr>
            <w:tcW w:type="dxa" w:w="4320"/>
          </w:tcPr>
          <w:p>
            <w:r>
              <w:t>Biologic product</w:t>
            </w:r>
          </w:p>
        </w:tc>
        <w:tc>
          <w:tcPr>
            <w:tcW w:type="dxa" w:w="4320"/>
          </w:tcPr>
          <w:p>
            <w:r>
              <w:t>Zimmer Biomet GPS III system; leukocyte-rich platelet-rich plasma (L-PRP) separation/extraction kit.</w:t>
            </w:r>
          </w:p>
        </w:tc>
      </w:tr>
      <w:tr>
        <w:tc>
          <w:tcPr>
            <w:tcW w:type="dxa" w:w="4320"/>
          </w:tcPr>
          <w:p>
            <w:r>
              <w:t>Manufacturer</w:t>
            </w:r>
          </w:p>
        </w:tc>
        <w:tc>
          <w:tcPr>
            <w:tcW w:type="dxa" w:w="4320"/>
          </w:tcPr>
          <w:p>
            <w:r>
              <w:t>Zimmer Biomet.</w:t>
            </w:r>
          </w:p>
        </w:tc>
      </w:tr>
      <w:tr>
        <w:tc>
          <w:tcPr>
            <w:tcW w:type="dxa" w:w="4320"/>
          </w:tcPr>
          <w:p>
            <w:r>
              <w:t>Autologous blood volume</w:t>
            </w:r>
          </w:p>
        </w:tc>
        <w:tc>
          <w:tcPr>
            <w:tcW w:type="dxa" w:w="4320"/>
          </w:tcPr>
          <w:p>
            <w:r>
              <w:t>GPS III STD manufacturer protocol: 52 mL autologous blood.</w:t>
            </w:r>
          </w:p>
        </w:tc>
      </w:tr>
      <w:tr>
        <w:tc>
          <w:tcPr>
            <w:tcW w:type="dxa" w:w="4320"/>
          </w:tcPr>
          <w:p>
            <w:r>
              <w:t>Anticoagulant</w:t>
            </w:r>
          </w:p>
        </w:tc>
        <w:tc>
          <w:tcPr>
            <w:tcW w:type="dxa" w:w="4320"/>
          </w:tcPr>
          <w:p>
            <w:r>
              <w:t>ACD-A 8 mL according to manufacturer information.</w:t>
            </w:r>
          </w:p>
        </w:tc>
      </w:tr>
      <w:tr>
        <w:tc>
          <w:tcPr>
            <w:tcW w:type="dxa" w:w="4320"/>
          </w:tcPr>
          <w:p>
            <w:r>
              <w:t>Processing</w:t>
            </w:r>
          </w:p>
        </w:tc>
        <w:tc>
          <w:tcPr>
            <w:tcW w:type="dxa" w:w="4320"/>
          </w:tcPr>
          <w:p>
            <w:r>
              <w:t>Closed system; centrifugation at 3200 rpm for 15 minutes according to manufacturer information.</w:t>
            </w:r>
          </w:p>
        </w:tc>
      </w:tr>
      <w:tr>
        <w:tc>
          <w:tcPr>
            <w:tcW w:type="dxa" w:w="4320"/>
          </w:tcPr>
          <w:p>
            <w:r>
              <w:t>Final product volume</w:t>
            </w:r>
          </w:p>
        </w:tc>
        <w:tc>
          <w:tcPr>
            <w:tcW w:type="dxa" w:w="4320"/>
          </w:tcPr>
          <w:p>
            <w:r>
              <w:t>Approximately 6 mL L-PRP according to manufacturer information.</w:t>
            </w:r>
          </w:p>
        </w:tc>
      </w:tr>
      <w:tr>
        <w:tc>
          <w:tcPr>
            <w:tcW w:type="dxa" w:w="4320"/>
          </w:tcPr>
          <w:p>
            <w:r>
              <w:t>Leukocyte content</w:t>
            </w:r>
          </w:p>
        </w:tc>
        <w:tc>
          <w:tcPr>
            <w:tcW w:type="dxa" w:w="4320"/>
          </w:tcPr>
          <w:p>
            <w:r>
              <w:t>Leukocyte-rich PRP by device type; measured leukocyte counts were not available in the retrospective dataset.</w:t>
            </w:r>
          </w:p>
        </w:tc>
      </w:tr>
      <w:tr>
        <w:tc>
          <w:tcPr>
            <w:tcW w:type="dxa" w:w="4320"/>
          </w:tcPr>
          <w:p>
            <w:r>
              <w:t>Platelet concentration/counts</w:t>
            </w:r>
          </w:p>
        </w:tc>
        <w:tc>
          <w:tcPr>
            <w:tcW w:type="dxa" w:w="4320"/>
          </w:tcPr>
          <w:p>
            <w:r>
              <w:t>Manufacturer describes platelet concentration/recovery; patient-specific platelet counts were not measured in this retrospective dataset.</w:t>
            </w:r>
          </w:p>
        </w:tc>
      </w:tr>
      <w:tr>
        <w:tc>
          <w:tcPr>
            <w:tcW w:type="dxa" w:w="4320"/>
          </w:tcPr>
          <w:p>
            <w:r>
              <w:t>Activation</w:t>
            </w:r>
          </w:p>
        </w:tc>
        <w:tc>
          <w:tcPr>
            <w:tcW w:type="dxa" w:w="4320"/>
          </w:tcPr>
          <w:p>
            <w:r>
              <w:t>No exogenous activation recorded.</w:t>
            </w:r>
          </w:p>
        </w:tc>
      </w:tr>
      <w:tr>
        <w:tc>
          <w:tcPr>
            <w:tcW w:type="dxa" w:w="4320"/>
          </w:tcPr>
          <w:p>
            <w:r>
              <w:t>Route/site</w:t>
            </w:r>
          </w:p>
        </w:tc>
        <w:tc>
          <w:tcPr>
            <w:tcW w:type="dxa" w:w="4320"/>
          </w:tcPr>
          <w:p>
            <w:r>
              <w:t>Intra-articular injection into the knee.</w:t>
            </w:r>
          </w:p>
        </w:tc>
      </w:tr>
      <w:tr>
        <w:tc>
          <w:tcPr>
            <w:tcW w:type="dxa" w:w="4320"/>
          </w:tcPr>
          <w:p>
            <w:r>
              <w:t>Number of injections</w:t>
            </w:r>
          </w:p>
        </w:tc>
        <w:tc>
          <w:tcPr>
            <w:tcW w:type="dxa" w:w="4320"/>
          </w:tcPr>
          <w:p>
            <w:r>
              <w:t>Initial GPS L-PRP injection; 1-year clinical evaluation.</w:t>
            </w:r>
          </w:p>
        </w:tc>
      </w:tr>
      <w:tr>
        <w:tc>
          <w:tcPr>
            <w:tcW w:type="dxa" w:w="4320"/>
          </w:tcPr>
          <w:p>
            <w:r>
              <w:t>Image guidance</w:t>
            </w:r>
          </w:p>
        </w:tc>
        <w:tc>
          <w:tcPr>
            <w:tcW w:type="dxa" w:w="4320"/>
          </w:tcPr>
          <w:p>
            <w:r>
              <w:t>Not recorded in the dataset; specify before submission if ultrasound/fluoroscopy was used.</w:t>
            </w:r>
          </w:p>
        </w:tc>
      </w:tr>
      <w:tr>
        <w:tc>
          <w:tcPr>
            <w:tcW w:type="dxa" w:w="4320"/>
          </w:tcPr>
          <w:p>
            <w:r>
              <w:t>Post-injection rehabilitation/medication restrictions</w:t>
            </w:r>
          </w:p>
        </w:tc>
        <w:tc>
          <w:tcPr>
            <w:tcW w:type="dxa" w:w="4320"/>
          </w:tcPr>
          <w:p>
            <w:r>
              <w:t>Not standardized in the retrospective dataset; describe institutional protocol if available.</w:t>
            </w:r>
          </w:p>
        </w:tc>
      </w:tr>
      <w:tr>
        <w:tc>
          <w:tcPr>
            <w:tcW w:type="dxa" w:w="4320"/>
          </w:tcPr>
          <w:p>
            <w:r>
              <w:t>Adverse events</w:t>
            </w:r>
          </w:p>
        </w:tc>
        <w:tc>
          <w:tcPr>
            <w:tcW w:type="dxa" w:w="4320"/>
          </w:tcPr>
          <w:p>
            <w:r>
              <w:t>Injection-site pain in 3 cases; no serious adverse events.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