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75C8" w14:textId="77777777" w:rsidR="00D9786B" w:rsidRDefault="00453BC1" w:rsidP="00561A63">
      <w:pPr>
        <w:spacing w:line="259" w:lineRule="auto"/>
        <w:ind w:firstLine="0"/>
        <w:rPr>
          <w:b/>
          <w:bCs/>
        </w:rPr>
      </w:pPr>
      <w:r w:rsidRPr="00402BD5">
        <w:rPr>
          <w:b/>
          <w:bCs/>
        </w:rPr>
        <w:t>Supporting Information (SI)</w:t>
      </w:r>
    </w:p>
    <w:p w14:paraId="57ECBCDC" w14:textId="77777777" w:rsidR="003D04B6" w:rsidRPr="0038104F" w:rsidRDefault="003D04B6" w:rsidP="003D04B6">
      <w:pPr>
        <w:pStyle w:val="NormalWeb"/>
        <w:jc w:val="center"/>
        <w:rPr>
          <w:rFonts w:ascii="Cambria" w:hAnsi="Cambria"/>
          <w:color w:val="212121"/>
        </w:rPr>
      </w:pPr>
      <w:r w:rsidRPr="0038104F">
        <w:rPr>
          <w:b/>
          <w:bCs/>
          <w:color w:val="000000"/>
        </w:rPr>
        <w:t xml:space="preserve">Defect Geometry and Concentration Controlled Excitonic </w:t>
      </w:r>
      <w:r w:rsidRPr="0038104F">
        <w:rPr>
          <w:rFonts w:ascii="Cambria" w:hAnsi="Cambria"/>
          <w:b/>
          <w:bCs/>
          <w:color w:val="000000"/>
        </w:rPr>
        <w:t>Landscape</w:t>
      </w:r>
      <w:r w:rsidRPr="0038104F">
        <w:rPr>
          <w:b/>
          <w:bCs/>
          <w:color w:val="000000"/>
        </w:rPr>
        <w:t xml:space="preserve"> in Monolayer MX</w:t>
      </w:r>
      <w:r w:rsidRPr="0038104F">
        <w:rPr>
          <w:b/>
          <w:bCs/>
          <w:color w:val="000000"/>
          <w:vertAlign w:val="subscript"/>
        </w:rPr>
        <w:t>2</w:t>
      </w:r>
      <w:r w:rsidRPr="0038104F">
        <w:rPr>
          <w:b/>
          <w:bCs/>
          <w:color w:val="000000"/>
        </w:rPr>
        <w:t>-family: A Systematic G</w:t>
      </w:r>
      <w:r w:rsidRPr="0038104F">
        <w:rPr>
          <w:b/>
          <w:bCs/>
          <w:color w:val="000000"/>
          <w:vertAlign w:val="subscript"/>
        </w:rPr>
        <w:t>0</w:t>
      </w:r>
      <w:r w:rsidRPr="0038104F">
        <w:rPr>
          <w:b/>
          <w:bCs/>
          <w:color w:val="000000"/>
        </w:rPr>
        <w:t>W</w:t>
      </w:r>
      <w:r w:rsidRPr="0038104F">
        <w:rPr>
          <w:b/>
          <w:bCs/>
          <w:color w:val="000000"/>
          <w:vertAlign w:val="subscript"/>
        </w:rPr>
        <w:t>0</w:t>
      </w:r>
      <w:r w:rsidRPr="0038104F">
        <w:rPr>
          <w:b/>
          <w:bCs/>
          <w:color w:val="000000"/>
        </w:rPr>
        <w:t>-BSE Study of Chalcogen Vacancies</w:t>
      </w:r>
    </w:p>
    <w:p w14:paraId="578D3DD0" w14:textId="77777777" w:rsidR="009D4DFE" w:rsidRDefault="00554E4A" w:rsidP="009D4DFE">
      <w:pPr>
        <w:pStyle w:val="NormalWeb"/>
        <w:jc w:val="center"/>
        <w:rPr>
          <w:color w:val="000000" w:themeColor="text1"/>
        </w:rPr>
      </w:pPr>
      <w:r w:rsidRPr="00BF7DB5">
        <w:rPr>
          <w:color w:val="000000" w:themeColor="text1"/>
        </w:rPr>
        <w:t>Shishir Timilsena</w:t>
      </w:r>
      <w:bookmarkStart w:id="0" w:name="OLE_LINK5"/>
      <w:r w:rsidRPr="003A7268">
        <w:rPr>
          <w:color w:val="000000" w:themeColor="text1"/>
          <w:vertAlign w:val="superscript"/>
        </w:rPr>
        <w:t>a</w:t>
      </w:r>
      <w:bookmarkEnd w:id="0"/>
      <w:r w:rsidRPr="00BF7DB5">
        <w:rPr>
          <w:color w:val="000000" w:themeColor="text1"/>
        </w:rPr>
        <w:t xml:space="preserve">, Sanju </w:t>
      </w:r>
      <w:proofErr w:type="spellStart"/>
      <w:r w:rsidRPr="00BF7DB5">
        <w:rPr>
          <w:color w:val="000000" w:themeColor="text1"/>
        </w:rPr>
        <w:t>Gupta</w:t>
      </w:r>
      <w:r w:rsidRPr="003A7268">
        <w:rPr>
          <w:color w:val="000000" w:themeColor="text1"/>
          <w:vertAlign w:val="superscript"/>
        </w:rPr>
        <w:t>b,</w:t>
      </w:r>
      <w:r>
        <w:rPr>
          <w:color w:val="000000" w:themeColor="text1"/>
          <w:vertAlign w:val="superscript"/>
        </w:rPr>
        <w:t>c</w:t>
      </w:r>
      <w:proofErr w:type="spellEnd"/>
      <w:r>
        <w:rPr>
          <w:color w:val="000000" w:themeColor="text1"/>
          <w:vertAlign w:val="superscript"/>
        </w:rPr>
        <w:t>,</w:t>
      </w:r>
      <w:r w:rsidRPr="00BF7DB5">
        <w:rPr>
          <w:color w:val="000000" w:themeColor="text1"/>
          <w:vertAlign w:val="superscript"/>
        </w:rPr>
        <w:t>*</w:t>
      </w:r>
      <w:r w:rsidRPr="00BF7DB5">
        <w:rPr>
          <w:color w:val="000000" w:themeColor="text1"/>
        </w:rPr>
        <w:t>,</w:t>
      </w:r>
      <w:r w:rsidRPr="00227559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Pr="00227559">
        <w:rPr>
          <w:color w:val="222222"/>
          <w:shd w:val="clear" w:color="auto" w:fill="FFFFFF"/>
        </w:rPr>
        <w:t>Muhammad Idrees Bhatti</w:t>
      </w:r>
      <w:r w:rsidRPr="003A7268">
        <w:rPr>
          <w:color w:val="000000" w:themeColor="text1"/>
          <w:vertAlign w:val="superscript"/>
        </w:rPr>
        <w:t>a</w:t>
      </w:r>
      <w:r>
        <w:rPr>
          <w:color w:val="222222"/>
          <w:shd w:val="clear" w:color="auto" w:fill="FFFFFF"/>
        </w:rPr>
        <w:t xml:space="preserve">, </w:t>
      </w:r>
      <w:r>
        <w:rPr>
          <w:color w:val="000000" w:themeColor="text1"/>
        </w:rPr>
        <w:t>and</w:t>
      </w:r>
      <w:r w:rsidRPr="00BF7DB5">
        <w:rPr>
          <w:color w:val="000000" w:themeColor="text1"/>
        </w:rPr>
        <w:t xml:space="preserve"> Nicholas Dimakis</w:t>
      </w:r>
      <w:r w:rsidRPr="003A7268">
        <w:rPr>
          <w:color w:val="000000" w:themeColor="text1"/>
          <w:vertAlign w:val="superscript"/>
        </w:rPr>
        <w:t>a,</w:t>
      </w:r>
      <w:r w:rsidRPr="00BF7DB5">
        <w:rPr>
          <w:color w:val="000000" w:themeColor="text1"/>
          <w:vertAlign w:val="superscript"/>
        </w:rPr>
        <w:t>*</w:t>
      </w:r>
    </w:p>
    <w:p w14:paraId="3D8D8DB0" w14:textId="77777777" w:rsidR="009D4DFE" w:rsidRDefault="00554E4A" w:rsidP="009D4DFE">
      <w:pPr>
        <w:pStyle w:val="NormalWeb"/>
        <w:jc w:val="center"/>
        <w:rPr>
          <w:color w:val="000000" w:themeColor="text1"/>
        </w:rPr>
      </w:pPr>
      <w:proofErr w:type="spellStart"/>
      <w:r w:rsidRPr="003A7268">
        <w:rPr>
          <w:color w:val="000000" w:themeColor="text1"/>
          <w:vertAlign w:val="superscript"/>
        </w:rPr>
        <w:t>a</w:t>
      </w:r>
      <w:r w:rsidRPr="003A7268">
        <w:rPr>
          <w:color w:val="000000" w:themeColor="text1"/>
        </w:rPr>
        <w:t>Department</w:t>
      </w:r>
      <w:proofErr w:type="spellEnd"/>
      <w:r w:rsidRPr="003A7268">
        <w:rPr>
          <w:color w:val="000000" w:themeColor="text1"/>
        </w:rPr>
        <w:t xml:space="preserve"> of Physics and Astronomy, University of Texas-Rio Grande Valley, Edinburg, TX</w:t>
      </w:r>
      <w:r w:rsidR="00561A63">
        <w:rPr>
          <w:color w:val="000000" w:themeColor="text1"/>
        </w:rPr>
        <w:t xml:space="preserve"> </w:t>
      </w:r>
      <w:r w:rsidRPr="003A7268">
        <w:rPr>
          <w:color w:val="000000" w:themeColor="text1"/>
        </w:rPr>
        <w:t>78539, USA</w:t>
      </w:r>
    </w:p>
    <w:p w14:paraId="49C253D7" w14:textId="77777777" w:rsidR="009D4DFE" w:rsidRDefault="00554E4A" w:rsidP="009D4DFE">
      <w:pPr>
        <w:pStyle w:val="NormalWeb"/>
        <w:jc w:val="center"/>
        <w:rPr>
          <w:color w:val="000000" w:themeColor="text1"/>
        </w:rPr>
      </w:pPr>
      <w:proofErr w:type="spellStart"/>
      <w:r w:rsidRPr="003A7268">
        <w:rPr>
          <w:color w:val="000000" w:themeColor="text1"/>
          <w:vertAlign w:val="superscript"/>
        </w:rPr>
        <w:t>b</w:t>
      </w:r>
      <w:r w:rsidRPr="003A7268">
        <w:rPr>
          <w:color w:val="000000" w:themeColor="text1"/>
        </w:rPr>
        <w:t>Department</w:t>
      </w:r>
      <w:proofErr w:type="spellEnd"/>
      <w:r w:rsidRPr="003A7268">
        <w:rPr>
          <w:color w:val="000000" w:themeColor="text1"/>
        </w:rPr>
        <w:t xml:space="preserve"> of Physics, The Pennsylvania State University, University Park, PA 16802, USA</w:t>
      </w:r>
    </w:p>
    <w:p w14:paraId="5BA36A25" w14:textId="5461DF5A" w:rsidR="00554E4A" w:rsidRPr="009D4DFE" w:rsidRDefault="00554E4A" w:rsidP="009D4DFE">
      <w:pPr>
        <w:pStyle w:val="NormalWeb"/>
        <w:jc w:val="center"/>
        <w:rPr>
          <w:b/>
          <w:bCs/>
          <w:color w:val="000000"/>
        </w:rPr>
      </w:pPr>
      <w:proofErr w:type="spellStart"/>
      <w:r>
        <w:rPr>
          <w:color w:val="000000" w:themeColor="text1"/>
          <w:vertAlign w:val="superscript"/>
        </w:rPr>
        <w:t>c</w:t>
      </w:r>
      <w:r w:rsidRPr="003A7268">
        <w:rPr>
          <w:color w:val="000000" w:themeColor="text1"/>
        </w:rPr>
        <w:t>Department</w:t>
      </w:r>
      <w:proofErr w:type="spellEnd"/>
      <w:r w:rsidRPr="003A7268">
        <w:rPr>
          <w:color w:val="000000" w:themeColor="text1"/>
        </w:rPr>
        <w:t xml:space="preserve"> of Physics</w:t>
      </w:r>
      <w:r>
        <w:rPr>
          <w:color w:val="000000" w:themeColor="text1"/>
        </w:rPr>
        <w:t xml:space="preserve"> and Astronomy</w:t>
      </w:r>
      <w:r w:rsidRPr="003A7268">
        <w:rPr>
          <w:color w:val="000000" w:themeColor="text1"/>
        </w:rPr>
        <w:t>, University</w:t>
      </w:r>
      <w:r>
        <w:rPr>
          <w:color w:val="000000" w:themeColor="text1"/>
        </w:rPr>
        <w:t xml:space="preserve"> of Georgia</w:t>
      </w:r>
      <w:r w:rsidRPr="003A7268">
        <w:rPr>
          <w:color w:val="000000" w:themeColor="text1"/>
        </w:rPr>
        <w:t xml:space="preserve">, </w:t>
      </w:r>
      <w:r>
        <w:rPr>
          <w:color w:val="000000" w:themeColor="text1"/>
        </w:rPr>
        <w:t>Athens</w:t>
      </w:r>
      <w:r w:rsidRPr="003A7268">
        <w:rPr>
          <w:color w:val="000000" w:themeColor="text1"/>
        </w:rPr>
        <w:t xml:space="preserve">, </w:t>
      </w:r>
      <w:r>
        <w:rPr>
          <w:color w:val="000000" w:themeColor="text1"/>
        </w:rPr>
        <w:t>GA</w:t>
      </w:r>
      <w:r w:rsidRPr="003A7268">
        <w:rPr>
          <w:color w:val="000000" w:themeColor="text1"/>
        </w:rPr>
        <w:t xml:space="preserve"> </w:t>
      </w:r>
      <w:r>
        <w:rPr>
          <w:color w:val="000000" w:themeColor="text1"/>
        </w:rPr>
        <w:t>30602</w:t>
      </w:r>
      <w:r w:rsidRPr="003A7268">
        <w:rPr>
          <w:color w:val="000000" w:themeColor="text1"/>
        </w:rPr>
        <w:t>, USA</w:t>
      </w:r>
    </w:p>
    <w:p w14:paraId="4EDBDD25" w14:textId="77777777" w:rsidR="0038604D" w:rsidRPr="00402BD5" w:rsidRDefault="0038604D" w:rsidP="00453BC1">
      <w:pPr>
        <w:spacing w:line="259" w:lineRule="auto"/>
        <w:ind w:firstLine="0"/>
        <w:rPr>
          <w:b/>
          <w:bCs/>
        </w:rPr>
      </w:pPr>
    </w:p>
    <w:p w14:paraId="1A8A949F" w14:textId="2FD3BEB3" w:rsidR="00224B68" w:rsidRPr="00BF7DB5" w:rsidRDefault="00083C30" w:rsidP="005911E9">
      <w:pPr>
        <w:spacing w:line="360" w:lineRule="auto"/>
        <w:ind w:firstLine="0"/>
        <w:rPr>
          <w:rFonts w:cs="Times New Roman"/>
          <w:color w:val="000000" w:themeColor="text1"/>
        </w:rPr>
      </w:pPr>
      <w:r w:rsidRPr="00B13C33">
        <w:rPr>
          <w:b/>
          <w:bCs/>
        </w:rPr>
        <w:t xml:space="preserve">Table </w:t>
      </w:r>
      <w:r w:rsidR="00561A63">
        <w:rPr>
          <w:b/>
          <w:bCs/>
        </w:rPr>
        <w:t>T</w:t>
      </w:r>
      <w:r w:rsidRPr="00B13C33">
        <w:rPr>
          <w:b/>
          <w:bCs/>
        </w:rPr>
        <w:fldChar w:fldCharType="begin"/>
      </w:r>
      <w:r w:rsidRPr="00B13C33">
        <w:rPr>
          <w:b/>
          <w:bCs/>
        </w:rPr>
        <w:instrText xml:space="preserve"> SEQ Table \* ARABIC </w:instrText>
      </w:r>
      <w:r w:rsidRPr="00B13C33">
        <w:rPr>
          <w:b/>
          <w:bCs/>
        </w:rPr>
        <w:fldChar w:fldCharType="separate"/>
      </w:r>
      <w:r w:rsidRPr="00B13C33">
        <w:rPr>
          <w:b/>
          <w:bCs/>
          <w:noProof/>
        </w:rPr>
        <w:t>1</w:t>
      </w:r>
      <w:r w:rsidRPr="00B13C33">
        <w:rPr>
          <w:b/>
          <w:bCs/>
          <w:noProof/>
        </w:rPr>
        <w:fldChar w:fldCharType="end"/>
      </w:r>
      <w:r w:rsidRPr="00B13C33">
        <w:rPr>
          <w:b/>
          <w:bCs/>
        </w:rPr>
        <w:t>.</w:t>
      </w:r>
      <w:r w:rsidR="00521751">
        <w:t xml:space="preserve"> </w:t>
      </w:r>
      <w:r w:rsidR="00224B68" w:rsidRPr="00BF7DB5">
        <w:rPr>
          <w:rFonts w:cs="Times New Roman"/>
          <w:color w:val="000000" w:themeColor="text1"/>
        </w:rPr>
        <w:t>Supercell sizes and corresponding lattice constants used for the DFT calculations of MoS</w:t>
      </w:r>
      <w:r w:rsidR="00224B68" w:rsidRPr="00BF7DB5">
        <w:rPr>
          <w:rFonts w:cs="Times New Roman"/>
          <w:color w:val="000000" w:themeColor="text1"/>
          <w:vertAlign w:val="subscript"/>
        </w:rPr>
        <w:t>2</w:t>
      </w:r>
      <w:r w:rsidR="00224B68" w:rsidRPr="00BF7DB5">
        <w:rPr>
          <w:rFonts w:cs="Times New Roman"/>
          <w:color w:val="000000" w:themeColor="text1"/>
        </w:rPr>
        <w:t>, MoSe</w:t>
      </w:r>
      <w:r w:rsidR="00224B68" w:rsidRPr="00BF7DB5">
        <w:rPr>
          <w:rFonts w:cs="Times New Roman"/>
          <w:color w:val="000000" w:themeColor="text1"/>
          <w:vertAlign w:val="subscript"/>
        </w:rPr>
        <w:t>2</w:t>
      </w:r>
      <w:r w:rsidR="00224B68" w:rsidRPr="00BF7DB5">
        <w:rPr>
          <w:rFonts w:cs="Times New Roman"/>
          <w:color w:val="000000" w:themeColor="text1"/>
        </w:rPr>
        <w:t>, and WSe</w:t>
      </w:r>
      <w:r w:rsidR="00224B68" w:rsidRPr="00BF7DB5">
        <w:rPr>
          <w:rFonts w:cs="Times New Roman"/>
          <w:color w:val="000000" w:themeColor="text1"/>
          <w:vertAlign w:val="subscript"/>
        </w:rPr>
        <w:t>2</w:t>
      </w:r>
      <w:r w:rsidR="00224B68" w:rsidRPr="00BF7DB5">
        <w:rPr>
          <w:rFonts w:cs="Times New Roman"/>
          <w:color w:val="000000" w:themeColor="text1"/>
        </w:rPr>
        <w:t>.</w:t>
      </w:r>
    </w:p>
    <w:tbl>
      <w:tblPr>
        <w:tblStyle w:val="TableGrid"/>
        <w:tblpPr w:leftFromText="180" w:rightFromText="180" w:vertAnchor="text" w:horzAnchor="margin" w:tblpXSpec="center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6"/>
        <w:gridCol w:w="2757"/>
        <w:gridCol w:w="2757"/>
      </w:tblGrid>
      <w:tr w:rsidR="00224B68" w:rsidRPr="00BF7DB5" w14:paraId="2B42AB51" w14:textId="77777777" w:rsidTr="0075017D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14:paraId="51745CC5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  <w:color w:val="000000" w:themeColor="text1"/>
              </w:rPr>
            </w:pP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14:paraId="7817D691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F7DB5">
              <w:rPr>
                <w:rFonts w:cs="Times New Roman"/>
                <w:b/>
                <w:bCs/>
                <w:color w:val="000000" w:themeColor="text1"/>
              </w:rPr>
              <w:t>Supercell</w:t>
            </w:r>
          </w:p>
        </w:tc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14:paraId="458F732F" w14:textId="08DF7194" w:rsidR="00224B68" w:rsidRPr="00BF7DB5" w:rsidRDefault="00224B68" w:rsidP="00781EA8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F7DB5">
              <w:rPr>
                <w:rFonts w:cs="Times New Roman"/>
                <w:b/>
                <w:bCs/>
                <w:color w:val="000000" w:themeColor="text1"/>
              </w:rPr>
              <w:t xml:space="preserve">Lattice Constant </w:t>
            </w:r>
            <w:r w:rsidR="00781EA8">
              <w:rPr>
                <w:rFonts w:cs="Times New Roman"/>
                <w:b/>
                <w:bCs/>
                <w:color w:val="000000" w:themeColor="text1"/>
              </w:rPr>
              <w:t xml:space="preserve">  </w:t>
            </w:r>
            <w:r w:rsidRPr="00BF7DB5">
              <w:rPr>
                <w:rFonts w:cs="Times New Roman"/>
                <w:b/>
                <w:bCs/>
                <w:color w:val="000000" w:themeColor="text1"/>
              </w:rPr>
              <w:t>Å</w:t>
            </w:r>
          </w:p>
        </w:tc>
      </w:tr>
      <w:tr w:rsidR="00224B68" w:rsidRPr="00BF7DB5" w14:paraId="602EDD62" w14:textId="77777777" w:rsidTr="0075017D">
        <w:tc>
          <w:tcPr>
            <w:tcW w:w="2756" w:type="dxa"/>
            <w:vMerge w:val="restart"/>
            <w:tcBorders>
              <w:top w:val="single" w:sz="4" w:space="0" w:color="auto"/>
            </w:tcBorders>
          </w:tcPr>
          <w:p w14:paraId="37B302B7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697BFA79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F7DB5">
              <w:rPr>
                <w:rFonts w:cs="Times New Roman"/>
                <w:b/>
                <w:bCs/>
                <w:color w:val="000000" w:themeColor="text1"/>
              </w:rPr>
              <w:t>MoS</w:t>
            </w:r>
            <w:r w:rsidRPr="00BF7DB5">
              <w:rPr>
                <w:rFonts w:cs="Times New Roman"/>
                <w:b/>
                <w:bCs/>
                <w:color w:val="000000" w:themeColor="text1"/>
                <w:vertAlign w:val="subscript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14:paraId="5444E58C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4×4×1</w:t>
            </w:r>
          </w:p>
        </w:tc>
        <w:tc>
          <w:tcPr>
            <w:tcW w:w="2757" w:type="dxa"/>
            <w:tcBorders>
              <w:top w:val="single" w:sz="4" w:space="0" w:color="auto"/>
            </w:tcBorders>
          </w:tcPr>
          <w:p w14:paraId="722713C8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12.77</w:t>
            </w:r>
          </w:p>
        </w:tc>
      </w:tr>
      <w:tr w:rsidR="00224B68" w:rsidRPr="00BF7DB5" w14:paraId="38077E0A" w14:textId="77777777" w:rsidTr="0075017D">
        <w:tc>
          <w:tcPr>
            <w:tcW w:w="2756" w:type="dxa"/>
            <w:vMerge/>
          </w:tcPr>
          <w:p w14:paraId="00EFF104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757" w:type="dxa"/>
          </w:tcPr>
          <w:p w14:paraId="0FFDD5F6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2×2×1</w:t>
            </w:r>
          </w:p>
        </w:tc>
        <w:tc>
          <w:tcPr>
            <w:tcW w:w="2757" w:type="dxa"/>
          </w:tcPr>
          <w:p w14:paraId="1805F7FE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6.38</w:t>
            </w:r>
          </w:p>
        </w:tc>
      </w:tr>
      <w:tr w:rsidR="00224B68" w:rsidRPr="00BF7DB5" w14:paraId="129D4064" w14:textId="77777777" w:rsidTr="0075017D">
        <w:tc>
          <w:tcPr>
            <w:tcW w:w="2756" w:type="dxa"/>
            <w:vMerge/>
          </w:tcPr>
          <w:p w14:paraId="127B0EA7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757" w:type="dxa"/>
          </w:tcPr>
          <w:p w14:paraId="15EDE3B4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1×1×1</w:t>
            </w:r>
          </w:p>
        </w:tc>
        <w:tc>
          <w:tcPr>
            <w:tcW w:w="2757" w:type="dxa"/>
          </w:tcPr>
          <w:p w14:paraId="62452B5C" w14:textId="14DC7930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3.19</w:t>
            </w:r>
            <w:r w:rsidR="000F1D1C">
              <w:rPr>
                <w:rFonts w:cs="Times New Roman"/>
                <w:color w:val="000000" w:themeColor="text1"/>
              </w:rPr>
              <w:t xml:space="preserve"> (Ref </w:t>
            </w:r>
            <w:r w:rsidR="000F1D1C">
              <w:rPr>
                <w:rFonts w:cs="Times New Roman"/>
                <w:color w:val="000000" w:themeColor="text1"/>
              </w:rPr>
              <w:fldChar w:fldCharType="begin"/>
            </w:r>
            <w:r w:rsidR="000F1D1C">
              <w:rPr>
                <w:rFonts w:cs="Times New Roman"/>
                <w:color w:val="000000" w:themeColor="text1"/>
              </w:rPr>
              <w:instrText xml:space="preserve"> ADDIN EN.CITE &lt;EndNote&gt;&lt;Cite&gt;&lt;Author&gt;Ahmad&lt;/Author&gt;&lt;Year&gt;2014&lt;/Year&gt;&lt;RecNum&gt;10&lt;/RecNum&gt;&lt;DisplayText&gt;[1]&lt;/DisplayText&gt;&lt;record&gt;&lt;rec-number&gt;10&lt;/rec-number&gt;&lt;foreign-keys&gt;&lt;key app="EN" db-id="ez0aze99790w9be2006vrwr3xszr0sw2s5zz" timestamp="1773942480"&gt;10&lt;/key&gt;&lt;/foreign-keys&gt;&lt;ref-type name="Journal Article"&gt;17&lt;/ref-type&gt;&lt;contributors&gt;&lt;authors&gt;&lt;author&gt;Ahmad, Sohail&lt;/author&gt;&lt;author&gt;Mukherjee, Sugata&lt;/author&gt;&lt;/authors&gt;&lt;/contributors&gt;&lt;titles&gt;&lt;title&gt;A comparative study of electronic properties of bulk MoS2 and its monolayer using DFT technique: application of mechanical strain on MoS2 monolayer&lt;/title&gt;&lt;secondary-title&gt;Graphene&lt;/secondary-title&gt;&lt;/titles&gt;&lt;periodical&gt;&lt;full-title&gt;Graphene&lt;/full-title&gt;&lt;/periodical&gt;&lt;pages&gt;52-59&lt;/pages&gt;&lt;volume&gt;3&lt;/volume&gt;&lt;number&gt;04&lt;/number&gt;&lt;dates&gt;&lt;year&gt;2014&lt;/year&gt;&lt;/dates&gt;&lt;urls&gt;&lt;/urls&gt;&lt;/record&gt;&lt;/Cite&gt;&lt;/EndNote&gt;</w:instrText>
            </w:r>
            <w:r w:rsidR="000F1D1C">
              <w:rPr>
                <w:rFonts w:cs="Times New Roman"/>
                <w:color w:val="000000" w:themeColor="text1"/>
              </w:rPr>
              <w:fldChar w:fldCharType="separate"/>
            </w:r>
            <w:r w:rsidR="000F1D1C">
              <w:rPr>
                <w:rFonts w:cs="Times New Roman"/>
                <w:noProof/>
                <w:color w:val="000000" w:themeColor="text1"/>
              </w:rPr>
              <w:t>[1]</w:t>
            </w:r>
            <w:r w:rsidR="000F1D1C">
              <w:rPr>
                <w:rFonts w:cs="Times New Roman"/>
                <w:color w:val="000000" w:themeColor="text1"/>
              </w:rPr>
              <w:fldChar w:fldCharType="end"/>
            </w:r>
            <w:r w:rsidR="000F1D1C">
              <w:rPr>
                <w:rFonts w:cs="Times New Roman"/>
                <w:color w:val="000000" w:themeColor="text1"/>
              </w:rPr>
              <w:t>)</w:t>
            </w:r>
          </w:p>
        </w:tc>
      </w:tr>
      <w:tr w:rsidR="00224B68" w:rsidRPr="00BF7DB5" w14:paraId="1028F886" w14:textId="77777777" w:rsidTr="0075017D">
        <w:tc>
          <w:tcPr>
            <w:tcW w:w="2756" w:type="dxa"/>
            <w:vMerge w:val="restart"/>
          </w:tcPr>
          <w:p w14:paraId="35BBF93F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0755B337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F7DB5">
              <w:rPr>
                <w:rFonts w:cs="Times New Roman"/>
                <w:b/>
                <w:bCs/>
                <w:color w:val="000000" w:themeColor="text1"/>
              </w:rPr>
              <w:t xml:space="preserve"> MoSe</w:t>
            </w:r>
            <w:r w:rsidRPr="00BF7DB5">
              <w:rPr>
                <w:rFonts w:cs="Times New Roman"/>
                <w:b/>
                <w:bCs/>
                <w:color w:val="000000" w:themeColor="text1"/>
                <w:vertAlign w:val="subscript"/>
              </w:rPr>
              <w:t>2</w:t>
            </w:r>
          </w:p>
        </w:tc>
        <w:tc>
          <w:tcPr>
            <w:tcW w:w="2757" w:type="dxa"/>
          </w:tcPr>
          <w:p w14:paraId="7DC909D6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4×4×1</w:t>
            </w:r>
          </w:p>
        </w:tc>
        <w:tc>
          <w:tcPr>
            <w:tcW w:w="2757" w:type="dxa"/>
          </w:tcPr>
          <w:p w14:paraId="248B542D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13.29</w:t>
            </w:r>
          </w:p>
        </w:tc>
      </w:tr>
      <w:tr w:rsidR="00224B68" w:rsidRPr="00BF7DB5" w14:paraId="272B2E3F" w14:textId="77777777" w:rsidTr="0075017D">
        <w:tc>
          <w:tcPr>
            <w:tcW w:w="2756" w:type="dxa"/>
            <w:vMerge/>
          </w:tcPr>
          <w:p w14:paraId="0ED2ECAC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757" w:type="dxa"/>
          </w:tcPr>
          <w:p w14:paraId="4CCE3A9B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2×2×1</w:t>
            </w:r>
          </w:p>
        </w:tc>
        <w:tc>
          <w:tcPr>
            <w:tcW w:w="2757" w:type="dxa"/>
          </w:tcPr>
          <w:p w14:paraId="1EAB2806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6.64</w:t>
            </w:r>
          </w:p>
        </w:tc>
      </w:tr>
      <w:tr w:rsidR="00224B68" w:rsidRPr="00BF7DB5" w14:paraId="17A2B6D9" w14:textId="77777777" w:rsidTr="0075017D">
        <w:tc>
          <w:tcPr>
            <w:tcW w:w="2756" w:type="dxa"/>
            <w:vMerge/>
          </w:tcPr>
          <w:p w14:paraId="3E99E5FA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</w:tc>
        <w:tc>
          <w:tcPr>
            <w:tcW w:w="2757" w:type="dxa"/>
          </w:tcPr>
          <w:p w14:paraId="31187F6A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1×1×1</w:t>
            </w:r>
          </w:p>
        </w:tc>
        <w:tc>
          <w:tcPr>
            <w:tcW w:w="2757" w:type="dxa"/>
          </w:tcPr>
          <w:p w14:paraId="13DCC5F3" w14:textId="53B74BE9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3.32</w:t>
            </w:r>
            <w:r w:rsidR="00B038CE">
              <w:rPr>
                <w:rFonts w:cs="Times New Roman"/>
                <w:color w:val="000000" w:themeColor="text1"/>
              </w:rPr>
              <w:t xml:space="preserve"> (Ref </w:t>
            </w:r>
            <w:r w:rsidR="00B0766C">
              <w:rPr>
                <w:rFonts w:cs="Times New Roman"/>
                <w:color w:val="000000" w:themeColor="text1"/>
              </w:rPr>
              <w:fldChar w:fldCharType="begin"/>
            </w:r>
            <w:r w:rsidR="00B0766C">
              <w:rPr>
                <w:rFonts w:cs="Times New Roman"/>
                <w:color w:val="000000" w:themeColor="text1"/>
              </w:rPr>
              <w:instrText xml:space="preserve"> ADDIN EN.CITE &lt;EndNote&gt;&lt;Cite&gt;&lt;Author&gt;Feng&lt;/Author&gt;&lt;Year&gt;2023&lt;/Year&gt;&lt;RecNum&gt;11&lt;/RecNum&gt;&lt;DisplayText&gt;[2]&lt;/DisplayText&gt;&lt;record&gt;&lt;rec-number&gt;11&lt;/rec-number&gt;&lt;foreign-keys&gt;&lt;key app="EN" db-id="ez0aze99790w9be2006vrwr3xszr0sw2s5zz" timestamp="1773942567"&gt;11&lt;/key&gt;&lt;/foreign-keys&gt;&lt;ref-type name="Journal Article"&gt;17&lt;/ref-type&gt;&lt;contributors&gt;&lt;authors&gt;&lt;author&gt;Feng, Yiyu&lt;/author&gt;&lt;author&gt;Bai, Hui&lt;/author&gt;&lt;author&gt;An, Mengya&lt;/author&gt;&lt;author&gt;Wu, Yunkai&lt;/author&gt;&lt;author&gt;Wang, Xu&lt;/author&gt;&lt;/authors&gt;&lt;/contributors&gt;&lt;titles&gt;&lt;title&gt;Density functional theory study of the electronic and optical properties of SnSe2/MoSe2 heterostructures under strain and electric field: implications for optoelectronic devices&lt;/title&gt;&lt;secondary-title&gt;ACS Applied Nano Materials&lt;/secondary-title&gt;&lt;/titles&gt;&lt;periodical&gt;&lt;full-title&gt;ACS Applied Nano Materials&lt;/full-title&gt;&lt;/periodical&gt;&lt;pages&gt;15795-15806&lt;/pages&gt;&lt;volume&gt;6&lt;/volume&gt;&lt;number&gt;17&lt;/number&gt;&lt;dates&gt;&lt;year&gt;2023&lt;/year&gt;&lt;/dates&gt;&lt;isbn&gt;2574-0970&lt;/isbn&gt;&lt;urls&gt;&lt;/urls&gt;&lt;/record&gt;&lt;/Cite&gt;&lt;/EndNote&gt;</w:instrText>
            </w:r>
            <w:r w:rsidR="00B0766C">
              <w:rPr>
                <w:rFonts w:cs="Times New Roman"/>
                <w:color w:val="000000" w:themeColor="text1"/>
              </w:rPr>
              <w:fldChar w:fldCharType="separate"/>
            </w:r>
            <w:r w:rsidR="00B0766C">
              <w:rPr>
                <w:rFonts w:cs="Times New Roman"/>
                <w:noProof/>
                <w:color w:val="000000" w:themeColor="text1"/>
              </w:rPr>
              <w:t>[2]</w:t>
            </w:r>
            <w:r w:rsidR="00B0766C">
              <w:rPr>
                <w:rFonts w:cs="Times New Roman"/>
                <w:color w:val="000000" w:themeColor="text1"/>
              </w:rPr>
              <w:fldChar w:fldCharType="end"/>
            </w:r>
            <w:r w:rsidR="00B038CE">
              <w:rPr>
                <w:rFonts w:cs="Times New Roman"/>
                <w:color w:val="000000" w:themeColor="text1"/>
              </w:rPr>
              <w:t>)</w:t>
            </w:r>
          </w:p>
        </w:tc>
      </w:tr>
      <w:tr w:rsidR="00224B68" w:rsidRPr="00BF7DB5" w14:paraId="0A9FB394" w14:textId="77777777" w:rsidTr="0075017D">
        <w:tc>
          <w:tcPr>
            <w:tcW w:w="2756" w:type="dxa"/>
            <w:vMerge w:val="restart"/>
          </w:tcPr>
          <w:p w14:paraId="584D65D1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</w:p>
          <w:p w14:paraId="2C47EB9A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BF7DB5">
              <w:rPr>
                <w:rFonts w:cs="Times New Roman"/>
                <w:b/>
                <w:bCs/>
                <w:color w:val="000000" w:themeColor="text1"/>
              </w:rPr>
              <w:t>WSe</w:t>
            </w:r>
            <w:r w:rsidRPr="00BF7DB5">
              <w:rPr>
                <w:rFonts w:cs="Times New Roman"/>
                <w:b/>
                <w:bCs/>
                <w:color w:val="000000" w:themeColor="text1"/>
                <w:vertAlign w:val="subscript"/>
              </w:rPr>
              <w:t>2</w:t>
            </w:r>
          </w:p>
        </w:tc>
        <w:tc>
          <w:tcPr>
            <w:tcW w:w="2757" w:type="dxa"/>
          </w:tcPr>
          <w:p w14:paraId="5E264344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4×4×1</w:t>
            </w:r>
          </w:p>
        </w:tc>
        <w:tc>
          <w:tcPr>
            <w:tcW w:w="2757" w:type="dxa"/>
          </w:tcPr>
          <w:p w14:paraId="7CEF7D1D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13.28</w:t>
            </w:r>
          </w:p>
        </w:tc>
      </w:tr>
      <w:tr w:rsidR="00224B68" w:rsidRPr="00BF7DB5" w14:paraId="03AE24BE" w14:textId="77777777" w:rsidTr="0075017D">
        <w:tc>
          <w:tcPr>
            <w:tcW w:w="2756" w:type="dxa"/>
            <w:vMerge/>
          </w:tcPr>
          <w:p w14:paraId="2BB8F9ED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757" w:type="dxa"/>
          </w:tcPr>
          <w:p w14:paraId="7258C5AC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2×2×1</w:t>
            </w:r>
          </w:p>
        </w:tc>
        <w:tc>
          <w:tcPr>
            <w:tcW w:w="2757" w:type="dxa"/>
          </w:tcPr>
          <w:p w14:paraId="52A449C0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6.64</w:t>
            </w:r>
          </w:p>
        </w:tc>
      </w:tr>
      <w:tr w:rsidR="00224B68" w:rsidRPr="00BF7DB5" w14:paraId="45DA9DB7" w14:textId="77777777" w:rsidTr="0075017D">
        <w:trPr>
          <w:trHeight w:val="375"/>
        </w:trPr>
        <w:tc>
          <w:tcPr>
            <w:tcW w:w="2756" w:type="dxa"/>
            <w:vMerge/>
            <w:tcBorders>
              <w:bottom w:val="single" w:sz="4" w:space="0" w:color="auto"/>
            </w:tcBorders>
          </w:tcPr>
          <w:p w14:paraId="4AC44645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66C89636" w14:textId="7777777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1×1×1</w:t>
            </w:r>
          </w:p>
        </w:tc>
        <w:tc>
          <w:tcPr>
            <w:tcW w:w="2757" w:type="dxa"/>
            <w:tcBorders>
              <w:bottom w:val="single" w:sz="4" w:space="0" w:color="auto"/>
            </w:tcBorders>
          </w:tcPr>
          <w:p w14:paraId="38378AF5" w14:textId="6021BE27" w:rsidR="00224B68" w:rsidRPr="00BF7DB5" w:rsidRDefault="00224B68" w:rsidP="0075017D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</w:rPr>
            </w:pPr>
            <w:r w:rsidRPr="00BF7DB5">
              <w:rPr>
                <w:rFonts w:cs="Times New Roman"/>
                <w:color w:val="000000" w:themeColor="text1"/>
              </w:rPr>
              <w:t>3.32</w:t>
            </w:r>
            <w:r w:rsidR="00B0766C">
              <w:rPr>
                <w:rFonts w:cs="Times New Roman"/>
                <w:color w:val="000000" w:themeColor="text1"/>
              </w:rPr>
              <w:t xml:space="preserve"> (Ref </w:t>
            </w:r>
            <w:r w:rsidR="00B0766C">
              <w:rPr>
                <w:rFonts w:cs="Times New Roman"/>
                <w:color w:val="000000" w:themeColor="text1"/>
              </w:rPr>
              <w:fldChar w:fldCharType="begin"/>
            </w:r>
            <w:r w:rsidR="00B0766C">
              <w:rPr>
                <w:rFonts w:cs="Times New Roman"/>
                <w:color w:val="000000" w:themeColor="text1"/>
              </w:rPr>
              <w:instrText xml:space="preserve"> ADDIN EN.CITE &lt;EndNote&gt;&lt;Cite&gt;&lt;Author&gt;Wang&lt;/Author&gt;&lt;Year&gt;2021&lt;/Year&gt;&lt;RecNum&gt;12&lt;/RecNum&gt;&lt;DisplayText&gt;[3]&lt;/DisplayText&gt;&lt;record&gt;&lt;rec-number&gt;12&lt;/rec-number&gt;&lt;foreign-keys&gt;&lt;key app="EN" db-id="ez0aze99790w9be2006vrwr3xszr0sw2s5zz" timestamp="1773942627"&gt;12&lt;/key&gt;&lt;/foreign-keys&gt;&lt;ref-type name="Journal Article"&gt;17&lt;/ref-type&gt;&lt;contributors&gt;&lt;authors&gt;&lt;author&gt;Wang, Yingtao&lt;/author&gt;&lt;author&gt;Zhang, Xian&lt;/author&gt;&lt;/authors&gt;&lt;/contributors&gt;&lt;titles&gt;&lt;title&gt;On the role of crystal defects on the lattice thermal conductivity of monolayer WSe2 (P63/mmc) thermoelectric materials by DFT calculation&lt;/title&gt;&lt;secondary-title&gt;Superlattices and Microstructures&lt;/secondary-title&gt;&lt;/titles&gt;&lt;periodical&gt;&lt;full-title&gt;Superlattices and Microstructures&lt;/full-title&gt;&lt;/periodical&gt;&lt;pages&gt;107057&lt;/pages&gt;&lt;volume&gt;160&lt;/volume&gt;&lt;dates&gt;&lt;year&gt;2021&lt;/year&gt;&lt;/dates&gt;&lt;isbn&gt;0749-6036&lt;/isbn&gt;&lt;urls&gt;&lt;/urls&gt;&lt;/record&gt;&lt;/Cite&gt;&lt;/EndNote&gt;</w:instrText>
            </w:r>
            <w:r w:rsidR="00B0766C">
              <w:rPr>
                <w:rFonts w:cs="Times New Roman"/>
                <w:color w:val="000000" w:themeColor="text1"/>
              </w:rPr>
              <w:fldChar w:fldCharType="separate"/>
            </w:r>
            <w:r w:rsidR="00B0766C">
              <w:rPr>
                <w:rFonts w:cs="Times New Roman"/>
                <w:noProof/>
                <w:color w:val="000000" w:themeColor="text1"/>
              </w:rPr>
              <w:t>[3]</w:t>
            </w:r>
            <w:r w:rsidR="00B0766C">
              <w:rPr>
                <w:rFonts w:cs="Times New Roman"/>
                <w:color w:val="000000" w:themeColor="text1"/>
              </w:rPr>
              <w:fldChar w:fldCharType="end"/>
            </w:r>
            <w:r w:rsidR="00B0766C">
              <w:rPr>
                <w:rFonts w:cs="Times New Roman"/>
                <w:color w:val="000000" w:themeColor="text1"/>
              </w:rPr>
              <w:t xml:space="preserve"> )</w:t>
            </w:r>
          </w:p>
        </w:tc>
      </w:tr>
    </w:tbl>
    <w:p w14:paraId="6EE13E9C" w14:textId="77777777" w:rsidR="00224B68" w:rsidRPr="00BF7DB5" w:rsidRDefault="00224B68" w:rsidP="00224B68">
      <w:pPr>
        <w:spacing w:line="360" w:lineRule="auto"/>
        <w:jc w:val="both"/>
        <w:rPr>
          <w:rFonts w:cs="Times New Roman"/>
          <w:b/>
          <w:bCs/>
          <w:color w:val="000000" w:themeColor="text1"/>
        </w:rPr>
      </w:pPr>
    </w:p>
    <w:p w14:paraId="09DFF41B" w14:textId="522BCB4D" w:rsidR="00083C30" w:rsidRDefault="00083C30">
      <w:pPr>
        <w:rPr>
          <w:rFonts w:cs="Times New Roman"/>
        </w:rPr>
      </w:pPr>
    </w:p>
    <w:p w14:paraId="4ED0A681" w14:textId="77777777" w:rsidR="00A554D2" w:rsidRDefault="00A554D2">
      <w:pPr>
        <w:rPr>
          <w:rFonts w:cs="Times New Roman"/>
        </w:rPr>
      </w:pPr>
    </w:p>
    <w:p w14:paraId="05123FCA" w14:textId="77777777" w:rsidR="00A554D2" w:rsidRDefault="00A554D2">
      <w:pPr>
        <w:rPr>
          <w:rFonts w:cs="Times New Roman"/>
        </w:rPr>
      </w:pPr>
    </w:p>
    <w:p w14:paraId="4D70AF9D" w14:textId="77777777" w:rsidR="00A554D2" w:rsidRDefault="00A554D2">
      <w:pPr>
        <w:rPr>
          <w:rFonts w:cs="Times New Roman"/>
        </w:rPr>
      </w:pPr>
    </w:p>
    <w:p w14:paraId="6DF2A2CD" w14:textId="4333E5CD" w:rsidR="00A554D2" w:rsidRDefault="00561A63">
      <w:pPr>
        <w:rPr>
          <w:rFonts w:cs="Times New Roman"/>
        </w:rPr>
      </w:pPr>
      <w:r w:rsidRPr="00BF7DB5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A09D8B7" wp14:editId="3FE2EA3D">
            <wp:simplePos x="0" y="0"/>
            <wp:positionH relativeFrom="margin">
              <wp:posOffset>1095375</wp:posOffset>
            </wp:positionH>
            <wp:positionV relativeFrom="paragraph">
              <wp:posOffset>104775</wp:posOffset>
            </wp:positionV>
            <wp:extent cx="4067175" cy="5419361"/>
            <wp:effectExtent l="0" t="0" r="0" b="0"/>
            <wp:wrapNone/>
            <wp:docPr id="15216595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659531" name="Picture 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541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27FA8" w14:textId="0F51764B" w:rsidR="00A554D2" w:rsidRDefault="00A554D2">
      <w:pPr>
        <w:rPr>
          <w:rFonts w:cs="Times New Roman"/>
        </w:rPr>
      </w:pPr>
    </w:p>
    <w:p w14:paraId="24ACE24F" w14:textId="3138017A" w:rsidR="0099134B" w:rsidRPr="00BF7DB5" w:rsidRDefault="0099134B" w:rsidP="0099134B">
      <w:pPr>
        <w:spacing w:line="360" w:lineRule="auto"/>
        <w:jc w:val="both"/>
        <w:rPr>
          <w:b/>
          <w:bCs/>
          <w:color w:val="000000" w:themeColor="text1"/>
        </w:rPr>
      </w:pPr>
    </w:p>
    <w:p w14:paraId="01CBCA0A" w14:textId="0F5BFFE6" w:rsidR="000B63E8" w:rsidRPr="00A02B26" w:rsidRDefault="000B63E8" w:rsidP="0099134B">
      <w:pPr>
        <w:rPr>
          <w:rFonts w:ascii="Helvetica Neue" w:hAnsi="Helvetica Neue"/>
          <w:color w:val="0E0E0E"/>
          <w:sz w:val="21"/>
          <w:szCs w:val="21"/>
        </w:rPr>
      </w:pPr>
    </w:p>
    <w:p w14:paraId="3E973264" w14:textId="1A0206F7" w:rsidR="002F08AE" w:rsidRDefault="0099134B" w:rsidP="002F08AE">
      <w:pPr>
        <w:spacing w:line="360" w:lineRule="auto"/>
        <w:jc w:val="center"/>
        <w:rPr>
          <w:color w:val="000000" w:themeColor="text1"/>
        </w:rPr>
      </w:pPr>
      <w:r w:rsidRPr="00867CDC">
        <w:rPr>
          <w:noProof/>
        </w:rPr>
        <w:t xml:space="preserve"> </w:t>
      </w:r>
    </w:p>
    <w:p w14:paraId="38FB506B" w14:textId="3978B8BB" w:rsidR="0099134B" w:rsidRDefault="0099134B" w:rsidP="0099134B">
      <w:pPr>
        <w:spacing w:line="360" w:lineRule="auto"/>
        <w:rPr>
          <w:b/>
          <w:bCs/>
          <w:color w:val="000000" w:themeColor="text1"/>
        </w:rPr>
      </w:pPr>
    </w:p>
    <w:p w14:paraId="1C48E66D" w14:textId="094B89C1" w:rsidR="0099134B" w:rsidRDefault="0099134B" w:rsidP="0099134B">
      <w:pPr>
        <w:spacing w:line="360" w:lineRule="auto"/>
        <w:jc w:val="center"/>
        <w:rPr>
          <w:color w:val="000000" w:themeColor="text1"/>
        </w:rPr>
      </w:pPr>
    </w:p>
    <w:p w14:paraId="33BC9700" w14:textId="77777777" w:rsidR="0099134B" w:rsidRDefault="0099134B" w:rsidP="0099134B">
      <w:pPr>
        <w:spacing w:line="360" w:lineRule="auto"/>
        <w:jc w:val="center"/>
        <w:rPr>
          <w:color w:val="000000" w:themeColor="text1"/>
        </w:rPr>
      </w:pPr>
    </w:p>
    <w:p w14:paraId="64F9A5B4" w14:textId="77777777" w:rsidR="0099134B" w:rsidRDefault="0099134B" w:rsidP="0099134B">
      <w:pPr>
        <w:spacing w:line="360" w:lineRule="auto"/>
        <w:jc w:val="center"/>
        <w:rPr>
          <w:color w:val="000000" w:themeColor="text1"/>
        </w:rPr>
      </w:pPr>
    </w:p>
    <w:p w14:paraId="5F3070E4" w14:textId="77777777" w:rsidR="000B63E8" w:rsidRDefault="000B63E8" w:rsidP="0099134B">
      <w:pPr>
        <w:spacing w:line="360" w:lineRule="auto"/>
        <w:jc w:val="center"/>
        <w:rPr>
          <w:color w:val="000000" w:themeColor="text1"/>
        </w:rPr>
      </w:pPr>
    </w:p>
    <w:p w14:paraId="133BE6A6" w14:textId="77777777" w:rsidR="000B63E8" w:rsidRDefault="000B63E8" w:rsidP="0099134B">
      <w:pPr>
        <w:spacing w:line="360" w:lineRule="auto"/>
        <w:jc w:val="center"/>
        <w:rPr>
          <w:color w:val="000000" w:themeColor="text1"/>
        </w:rPr>
      </w:pPr>
    </w:p>
    <w:p w14:paraId="7AEB6B22" w14:textId="77777777" w:rsidR="000B63E8" w:rsidRDefault="000B63E8" w:rsidP="0099134B">
      <w:pPr>
        <w:spacing w:line="360" w:lineRule="auto"/>
        <w:jc w:val="center"/>
        <w:rPr>
          <w:color w:val="000000" w:themeColor="text1"/>
        </w:rPr>
      </w:pPr>
    </w:p>
    <w:p w14:paraId="43A270C9" w14:textId="77777777" w:rsidR="000B63E8" w:rsidRDefault="000B63E8" w:rsidP="0099134B">
      <w:pPr>
        <w:spacing w:line="360" w:lineRule="auto"/>
        <w:jc w:val="center"/>
        <w:rPr>
          <w:color w:val="000000" w:themeColor="text1"/>
        </w:rPr>
      </w:pPr>
    </w:p>
    <w:p w14:paraId="70B17EA7" w14:textId="77777777" w:rsidR="000B63E8" w:rsidRDefault="000B63E8" w:rsidP="0099134B">
      <w:pPr>
        <w:spacing w:line="360" w:lineRule="auto"/>
        <w:jc w:val="center"/>
        <w:rPr>
          <w:color w:val="000000" w:themeColor="text1"/>
        </w:rPr>
      </w:pPr>
    </w:p>
    <w:p w14:paraId="1EBB23DC" w14:textId="77777777" w:rsidR="001C3D99" w:rsidRDefault="001C3D99" w:rsidP="000972D8">
      <w:pPr>
        <w:pStyle w:val="p1"/>
        <w:jc w:val="both"/>
        <w:rPr>
          <w:b/>
          <w:bCs/>
          <w:color w:val="000000" w:themeColor="text1"/>
        </w:rPr>
      </w:pPr>
    </w:p>
    <w:p w14:paraId="64DC61E7" w14:textId="08BB9120" w:rsidR="000972D8" w:rsidRDefault="0099134B" w:rsidP="000972D8">
      <w:pPr>
        <w:pStyle w:val="p1"/>
        <w:jc w:val="both"/>
      </w:pPr>
      <w:r w:rsidRPr="002011F7">
        <w:rPr>
          <w:b/>
          <w:bCs/>
          <w:color w:val="000000" w:themeColor="text1"/>
        </w:rPr>
        <w:t xml:space="preserve">Fig. </w:t>
      </w:r>
      <w:r w:rsidR="00A70DE3" w:rsidRPr="002011F7">
        <w:rPr>
          <w:b/>
          <w:bCs/>
          <w:color w:val="000000" w:themeColor="text1"/>
        </w:rPr>
        <w:t>S</w:t>
      </w:r>
      <w:r w:rsidR="007054BB" w:rsidRPr="002011F7">
        <w:rPr>
          <w:b/>
          <w:bCs/>
          <w:color w:val="000000" w:themeColor="text1"/>
        </w:rPr>
        <w:t>1</w:t>
      </w:r>
      <w:r w:rsidRPr="002011F7">
        <w:rPr>
          <w:b/>
          <w:bCs/>
          <w:color w:val="000000" w:themeColor="text1"/>
        </w:rPr>
        <w:t>.</w:t>
      </w:r>
      <w:r w:rsidRPr="002011F7">
        <w:rPr>
          <w:color w:val="000000" w:themeColor="text1"/>
        </w:rPr>
        <w:t xml:space="preserve"> </w:t>
      </w:r>
      <w:r w:rsidR="000972D8" w:rsidRPr="00162D8C">
        <w:t>Wannier-interpolated G</w:t>
      </w:r>
      <w:r w:rsidR="000972D8" w:rsidRPr="00EE36BD">
        <w:rPr>
          <w:vertAlign w:val="subscript"/>
        </w:rPr>
        <w:t>0</w:t>
      </w:r>
      <w:r w:rsidR="000972D8" w:rsidRPr="00162D8C">
        <w:t>W</w:t>
      </w:r>
      <w:r w:rsidR="000972D8" w:rsidRPr="00EE36BD">
        <w:rPr>
          <w:vertAlign w:val="subscript"/>
        </w:rPr>
        <w:t>0</w:t>
      </w:r>
      <w:r w:rsidR="000972D8" w:rsidRPr="00162D8C">
        <w:t xml:space="preserve"> band structures and corresponding G</w:t>
      </w:r>
      <w:r w:rsidR="000972D8" w:rsidRPr="00EE36BD">
        <w:rPr>
          <w:vertAlign w:val="subscript"/>
        </w:rPr>
        <w:t>0</w:t>
      </w:r>
      <w:r w:rsidR="000972D8" w:rsidRPr="00162D8C">
        <w:t>W</w:t>
      </w:r>
      <w:r w:rsidR="000972D8" w:rsidRPr="00EE36BD">
        <w:rPr>
          <w:vertAlign w:val="subscript"/>
        </w:rPr>
        <w:t>0</w:t>
      </w:r>
      <w:r w:rsidR="000972D8" w:rsidRPr="00162D8C">
        <w:t xml:space="preserve"> density of states (DOS), including both total and orbital-projected contributions, for pristine and defective </w:t>
      </w:r>
      <w:r w:rsidR="00B15EFE">
        <w:t>4</w:t>
      </w:r>
      <w:r w:rsidR="000972D8" w:rsidRPr="00162D8C">
        <w:t>×</w:t>
      </w:r>
      <w:r w:rsidR="00B15EFE">
        <w:t>4</w:t>
      </w:r>
      <w:r w:rsidR="000972D8" w:rsidRPr="00162D8C">
        <w:t xml:space="preserve"> MoS</w:t>
      </w:r>
      <w:r w:rsidR="000972D8" w:rsidRPr="00162D8C">
        <w:rPr>
          <w:vertAlign w:val="subscript"/>
        </w:rPr>
        <w:t>2</w:t>
      </w:r>
      <w:r w:rsidR="000972D8" w:rsidRPr="00162D8C">
        <w:t xml:space="preserve"> and MoSe</w:t>
      </w:r>
      <w:r w:rsidR="000972D8" w:rsidRPr="00162D8C">
        <w:rPr>
          <w:vertAlign w:val="subscript"/>
        </w:rPr>
        <w:t>2</w:t>
      </w:r>
      <w:r w:rsidR="000972D8" w:rsidRPr="00162D8C">
        <w:t xml:space="preserve"> monolayers with</w:t>
      </w:r>
      <w:r w:rsidR="002549FD">
        <w:t>out</w:t>
      </w:r>
      <w:r w:rsidR="000972D8" w:rsidRPr="00162D8C">
        <w:t xml:space="preserve"> spin–orbit coupling. Panels show (a, b) pristine</w:t>
      </w:r>
      <w:r w:rsidR="000972D8">
        <w:t xml:space="preserve"> </w:t>
      </w:r>
      <w:r w:rsidR="000972D8" w:rsidRPr="00162D8C">
        <w:t>MoS</w:t>
      </w:r>
      <w:r w:rsidR="000972D8" w:rsidRPr="00162D8C">
        <w:rPr>
          <w:vertAlign w:val="subscript"/>
        </w:rPr>
        <w:t>2</w:t>
      </w:r>
      <w:r w:rsidR="000972D8" w:rsidRPr="00162D8C">
        <w:t>, (c, d) MoS</w:t>
      </w:r>
      <w:r w:rsidR="000972D8" w:rsidRPr="00162D8C">
        <w:rPr>
          <w:vertAlign w:val="subscript"/>
        </w:rPr>
        <w:t>2</w:t>
      </w:r>
      <w:r w:rsidR="000972D8" w:rsidRPr="00162D8C"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1S</m:t>
            </m:r>
          </m:sub>
        </m:sSub>
      </m:oMath>
      <w:r w:rsidR="000972D8" w:rsidRPr="00162D8C">
        <w:t>, (e, f) MoS</w:t>
      </w:r>
      <w:r w:rsidR="000972D8" w:rsidRPr="00162D8C">
        <w:rPr>
          <w:vertAlign w:val="subscript"/>
        </w:rPr>
        <w:t xml:space="preserve">2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2S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s</m:t>
            </m:r>
          </m:sup>
        </m:sSubSup>
      </m:oMath>
      <w:r w:rsidR="000972D8">
        <w:rPr>
          <w:color w:val="000000" w:themeColor="text1"/>
        </w:rPr>
        <w:t xml:space="preserve">, </w:t>
      </w:r>
      <w:r w:rsidR="000972D8" w:rsidRPr="00162D8C">
        <w:t>(g, h) MoS</w:t>
      </w:r>
      <w:r w:rsidR="000972D8" w:rsidRPr="00162D8C">
        <w:rPr>
          <w:vertAlign w:val="subscript"/>
        </w:rPr>
        <w:t xml:space="preserve">2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2S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o</m:t>
            </m:r>
          </m:sup>
        </m:sSubSup>
      </m:oMath>
      <w:r w:rsidR="000972D8" w:rsidRPr="00162D8C">
        <w:rPr>
          <w:color w:val="000000" w:themeColor="text1"/>
        </w:rPr>
        <w:t xml:space="preserve">, </w:t>
      </w:r>
      <w:r w:rsidR="000972D8" w:rsidRPr="00162D8C">
        <w:t>(</w:t>
      </w:r>
      <w:proofErr w:type="spellStart"/>
      <w:r w:rsidR="000972D8" w:rsidRPr="00162D8C">
        <w:t>i</w:t>
      </w:r>
      <w:proofErr w:type="spellEnd"/>
      <w:r w:rsidR="000972D8" w:rsidRPr="00162D8C">
        <w:t>, j) pristine</w:t>
      </w:r>
      <w:r w:rsidR="000972D8">
        <w:t xml:space="preserve"> </w:t>
      </w:r>
      <w:r w:rsidR="000972D8" w:rsidRPr="00162D8C">
        <w:t>MoSe</w:t>
      </w:r>
      <w:r w:rsidR="000972D8" w:rsidRPr="00162D8C">
        <w:rPr>
          <w:vertAlign w:val="subscript"/>
        </w:rPr>
        <w:t>2</w:t>
      </w:r>
      <w:r w:rsidR="000972D8" w:rsidRPr="00162D8C">
        <w:t>, (k, l) MoSe</w:t>
      </w:r>
      <w:r w:rsidR="000972D8" w:rsidRPr="00162D8C">
        <w:rPr>
          <w:vertAlign w:val="subscript"/>
        </w:rPr>
        <w:t xml:space="preserve">2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1Se</m:t>
            </m:r>
          </m:sub>
        </m:sSub>
      </m:oMath>
      <w:r w:rsidR="000972D8" w:rsidRPr="00162D8C">
        <w:t>, (m, n) MoSe</w:t>
      </w:r>
      <w:r w:rsidR="000972D8" w:rsidRPr="00162D8C">
        <w:rPr>
          <w:vertAlign w:val="subscript"/>
        </w:rPr>
        <w:t xml:space="preserve">2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2Se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s</m:t>
            </m:r>
          </m:sup>
        </m:sSubSup>
      </m:oMath>
      <w:r w:rsidR="000972D8" w:rsidRPr="00162D8C">
        <w:rPr>
          <w:color w:val="000000" w:themeColor="text1"/>
        </w:rPr>
        <w:t xml:space="preserve">, and </w:t>
      </w:r>
      <w:r w:rsidR="000972D8" w:rsidRPr="00162D8C">
        <w:t>(o, p) MoSe</w:t>
      </w:r>
      <w:r w:rsidR="000972D8" w:rsidRPr="00162D8C">
        <w:rPr>
          <w:vertAlign w:val="subscript"/>
        </w:rPr>
        <w:t xml:space="preserve">2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2Se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o</m:t>
            </m:r>
          </m:sup>
        </m:sSubSup>
      </m:oMath>
      <w:r w:rsidR="000972D8" w:rsidRPr="00162D8C">
        <w:t>. Black, red, green, and blue denote the total, metal-</w:t>
      </w:r>
      <w:proofErr w:type="spellStart"/>
      <w:r w:rsidR="000972D8" w:rsidRPr="00162D8C">
        <w:rPr>
          <w:rStyle w:val="s1"/>
        </w:rPr>
        <w:t>sp</w:t>
      </w:r>
      <w:proofErr w:type="spellEnd"/>
      <w:r w:rsidR="000972D8" w:rsidRPr="00162D8C">
        <w:t>, metal-</w:t>
      </w:r>
      <w:r w:rsidR="000972D8" w:rsidRPr="00162D8C">
        <w:rPr>
          <w:rStyle w:val="s1"/>
        </w:rPr>
        <w:t>d</w:t>
      </w:r>
      <w:r w:rsidR="000972D8" w:rsidRPr="00162D8C">
        <w:t>, and S/Se-</w:t>
      </w:r>
      <w:proofErr w:type="spellStart"/>
      <w:r w:rsidR="000972D8" w:rsidRPr="00162D8C">
        <w:rPr>
          <w:rStyle w:val="s1"/>
        </w:rPr>
        <w:t>sp</w:t>
      </w:r>
      <w:proofErr w:type="spellEnd"/>
      <w:r w:rsidR="000972D8" w:rsidRPr="00162D8C">
        <w:t xml:space="preserve"> contributions, respectively. </w:t>
      </w:r>
      <w:r w:rsidR="000972D8">
        <w:t xml:space="preserve">The arrows indicate the </w:t>
      </w:r>
      <w:r w:rsidR="000972D8">
        <w:rPr>
          <w:rStyle w:val="s1"/>
        </w:rPr>
        <w:t>G</w:t>
      </w:r>
      <w:r w:rsidR="000972D8" w:rsidRPr="0087193C">
        <w:rPr>
          <w:rStyle w:val="s1"/>
          <w:vertAlign w:val="subscript"/>
        </w:rPr>
        <w:t>0</w:t>
      </w:r>
      <w:r w:rsidR="000972D8">
        <w:rPr>
          <w:rStyle w:val="s1"/>
        </w:rPr>
        <w:t>W</w:t>
      </w:r>
      <w:r w:rsidR="000972D8" w:rsidRPr="0087193C">
        <w:rPr>
          <w:rStyle w:val="s1"/>
          <w:vertAlign w:val="subscript"/>
        </w:rPr>
        <w:t>0</w:t>
      </w:r>
      <w:r w:rsidR="000972D8">
        <w:t xml:space="preserve"> band gaps, and the Fermi energy is set to zero</w:t>
      </w:r>
      <w:r w:rsidR="000972D8" w:rsidRPr="00162D8C">
        <w:t xml:space="preserve">. Here,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1X</m:t>
            </m:r>
          </m:sub>
        </m:sSub>
      </m:oMath>
      <w:r w:rsidR="000972D8" w:rsidRPr="00162D8C">
        <w:t xml:space="preserve">,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2X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s</m:t>
            </m:r>
          </m:sup>
        </m:sSubSup>
      </m:oMath>
      <w:r w:rsidR="000972D8" w:rsidRPr="00162D8C">
        <w:t xml:space="preserve">, and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2X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o</m:t>
            </m:r>
          </m:sup>
        </m:sSubSup>
      </m:oMath>
      <w:r w:rsidR="000972D8" w:rsidRPr="00162D8C">
        <w:t xml:space="preserve">, denote a single chalcogen vacancy, two chalcogen vacancies in the same layer, and two chalcogen vacancies in opposite layers, respectively, where </w:t>
      </w:r>
      <w:r w:rsidR="000972D8" w:rsidRPr="00162D8C">
        <w:rPr>
          <w:rStyle w:val="s1"/>
        </w:rPr>
        <w:t>X = S</w:t>
      </w:r>
      <w:r w:rsidR="000972D8">
        <w:rPr>
          <w:rStyle w:val="s1"/>
        </w:rPr>
        <w:t xml:space="preserve"> or </w:t>
      </w:r>
      <w:r w:rsidR="000972D8" w:rsidRPr="00162D8C">
        <w:rPr>
          <w:rStyle w:val="s1"/>
        </w:rPr>
        <w:t xml:space="preserve">Se. </w:t>
      </w:r>
    </w:p>
    <w:p w14:paraId="1C481435" w14:textId="1ADEE025" w:rsidR="00D3084B" w:rsidRDefault="00D3084B" w:rsidP="0099134B">
      <w:pPr>
        <w:pStyle w:val="p1"/>
        <w:jc w:val="both"/>
        <w:rPr>
          <w:sz w:val="20"/>
          <w:szCs w:val="20"/>
        </w:rPr>
      </w:pPr>
    </w:p>
    <w:p w14:paraId="5DB76D6D" w14:textId="7A4D3650" w:rsidR="00D3084B" w:rsidRDefault="00D3084B" w:rsidP="0099134B">
      <w:pPr>
        <w:pStyle w:val="p1"/>
        <w:jc w:val="both"/>
        <w:rPr>
          <w:sz w:val="20"/>
          <w:szCs w:val="20"/>
        </w:rPr>
      </w:pPr>
    </w:p>
    <w:p w14:paraId="1EF56DEE" w14:textId="7DEADDB2" w:rsidR="00D3084B" w:rsidRDefault="00D3084B" w:rsidP="0099134B">
      <w:pPr>
        <w:pStyle w:val="p1"/>
        <w:jc w:val="both"/>
        <w:rPr>
          <w:sz w:val="20"/>
          <w:szCs w:val="20"/>
        </w:rPr>
      </w:pPr>
    </w:p>
    <w:p w14:paraId="7CD325D2" w14:textId="7349B851" w:rsidR="00D3084B" w:rsidRDefault="00561A63" w:rsidP="0099134B">
      <w:pPr>
        <w:pStyle w:val="p1"/>
        <w:jc w:val="both"/>
        <w:rPr>
          <w:sz w:val="20"/>
          <w:szCs w:val="20"/>
        </w:rPr>
      </w:pPr>
      <w:r w:rsidRPr="00BF7DB5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2CD040E7" wp14:editId="412155F1">
            <wp:simplePos x="0" y="0"/>
            <wp:positionH relativeFrom="margin">
              <wp:posOffset>254635</wp:posOffset>
            </wp:positionH>
            <wp:positionV relativeFrom="paragraph">
              <wp:posOffset>-274955</wp:posOffset>
            </wp:positionV>
            <wp:extent cx="5307330" cy="4732775"/>
            <wp:effectExtent l="0" t="0" r="7620" b="0"/>
            <wp:wrapNone/>
            <wp:docPr id="74927859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78593" name="Pictur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330" cy="473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E0FFD" w14:textId="77777777" w:rsidR="00D3084B" w:rsidRDefault="00D3084B" w:rsidP="0099134B">
      <w:pPr>
        <w:pStyle w:val="p1"/>
        <w:jc w:val="both"/>
        <w:rPr>
          <w:sz w:val="20"/>
          <w:szCs w:val="20"/>
        </w:rPr>
      </w:pPr>
    </w:p>
    <w:p w14:paraId="183F5256" w14:textId="1CD3E4E5" w:rsidR="00D3084B" w:rsidRDefault="00D3084B" w:rsidP="0099134B">
      <w:pPr>
        <w:pStyle w:val="p1"/>
        <w:jc w:val="both"/>
        <w:rPr>
          <w:sz w:val="20"/>
          <w:szCs w:val="20"/>
        </w:rPr>
      </w:pPr>
    </w:p>
    <w:p w14:paraId="3A54BDD9" w14:textId="53C764F5" w:rsidR="00D3084B" w:rsidRPr="00CA1062" w:rsidRDefault="00D3084B" w:rsidP="0099134B">
      <w:pPr>
        <w:pStyle w:val="p1"/>
        <w:jc w:val="both"/>
        <w:rPr>
          <w:sz w:val="20"/>
          <w:szCs w:val="20"/>
        </w:rPr>
      </w:pPr>
    </w:p>
    <w:p w14:paraId="3583D3EC" w14:textId="6A7E8F78" w:rsidR="0099134B" w:rsidRDefault="0099134B" w:rsidP="0099134B">
      <w:pPr>
        <w:spacing w:line="360" w:lineRule="auto"/>
        <w:jc w:val="both"/>
        <w:rPr>
          <w:color w:val="000000" w:themeColor="text1"/>
        </w:rPr>
      </w:pPr>
    </w:p>
    <w:p w14:paraId="1D65CF5E" w14:textId="1C830AA4" w:rsidR="0099134B" w:rsidRDefault="0099134B" w:rsidP="0099134B">
      <w:pPr>
        <w:spacing w:line="360" w:lineRule="auto"/>
        <w:jc w:val="both"/>
        <w:rPr>
          <w:color w:val="000000" w:themeColor="text1"/>
        </w:rPr>
      </w:pPr>
    </w:p>
    <w:p w14:paraId="65D0F953" w14:textId="51AD21BB" w:rsidR="0099134B" w:rsidRDefault="0099134B" w:rsidP="0099134B">
      <w:pPr>
        <w:spacing w:line="360" w:lineRule="auto"/>
        <w:jc w:val="both"/>
        <w:rPr>
          <w:color w:val="000000" w:themeColor="text1"/>
        </w:rPr>
      </w:pPr>
    </w:p>
    <w:p w14:paraId="1CF9DD7D" w14:textId="77777777" w:rsidR="0099134B" w:rsidRPr="00BF7DB5" w:rsidRDefault="0099134B" w:rsidP="0099134B">
      <w:pPr>
        <w:spacing w:line="360" w:lineRule="auto"/>
        <w:jc w:val="both"/>
        <w:rPr>
          <w:color w:val="000000" w:themeColor="text1"/>
        </w:rPr>
      </w:pPr>
    </w:p>
    <w:p w14:paraId="38B2D34F" w14:textId="60938F7B" w:rsidR="0099134B" w:rsidRDefault="0099134B" w:rsidP="0099134B">
      <w:pPr>
        <w:spacing w:line="360" w:lineRule="auto"/>
        <w:rPr>
          <w:color w:val="000000" w:themeColor="text1"/>
        </w:rPr>
      </w:pPr>
    </w:p>
    <w:p w14:paraId="6ACCC533" w14:textId="77777777" w:rsidR="00623287" w:rsidRDefault="00623287" w:rsidP="0099134B">
      <w:pPr>
        <w:pStyle w:val="p1"/>
        <w:jc w:val="both"/>
        <w:rPr>
          <w:b/>
          <w:bCs/>
          <w:color w:val="000000" w:themeColor="text1"/>
        </w:rPr>
      </w:pPr>
    </w:p>
    <w:p w14:paraId="64890B65" w14:textId="77777777" w:rsidR="00561A63" w:rsidRDefault="00561A63" w:rsidP="000A3349">
      <w:pPr>
        <w:pStyle w:val="p1"/>
        <w:jc w:val="both"/>
        <w:rPr>
          <w:b/>
          <w:bCs/>
          <w:color w:val="000000" w:themeColor="text1"/>
        </w:rPr>
      </w:pPr>
    </w:p>
    <w:p w14:paraId="6E861567" w14:textId="77777777" w:rsidR="00561A63" w:rsidRDefault="00561A63" w:rsidP="000A3349">
      <w:pPr>
        <w:pStyle w:val="p1"/>
        <w:jc w:val="both"/>
        <w:rPr>
          <w:b/>
          <w:bCs/>
          <w:color w:val="000000" w:themeColor="text1"/>
        </w:rPr>
      </w:pPr>
    </w:p>
    <w:p w14:paraId="19A11935" w14:textId="77777777" w:rsidR="00561A63" w:rsidRDefault="00561A63" w:rsidP="000A3349">
      <w:pPr>
        <w:pStyle w:val="p1"/>
        <w:jc w:val="both"/>
        <w:rPr>
          <w:b/>
          <w:bCs/>
          <w:color w:val="000000" w:themeColor="text1"/>
        </w:rPr>
      </w:pPr>
    </w:p>
    <w:p w14:paraId="3216B32A" w14:textId="77777777" w:rsidR="00C17E85" w:rsidRDefault="00C17E85" w:rsidP="000A3349">
      <w:pPr>
        <w:pStyle w:val="p1"/>
        <w:jc w:val="both"/>
        <w:rPr>
          <w:b/>
          <w:bCs/>
          <w:color w:val="000000" w:themeColor="text1"/>
        </w:rPr>
      </w:pPr>
    </w:p>
    <w:p w14:paraId="5B2E1F8A" w14:textId="182A8400" w:rsidR="000A3349" w:rsidRPr="00162D8C" w:rsidRDefault="0099134B" w:rsidP="000A3349">
      <w:pPr>
        <w:pStyle w:val="p1"/>
        <w:jc w:val="both"/>
      </w:pPr>
      <w:r w:rsidRPr="00403B09">
        <w:rPr>
          <w:b/>
          <w:bCs/>
          <w:color w:val="000000" w:themeColor="text1"/>
        </w:rPr>
        <w:t xml:space="preserve">Fig. </w:t>
      </w:r>
      <w:r w:rsidR="00A70DE3" w:rsidRPr="00403B09">
        <w:rPr>
          <w:b/>
          <w:bCs/>
          <w:color w:val="000000" w:themeColor="text1"/>
        </w:rPr>
        <w:t>S</w:t>
      </w:r>
      <w:r w:rsidR="00403B09">
        <w:rPr>
          <w:b/>
          <w:bCs/>
          <w:color w:val="000000" w:themeColor="text1"/>
        </w:rPr>
        <w:t>2</w:t>
      </w:r>
      <w:r w:rsidRPr="00403B09">
        <w:rPr>
          <w:b/>
          <w:bCs/>
          <w:color w:val="000000" w:themeColor="text1"/>
        </w:rPr>
        <w:t>.</w:t>
      </w:r>
      <w:r w:rsidRPr="00403B09">
        <w:rPr>
          <w:color w:val="000000" w:themeColor="text1"/>
        </w:rPr>
        <w:t xml:space="preserve"> </w:t>
      </w:r>
      <w:r w:rsidR="00A92194" w:rsidRPr="00162D8C">
        <w:t>Wannier-interpolated G</w:t>
      </w:r>
      <w:r w:rsidR="00A92194" w:rsidRPr="00A15CFF">
        <w:rPr>
          <w:vertAlign w:val="subscript"/>
        </w:rPr>
        <w:t>0</w:t>
      </w:r>
      <w:r w:rsidR="00A92194" w:rsidRPr="00162D8C">
        <w:t>W</w:t>
      </w:r>
      <w:r w:rsidR="00A92194" w:rsidRPr="00A15CFF">
        <w:rPr>
          <w:vertAlign w:val="subscript"/>
        </w:rPr>
        <w:t>0</w:t>
      </w:r>
      <w:r w:rsidR="00A92194" w:rsidRPr="00162D8C">
        <w:t xml:space="preserve"> band structures and corresponding G</w:t>
      </w:r>
      <w:r w:rsidR="00A92194" w:rsidRPr="00A15CFF">
        <w:rPr>
          <w:vertAlign w:val="subscript"/>
        </w:rPr>
        <w:t>0</w:t>
      </w:r>
      <w:r w:rsidR="00A92194" w:rsidRPr="00162D8C">
        <w:t>W</w:t>
      </w:r>
      <w:r w:rsidR="00A92194" w:rsidRPr="00A15CFF">
        <w:rPr>
          <w:vertAlign w:val="subscript"/>
        </w:rPr>
        <w:t>0</w:t>
      </w:r>
      <w:r w:rsidR="00A92194" w:rsidRPr="00162D8C">
        <w:t xml:space="preserve"> density of states (DOS), including both total and orbital-projected contributions,</w:t>
      </w:r>
      <w:r w:rsidR="00A92194">
        <w:t xml:space="preserve"> for pristine and defective </w:t>
      </w:r>
      <w:r w:rsidR="006574F6">
        <w:rPr>
          <w:color w:val="000000" w:themeColor="text1"/>
        </w:rPr>
        <w:t>4</w:t>
      </w:r>
      <w:r w:rsidR="00A92194" w:rsidRPr="00EC13D8">
        <w:rPr>
          <w:color w:val="000000" w:themeColor="text1"/>
        </w:rPr>
        <w:t>×</w:t>
      </w:r>
      <w:r w:rsidR="006574F6">
        <w:rPr>
          <w:color w:val="000000" w:themeColor="text1"/>
        </w:rPr>
        <w:t>4</w:t>
      </w:r>
      <w:r w:rsidR="00A92194">
        <w:rPr>
          <w:color w:val="000000" w:themeColor="text1"/>
        </w:rPr>
        <w:t xml:space="preserve"> </w:t>
      </w:r>
      <w:r w:rsidR="00A92194" w:rsidRPr="00EC13D8">
        <w:rPr>
          <w:color w:val="000000" w:themeColor="text1"/>
        </w:rPr>
        <w:t>WSe</w:t>
      </w:r>
      <w:r w:rsidR="00A92194" w:rsidRPr="00EC13D8">
        <w:rPr>
          <w:color w:val="000000" w:themeColor="text1"/>
          <w:vertAlign w:val="subscript"/>
        </w:rPr>
        <w:t>2</w:t>
      </w:r>
      <w:r w:rsidR="00A92194">
        <w:rPr>
          <w:color w:val="000000" w:themeColor="text1"/>
        </w:rPr>
        <w:t xml:space="preserve"> monolayers with</w:t>
      </w:r>
      <w:r w:rsidR="001D54EA">
        <w:rPr>
          <w:color w:val="000000" w:themeColor="text1"/>
        </w:rPr>
        <w:t>out</w:t>
      </w:r>
      <w:r w:rsidR="00A92194">
        <w:rPr>
          <w:color w:val="000000" w:themeColor="text1"/>
        </w:rPr>
        <w:t xml:space="preserve"> spin-orbit coupling.</w:t>
      </w:r>
      <w:r w:rsidR="00A92194" w:rsidRPr="00EC13D8">
        <w:rPr>
          <w:color w:val="000000" w:themeColor="text1"/>
        </w:rPr>
        <w:t xml:space="preserve"> </w:t>
      </w:r>
      <w:r w:rsidR="00A92194">
        <w:rPr>
          <w:color w:val="000000" w:themeColor="text1"/>
        </w:rPr>
        <w:t xml:space="preserve">Panels show </w:t>
      </w:r>
      <w:r w:rsidR="00A92194" w:rsidRPr="00EC13D8">
        <w:rPr>
          <w:color w:val="000000" w:themeColor="text1"/>
        </w:rPr>
        <w:t>(a, b) pristine</w:t>
      </w:r>
      <w:r w:rsidR="00A92194">
        <w:rPr>
          <w:color w:val="000000" w:themeColor="text1"/>
        </w:rPr>
        <w:t xml:space="preserve"> </w:t>
      </w:r>
      <w:r w:rsidR="00A92194" w:rsidRPr="00EC13D8">
        <w:rPr>
          <w:color w:val="000000" w:themeColor="text1"/>
        </w:rPr>
        <w:t>WSe</w:t>
      </w:r>
      <w:r w:rsidR="00A92194" w:rsidRPr="00EC13D8">
        <w:rPr>
          <w:color w:val="000000" w:themeColor="text1"/>
          <w:vertAlign w:val="subscript"/>
        </w:rPr>
        <w:t>2</w:t>
      </w:r>
      <w:r w:rsidR="00A92194" w:rsidRPr="00EC13D8">
        <w:rPr>
          <w:color w:val="000000" w:themeColor="text1"/>
        </w:rPr>
        <w:t xml:space="preserve">, (c, d) single </w:t>
      </w:r>
      <w:r w:rsidR="00A92194">
        <w:rPr>
          <w:color w:val="000000" w:themeColor="text1"/>
        </w:rPr>
        <w:t>Se</w:t>
      </w:r>
      <w:r w:rsidR="00A92194" w:rsidRPr="00EC13D8">
        <w:rPr>
          <w:color w:val="000000" w:themeColor="text1"/>
        </w:rPr>
        <w:t xml:space="preserve"> vacancy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1Se</m:t>
            </m:r>
          </m:sub>
        </m:sSub>
      </m:oMath>
      <w:r w:rsidR="00A92194">
        <w:rPr>
          <w:color w:val="000000" w:themeColor="text1"/>
        </w:rPr>
        <w:t>,</w:t>
      </w:r>
      <w:r w:rsidR="00A92194" w:rsidRPr="00EC13D8">
        <w:rPr>
          <w:color w:val="000000" w:themeColor="text1"/>
        </w:rPr>
        <w:t xml:space="preserve"> (e, f) </w:t>
      </w:r>
      <w:r w:rsidR="00A92194">
        <w:rPr>
          <w:color w:val="000000" w:themeColor="text1"/>
        </w:rPr>
        <w:t>same-layer Se divacancy</w:t>
      </w:r>
      <w:r w:rsidR="00A92194" w:rsidRPr="00EC13D8">
        <w:rPr>
          <w:color w:val="000000" w:themeColor="text1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2Se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s</m:t>
            </m:r>
          </m:sup>
        </m:sSubSup>
        <m:r>
          <w:rPr>
            <w:rFonts w:ascii="Cambria Math" w:hAnsi="Cambria Math"/>
            <w:color w:val="000000" w:themeColor="text1"/>
          </w:rPr>
          <m:t xml:space="preserve"> </m:t>
        </m:r>
      </m:oMath>
      <w:r w:rsidR="00A92194" w:rsidRPr="00EC13D8">
        <w:rPr>
          <w:color w:val="000000" w:themeColor="text1"/>
        </w:rPr>
        <w:t xml:space="preserve">, and (g, h) </w:t>
      </w:r>
      <w:r w:rsidR="00A92194" w:rsidRPr="00EC13D8">
        <w:t>opposite</w:t>
      </w:r>
      <w:r w:rsidR="00A92194">
        <w:t>-</w:t>
      </w:r>
      <w:r w:rsidR="00A92194" w:rsidRPr="00EC13D8">
        <w:t>layer</w:t>
      </w:r>
      <w:r w:rsidR="00A92194">
        <w:t xml:space="preserve"> </w:t>
      </w:r>
      <w:r w:rsidR="00A92194">
        <w:rPr>
          <w:color w:val="000000" w:themeColor="text1"/>
        </w:rPr>
        <w:t>Se</w:t>
      </w:r>
      <w:r w:rsidR="00A92194">
        <w:t xml:space="preserve"> divacancy </w:t>
      </w:r>
      <m:oMath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2Se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o</m:t>
            </m:r>
          </m:sup>
        </m:sSubSup>
      </m:oMath>
      <w:r w:rsidR="00A92194" w:rsidRPr="00EC13D8">
        <w:rPr>
          <w:color w:val="000000" w:themeColor="text1"/>
        </w:rPr>
        <w:t>.</w:t>
      </w:r>
      <w:r w:rsidR="00A92194" w:rsidRPr="00EC13D8">
        <w:t xml:space="preserve"> </w:t>
      </w:r>
      <w:r w:rsidR="00A92194">
        <w:t>Black, red, green, and blue denote total, W-</w:t>
      </w:r>
      <w:proofErr w:type="spellStart"/>
      <w:r w:rsidR="00A92194">
        <w:t>sp</w:t>
      </w:r>
      <w:proofErr w:type="spellEnd"/>
      <w:r w:rsidR="00A92194">
        <w:t>, W-d, and Se-</w:t>
      </w:r>
      <w:proofErr w:type="spellStart"/>
      <w:r w:rsidR="00A92194">
        <w:t>sp</w:t>
      </w:r>
      <w:proofErr w:type="spellEnd"/>
      <w:r w:rsidR="00A92194">
        <w:t xml:space="preserve"> contributions, respectively. The arrows indicate the </w:t>
      </w:r>
      <w:r w:rsidR="00A92194">
        <w:rPr>
          <w:rStyle w:val="s1"/>
        </w:rPr>
        <w:t>G</w:t>
      </w:r>
      <w:r w:rsidR="00A92194" w:rsidRPr="0087193C">
        <w:rPr>
          <w:rStyle w:val="s1"/>
          <w:vertAlign w:val="subscript"/>
        </w:rPr>
        <w:t>0</w:t>
      </w:r>
      <w:r w:rsidR="00A92194">
        <w:rPr>
          <w:rStyle w:val="s1"/>
        </w:rPr>
        <w:t>W</w:t>
      </w:r>
      <w:r w:rsidR="00A92194" w:rsidRPr="0087193C">
        <w:rPr>
          <w:rStyle w:val="s1"/>
          <w:vertAlign w:val="subscript"/>
        </w:rPr>
        <w:t>0</w:t>
      </w:r>
      <w:r w:rsidR="00A92194">
        <w:t xml:space="preserve"> band gaps, and the Fermi energy is set to zero.</w:t>
      </w:r>
    </w:p>
    <w:p w14:paraId="4F4C05D1" w14:textId="137CD9D0" w:rsidR="0099134B" w:rsidRPr="00403B09" w:rsidRDefault="0099134B" w:rsidP="0099134B">
      <w:pPr>
        <w:pStyle w:val="p1"/>
        <w:jc w:val="both"/>
      </w:pPr>
    </w:p>
    <w:p w14:paraId="0B80781C" w14:textId="479E09A3" w:rsidR="00463B29" w:rsidRDefault="00463B29" w:rsidP="0057797C">
      <w:pPr>
        <w:rPr>
          <w:b/>
          <w:bCs/>
          <w:sz w:val="22"/>
          <w:szCs w:val="22"/>
        </w:rPr>
      </w:pPr>
      <w:bookmarkStart w:id="1" w:name="OLE_LINK1"/>
    </w:p>
    <w:p w14:paraId="40B7F686" w14:textId="77777777" w:rsidR="008670E8" w:rsidRDefault="008670E8" w:rsidP="0057797C">
      <w:pPr>
        <w:rPr>
          <w:b/>
          <w:bCs/>
          <w:sz w:val="22"/>
          <w:szCs w:val="22"/>
        </w:rPr>
      </w:pPr>
    </w:p>
    <w:p w14:paraId="43D2C751" w14:textId="77777777" w:rsidR="00165274" w:rsidRDefault="00165274" w:rsidP="0057797C">
      <w:pPr>
        <w:rPr>
          <w:b/>
          <w:bCs/>
          <w:sz w:val="22"/>
          <w:szCs w:val="22"/>
        </w:rPr>
      </w:pPr>
    </w:p>
    <w:p w14:paraId="4A77B21D" w14:textId="77777777" w:rsidR="00C87D97" w:rsidRDefault="00C87D97" w:rsidP="00C87D97">
      <w:pPr>
        <w:spacing w:line="360" w:lineRule="auto"/>
        <w:jc w:val="both"/>
        <w:rPr>
          <w:b/>
          <w:bCs/>
        </w:rPr>
      </w:pPr>
      <w:r w:rsidRPr="00C87D97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1F0F5E8C" wp14:editId="6AEAE8B8">
            <wp:extent cx="3953188" cy="5314950"/>
            <wp:effectExtent l="0" t="0" r="9525" b="0"/>
            <wp:docPr id="964368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68116" name=""/>
                    <pic:cNvPicPr/>
                  </pic:nvPicPr>
                  <pic:blipFill rotWithShape="1">
                    <a:blip r:embed="rId7"/>
                    <a:srcRect t="2039" b="2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03" cy="5331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382A6F" w14:textId="6DB4C1B2" w:rsidR="0013691E" w:rsidRPr="00C17E85" w:rsidRDefault="009F348B" w:rsidP="00C87D97">
      <w:pPr>
        <w:spacing w:line="240" w:lineRule="auto"/>
        <w:ind w:firstLine="0"/>
        <w:jc w:val="both"/>
        <w:rPr>
          <w:rFonts w:cs="Times New Roman"/>
          <w:b/>
          <w:bCs/>
        </w:rPr>
      </w:pPr>
      <w:r w:rsidRPr="00C17E85">
        <w:rPr>
          <w:rFonts w:cs="Times New Roman"/>
          <w:b/>
          <w:bCs/>
        </w:rPr>
        <w:t>Fig. S</w:t>
      </w:r>
      <w:bookmarkEnd w:id="1"/>
      <w:r w:rsidR="00403B09" w:rsidRPr="00C17E85">
        <w:rPr>
          <w:rFonts w:cs="Times New Roman"/>
          <w:b/>
          <w:bCs/>
        </w:rPr>
        <w:t>3</w:t>
      </w:r>
      <w:r w:rsidRPr="00C17E85">
        <w:rPr>
          <w:rFonts w:cs="Times New Roman"/>
          <w:b/>
          <w:bCs/>
        </w:rPr>
        <w:t>.</w:t>
      </w:r>
      <w:r w:rsidR="00560667" w:rsidRPr="00C17E85">
        <w:rPr>
          <w:rFonts w:cs="Times New Roman"/>
          <w:color w:val="000000" w:themeColor="text1"/>
        </w:rPr>
        <w:t xml:space="preserve"> </w:t>
      </w:r>
      <w:r w:rsidR="0013691E" w:rsidRPr="00C17E85">
        <w:rPr>
          <w:rFonts w:cs="Times New Roman"/>
        </w:rPr>
        <w:t xml:space="preserve">In-plane component of the imaginary part of the dielectric function calculated </w:t>
      </w:r>
      <w:r w:rsidR="0013691E" w:rsidRPr="00C17E85">
        <w:rPr>
          <w:rFonts w:cs="Times New Roman"/>
          <w:color w:val="000000" w:themeColor="text1"/>
        </w:rPr>
        <w:t xml:space="preserve">for the </w:t>
      </w:r>
      <w:r w:rsidR="00606669" w:rsidRPr="00C17E85">
        <w:rPr>
          <w:rFonts w:cs="Times New Roman"/>
          <w:color w:val="000000" w:themeColor="text1"/>
        </w:rPr>
        <w:t>4</w:t>
      </w:r>
      <w:r w:rsidR="0013691E" w:rsidRPr="00C17E85">
        <w:rPr>
          <w:rFonts w:cs="Times New Roman"/>
          <w:color w:val="000000" w:themeColor="text1"/>
        </w:rPr>
        <w:t>×</w:t>
      </w:r>
      <w:r w:rsidR="00606669" w:rsidRPr="00C17E85">
        <w:rPr>
          <w:rFonts w:cs="Times New Roman"/>
          <w:color w:val="000000" w:themeColor="text1"/>
        </w:rPr>
        <w:t>4</w:t>
      </w:r>
      <w:r w:rsidR="0013691E" w:rsidRPr="00C17E85">
        <w:rPr>
          <w:rFonts w:cs="Times New Roman"/>
          <w:color w:val="000000" w:themeColor="text1"/>
        </w:rPr>
        <w:t xml:space="preserve"> supercells of (a)-(d) MoS</w:t>
      </w:r>
      <w:r w:rsidR="0013691E" w:rsidRPr="00C17E85">
        <w:rPr>
          <w:rFonts w:cs="Times New Roman"/>
          <w:color w:val="000000" w:themeColor="text1"/>
          <w:vertAlign w:val="subscript"/>
        </w:rPr>
        <w:t>2</w:t>
      </w:r>
      <w:r w:rsidR="0013691E" w:rsidRPr="00C17E85">
        <w:rPr>
          <w:rFonts w:cs="Times New Roman"/>
          <w:color w:val="000000" w:themeColor="text1"/>
        </w:rPr>
        <w:t>, (e)-(h) MoSe</w:t>
      </w:r>
      <w:r w:rsidR="0013691E" w:rsidRPr="00C17E85">
        <w:rPr>
          <w:rFonts w:cs="Times New Roman"/>
          <w:color w:val="000000" w:themeColor="text1"/>
          <w:vertAlign w:val="subscript"/>
        </w:rPr>
        <w:t xml:space="preserve">2, </w:t>
      </w:r>
      <w:r w:rsidR="0013691E" w:rsidRPr="00C17E85">
        <w:rPr>
          <w:rFonts w:cs="Times New Roman"/>
          <w:color w:val="000000" w:themeColor="text1"/>
        </w:rPr>
        <w:t>and (</w:t>
      </w:r>
      <w:proofErr w:type="spellStart"/>
      <w:r w:rsidR="0013691E" w:rsidRPr="00C17E85">
        <w:rPr>
          <w:rFonts w:cs="Times New Roman"/>
          <w:color w:val="000000" w:themeColor="text1"/>
        </w:rPr>
        <w:t>i</w:t>
      </w:r>
      <w:proofErr w:type="spellEnd"/>
      <w:r w:rsidR="0013691E" w:rsidRPr="00C17E85">
        <w:rPr>
          <w:rFonts w:cs="Times New Roman"/>
          <w:color w:val="000000" w:themeColor="text1"/>
        </w:rPr>
        <w:t>)-(l) WSe</w:t>
      </w:r>
      <w:r w:rsidR="0013691E" w:rsidRPr="00C17E85">
        <w:rPr>
          <w:rFonts w:cs="Times New Roman"/>
          <w:color w:val="000000" w:themeColor="text1"/>
          <w:vertAlign w:val="subscript"/>
        </w:rPr>
        <w:t>2</w:t>
      </w:r>
      <w:r w:rsidR="0013691E" w:rsidRPr="00C17E85">
        <w:rPr>
          <w:rFonts w:cs="Times New Roman"/>
          <w:color w:val="000000" w:themeColor="text1"/>
        </w:rPr>
        <w:t xml:space="preserve"> monolayers.</w:t>
      </w:r>
      <w:r w:rsidR="0013691E" w:rsidRPr="00C17E85">
        <w:rPr>
          <w:rFonts w:cs="Times New Roman"/>
          <w:color w:val="000000" w:themeColor="text1"/>
          <w:vertAlign w:val="subscript"/>
        </w:rPr>
        <w:t xml:space="preserve"> </w:t>
      </w:r>
      <w:r w:rsidR="0013691E" w:rsidRPr="00C17E85">
        <w:rPr>
          <w:rFonts w:cs="Times New Roman"/>
          <w:color w:val="000000"/>
        </w:rPr>
        <w:t xml:space="preserve">Panels show (a, e, </w:t>
      </w:r>
      <w:proofErr w:type="spellStart"/>
      <w:r w:rsidR="0013691E" w:rsidRPr="00C17E85">
        <w:rPr>
          <w:rFonts w:cs="Times New Roman"/>
          <w:color w:val="000000"/>
        </w:rPr>
        <w:t>i</w:t>
      </w:r>
      <w:proofErr w:type="spellEnd"/>
      <w:r w:rsidR="0013691E" w:rsidRPr="00C17E85">
        <w:rPr>
          <w:rFonts w:cs="Times New Roman"/>
          <w:color w:val="000000"/>
        </w:rPr>
        <w:t xml:space="preserve">) pristine monolayers, (b, f, j) </w:t>
      </w:r>
      <w:r w:rsidR="0013691E" w:rsidRPr="00C17E85">
        <w:rPr>
          <w:rFonts w:cs="Times New Roman"/>
          <w:color w:val="000000" w:themeColor="text1"/>
        </w:rPr>
        <w:t xml:space="preserve">single chalcogen vacancy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1X</m:t>
            </m:r>
          </m:sub>
        </m:sSub>
      </m:oMath>
      <w:r w:rsidR="0013691E" w:rsidRPr="00C17E85">
        <w:rPr>
          <w:rFonts w:cs="Times New Roman"/>
          <w:color w:val="000000" w:themeColor="text1"/>
        </w:rPr>
        <w:t xml:space="preserve">,  double chalcogen vacancies </w:t>
      </w:r>
      <w:r w:rsidR="0013691E" w:rsidRPr="00C17E85">
        <w:rPr>
          <w:rFonts w:cs="Times New Roman"/>
        </w:rPr>
        <w:t xml:space="preserve">on the same layer </w:t>
      </w:r>
      <w:r w:rsidR="0013691E" w:rsidRPr="00C17E85">
        <w:rPr>
          <w:rFonts w:cs="Times New Roman"/>
          <w:color w:val="000000"/>
        </w:rPr>
        <w:t>(c, g, k)</w:t>
      </w:r>
      <w:r w:rsidR="0013691E" w:rsidRPr="00C17E85">
        <w:rPr>
          <w:rFonts w:cs="Times New Roman"/>
          <w:color w:val="000000" w:themeColor="text1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2X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s</m:t>
            </m:r>
          </m:sup>
        </m:sSubSup>
        <m:r>
          <w:rPr>
            <w:rFonts w:ascii="Cambria Math" w:hAnsi="Cambria Math" w:cs="Times New Roman"/>
            <w:color w:val="000000" w:themeColor="text1"/>
          </w:rPr>
          <m:t xml:space="preserve"> </m:t>
        </m:r>
      </m:oMath>
      <w:r w:rsidR="0013691E" w:rsidRPr="00C17E85">
        <w:rPr>
          <w:rFonts w:cs="Times New Roman"/>
          <w:color w:val="000000" w:themeColor="text1"/>
        </w:rPr>
        <w:t xml:space="preserve"> and </w:t>
      </w:r>
      <w:r w:rsidR="0013691E" w:rsidRPr="00C17E85">
        <w:rPr>
          <w:rFonts w:cs="Times New Roman"/>
          <w:color w:val="000000"/>
        </w:rPr>
        <w:t>(</w:t>
      </w:r>
      <w:proofErr w:type="spellStart"/>
      <w:r w:rsidR="0013691E" w:rsidRPr="00C17E85">
        <w:rPr>
          <w:rFonts w:cs="Times New Roman"/>
          <w:color w:val="000000"/>
        </w:rPr>
        <w:t>d,h,l</w:t>
      </w:r>
      <w:proofErr w:type="spellEnd"/>
      <w:r w:rsidR="0013691E" w:rsidRPr="00C17E85">
        <w:rPr>
          <w:rFonts w:cs="Times New Roman"/>
          <w:color w:val="000000"/>
        </w:rPr>
        <w:t xml:space="preserve">) </w:t>
      </w:r>
      <w:r w:rsidR="0013691E" w:rsidRPr="00C17E85">
        <w:rPr>
          <w:rFonts w:cs="Times New Roman"/>
        </w:rPr>
        <w:t xml:space="preserve">on opposite layers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2X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o</m:t>
            </m:r>
          </m:sup>
        </m:sSubSup>
      </m:oMath>
      <w:r w:rsidR="0013691E" w:rsidRPr="00C17E85">
        <w:rPr>
          <w:rFonts w:eastAsiaTheme="minorEastAsia" w:cs="Times New Roman"/>
          <w:color w:val="000000" w:themeColor="text1"/>
        </w:rPr>
        <w:t>, where X = S or Se</w:t>
      </w:r>
      <w:r w:rsidR="0013691E" w:rsidRPr="00C17E85">
        <w:rPr>
          <w:rFonts w:cs="Times New Roman"/>
          <w:color w:val="000000" w:themeColor="text1"/>
        </w:rPr>
        <w:t xml:space="preserve">. </w:t>
      </w:r>
      <w:r w:rsidR="0013691E" w:rsidRPr="00C17E85">
        <w:rPr>
          <w:rFonts w:cs="Times New Roman"/>
          <w:color w:val="000000"/>
        </w:rPr>
        <w:t xml:space="preserve">Black, red, and blue curves correspond to the full BSE, BSE@RPA, and BSE@IPA spectra, respectively. </w:t>
      </w:r>
      <w:r w:rsidR="0013691E" w:rsidRPr="00C17E85">
        <w:rPr>
          <w:rFonts w:cs="Times New Roman"/>
          <w:color w:val="0E0E0E"/>
        </w:rPr>
        <w:t xml:space="preserve">RPA denotes the random-phase approximation, and IPA the independent-particle approximation. </w:t>
      </w:r>
      <w:r w:rsidR="0013691E" w:rsidRPr="00C17E85">
        <w:rPr>
          <w:rFonts w:cs="Times New Roman"/>
        </w:rPr>
        <w:t>The labels A, B, A′, B′, and C denote bright, pristine-like excitonic features, whereas in defective spectra, these labels refer to perturbed, host-like excitons when they remain resolved.</w:t>
      </w:r>
      <w:r w:rsidR="0013691E" w:rsidRPr="00C17E85">
        <w:rPr>
          <w:rStyle w:val="apple-converted-space"/>
          <w:rFonts w:cs="Times New Roman"/>
        </w:rPr>
        <w:t> </w:t>
      </w:r>
      <w:r w:rsidR="0013691E" w:rsidRPr="00C17E85">
        <w:rPr>
          <w:rFonts w:cs="Times New Roman"/>
        </w:rPr>
        <w:t xml:space="preserve"> </w:t>
      </w:r>
      <w:r w:rsidR="0013691E" w:rsidRPr="00C17E85">
        <w:rPr>
          <w:rFonts w:cs="Times New Roman"/>
          <w:color w:val="000000"/>
        </w:rPr>
        <w:t xml:space="preserve">Orange arrows in the defective spectra indicate the classified optical regions: 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SupPr>
          <m:e>
            <m:r>
              <w:rPr>
                <w:rFonts w:ascii="Cambria Math" w:hAnsi="Cambria Math" w:cs="Times New Roman"/>
                <w:color w:val="000000" w:themeColor="text1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b>
          <m:sup>
            <m:r>
              <w:rPr>
                <w:rFonts w:ascii="Cambria Math" w:hAnsi="Cambria Math" w:cs="Times New Roman"/>
                <w:color w:val="000000" w:themeColor="text1"/>
              </w:rPr>
              <m:t>d</m:t>
            </m:r>
          </m:sup>
        </m:sSubSup>
      </m:oMath>
      <w:r w:rsidR="0013691E" w:rsidRPr="00C17E85">
        <w:rPr>
          <w:rFonts w:cs="Times New Roman"/>
          <w:color w:val="000000" w:themeColor="text1"/>
        </w:rPr>
        <w:t xml:space="preserve"> or </w:t>
      </w:r>
      <w:r w:rsidR="0013691E" w:rsidRPr="00C17E85">
        <w:rPr>
          <w:rFonts w:cs="Times New Roman"/>
          <w:color w:val="000000"/>
        </w:rPr>
        <w:t xml:space="preserve">Deep </w:t>
      </w:r>
      <w:r w:rsidR="0013691E" w:rsidRPr="00C17E85">
        <w:rPr>
          <w:rFonts w:cs="Times New Roman"/>
          <w:i/>
          <w:iCs/>
          <w:color w:val="000000"/>
        </w:rPr>
        <w:t>D</w:t>
      </w:r>
      <w:r w:rsidR="0013691E" w:rsidRPr="00C17E85">
        <w:rPr>
          <w:rFonts w:cs="Times New Roman"/>
          <w:i/>
          <w:iCs/>
          <w:color w:val="000000"/>
          <w:vertAlign w:val="subscript"/>
        </w:rPr>
        <w:t>2</w:t>
      </w:r>
      <w:r w:rsidR="0013691E" w:rsidRPr="00C17E85">
        <w:rPr>
          <w:rFonts w:cs="Times New Roman"/>
          <w:color w:val="000000"/>
        </w:rPr>
        <w:t xml:space="preserve"> corresponding to deep in-gap defect-to-defect transitions, </w:t>
      </w:r>
      <w:r w:rsidR="0013691E" w:rsidRPr="00C17E85">
        <w:rPr>
          <w:rFonts w:cs="Times New Roman"/>
          <w:i/>
          <w:iCs/>
          <w:color w:val="000000"/>
        </w:rPr>
        <w:t>D</w:t>
      </w:r>
      <w:r w:rsidR="00C87D97" w:rsidRPr="00C17E85">
        <w:rPr>
          <w:rFonts w:cs="Times New Roman"/>
          <w:i/>
          <w:iCs/>
          <w:color w:val="000000"/>
          <w:vertAlign w:val="subscript"/>
        </w:rPr>
        <w:t>2</w:t>
      </w:r>
      <w:r w:rsidR="0013691E" w:rsidRPr="00C17E85">
        <w:rPr>
          <w:rFonts w:cs="Times New Roman"/>
          <w:color w:val="000000"/>
        </w:rPr>
        <w:t xml:space="preserve"> corresponding to shallower defect-to-defect transitions, and </w:t>
      </w:r>
      <w:r w:rsidR="0013691E" w:rsidRPr="00C17E85">
        <w:rPr>
          <w:rFonts w:cs="Times New Roman"/>
          <w:i/>
          <w:iCs/>
          <w:color w:val="000000"/>
        </w:rPr>
        <w:t>D</w:t>
      </w:r>
      <w:r w:rsidR="00C87D97" w:rsidRPr="00C17E85">
        <w:rPr>
          <w:rFonts w:cs="Times New Roman"/>
          <w:i/>
          <w:iCs/>
          <w:color w:val="000000"/>
          <w:vertAlign w:val="subscript"/>
        </w:rPr>
        <w:t>1</w:t>
      </w:r>
      <w:r w:rsidR="0013691E" w:rsidRPr="00C17E85">
        <w:rPr>
          <w:rFonts w:cs="Times New Roman"/>
          <w:color w:val="000000"/>
        </w:rPr>
        <w:t xml:space="preserve"> corresponding to transitions from perturbed valence-band states to defect-derived states in the conduction band.</w:t>
      </w:r>
    </w:p>
    <w:p w14:paraId="5F5CB8F4" w14:textId="5FC0B266" w:rsidR="00D668DC" w:rsidRPr="00770BDA" w:rsidRDefault="00D668DC" w:rsidP="00FE0E4D">
      <w:pPr>
        <w:spacing w:after="0" w:line="276" w:lineRule="auto"/>
        <w:ind w:firstLine="0"/>
        <w:jc w:val="both"/>
        <w:rPr>
          <w:rFonts w:eastAsia="Times New Roman" w:cs="Times New Roman"/>
          <w:color w:val="0E0E0E"/>
        </w:rPr>
      </w:pPr>
    </w:p>
    <w:p w14:paraId="713D27D1" w14:textId="77777777" w:rsidR="00C17E85" w:rsidRDefault="00C17E85">
      <w:pPr>
        <w:spacing w:line="278" w:lineRule="auto"/>
        <w:ind w:firstLine="0"/>
        <w:rPr>
          <w:rFonts w:eastAsia="Times New Roman" w:cs="Times New Roman"/>
          <w:b/>
          <w:bCs/>
        </w:rPr>
      </w:pPr>
      <w:r>
        <w:rPr>
          <w:b/>
          <w:bCs/>
        </w:rPr>
        <w:br w:type="page"/>
      </w:r>
    </w:p>
    <w:p w14:paraId="7AACD422" w14:textId="19000F4C" w:rsidR="00077775" w:rsidRPr="00A525AF" w:rsidRDefault="00043E67" w:rsidP="00077775">
      <w:pPr>
        <w:pStyle w:val="p1"/>
        <w:jc w:val="both"/>
        <w:rPr>
          <w:color w:val="000000" w:themeColor="text1"/>
        </w:rPr>
      </w:pPr>
      <w:r w:rsidRPr="00244AE5">
        <w:rPr>
          <w:b/>
          <w:bCs/>
        </w:rPr>
        <w:lastRenderedPageBreak/>
        <w:t xml:space="preserve">Table </w:t>
      </w:r>
      <w:r w:rsidR="00035C5F">
        <w:rPr>
          <w:b/>
          <w:bCs/>
        </w:rPr>
        <w:t>S</w:t>
      </w:r>
      <w:r w:rsidRPr="00244AE5">
        <w:rPr>
          <w:b/>
          <w:bCs/>
          <w:i/>
          <w:iCs/>
        </w:rPr>
        <w:fldChar w:fldCharType="begin"/>
      </w:r>
      <w:r w:rsidRPr="00244AE5">
        <w:rPr>
          <w:b/>
          <w:bCs/>
        </w:rPr>
        <w:instrText xml:space="preserve"> SEQ Table \* ARABIC </w:instrText>
      </w:r>
      <w:r w:rsidRPr="00244AE5">
        <w:rPr>
          <w:b/>
          <w:bCs/>
          <w:i/>
          <w:iCs/>
        </w:rPr>
        <w:fldChar w:fldCharType="separate"/>
      </w:r>
      <w:r w:rsidRPr="00244AE5">
        <w:rPr>
          <w:b/>
          <w:bCs/>
          <w:noProof/>
        </w:rPr>
        <w:t>2</w:t>
      </w:r>
      <w:r w:rsidRPr="00244AE5">
        <w:rPr>
          <w:b/>
          <w:bCs/>
          <w:i/>
          <w:iCs/>
        </w:rPr>
        <w:fldChar w:fldCharType="end"/>
      </w:r>
      <w:r w:rsidRPr="00244AE5">
        <w:rPr>
          <w:b/>
          <w:bCs/>
        </w:rPr>
        <w:t>.</w:t>
      </w:r>
      <w:r w:rsidRPr="00776F19">
        <w:t xml:space="preserve"> </w:t>
      </w:r>
      <w:r w:rsidR="0037585E">
        <w:rPr>
          <w:color w:val="000000" w:themeColor="text1"/>
        </w:rPr>
        <w:t>D</w:t>
      </w:r>
      <w:r w:rsidR="00077775">
        <w:rPr>
          <w:color w:val="000000" w:themeColor="text1"/>
        </w:rPr>
        <w:t xml:space="preserve">irect </w:t>
      </w:r>
      <w:r w:rsidRPr="00043E67">
        <w:rPr>
          <w:color w:val="000000" w:themeColor="text1"/>
        </w:rPr>
        <w:t>G</w:t>
      </w:r>
      <w:r w:rsidRPr="00043E67">
        <w:rPr>
          <w:color w:val="000000" w:themeColor="text1"/>
          <w:vertAlign w:val="subscript"/>
        </w:rPr>
        <w:t>0</w:t>
      </w:r>
      <w:r w:rsidRPr="00043E67">
        <w:rPr>
          <w:color w:val="000000" w:themeColor="text1"/>
        </w:rPr>
        <w:t>W</w:t>
      </w:r>
      <w:r w:rsidRPr="00043E67">
        <w:rPr>
          <w:color w:val="000000" w:themeColor="text1"/>
          <w:vertAlign w:val="subscript"/>
        </w:rPr>
        <w:t>0</w:t>
      </w:r>
      <w:r>
        <w:rPr>
          <w:i/>
          <w:iCs/>
          <w:color w:val="000000" w:themeColor="text1"/>
        </w:rPr>
        <w:t xml:space="preserve"> </w:t>
      </w:r>
      <w:r w:rsidRPr="00776F19">
        <w:rPr>
          <w:color w:val="000000" w:themeColor="text1"/>
        </w:rPr>
        <w:t>band</w:t>
      </w:r>
      <w:r w:rsidR="00077775">
        <w:rPr>
          <w:color w:val="000000" w:themeColor="text1"/>
        </w:rPr>
        <w:t xml:space="preserve"> </w:t>
      </w:r>
      <w:r w:rsidRPr="00776F19">
        <w:rPr>
          <w:color w:val="000000" w:themeColor="text1"/>
        </w:rPr>
        <w:t>gap (</w:t>
      </w:r>
      <m:oMath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g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GW</m:t>
            </m:r>
          </m:sup>
        </m:sSubSup>
        <m:r>
          <w:rPr>
            <w:rFonts w:ascii="Cambria Math" w:hAnsi="Cambria Math"/>
            <w:color w:val="000000" w:themeColor="text1"/>
          </w:rPr>
          <m:t>)</m:t>
        </m:r>
      </m:oMath>
      <w:r w:rsidRPr="00776F19">
        <w:rPr>
          <w:color w:val="000000" w:themeColor="text1"/>
        </w:rPr>
        <w:t>, exciton binding energy (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b</m:t>
            </m:r>
          </m:sub>
        </m:sSub>
      </m:oMath>
      <w:r w:rsidRPr="00776F19">
        <w:rPr>
          <w:color w:val="000000" w:themeColor="text1"/>
        </w:rPr>
        <w:t xml:space="preserve">), and </w:t>
      </w:r>
      <w:r>
        <w:rPr>
          <w:color w:val="000000" w:themeColor="text1"/>
        </w:rPr>
        <w:t xml:space="preserve">approximate </w:t>
      </w:r>
      <w:r w:rsidRPr="00776F19">
        <w:rPr>
          <w:color w:val="000000" w:themeColor="text1"/>
        </w:rPr>
        <w:t xml:space="preserve">energy ranges and prominent peaks </w:t>
      </w:r>
      <w:r w:rsidR="00A525AF">
        <w:t>based on oscillator strength</w:t>
      </w:r>
      <w:r w:rsidR="00A525AF">
        <w:rPr>
          <w:color w:val="000000" w:themeColor="text1"/>
        </w:rPr>
        <w:t xml:space="preserve"> </w:t>
      </w:r>
      <w:r w:rsidRPr="00776F19">
        <w:rPr>
          <w:color w:val="000000" w:themeColor="text1"/>
        </w:rPr>
        <w:t xml:space="preserve">for the </w:t>
      </w:r>
      <w:r w:rsidRPr="00043E67">
        <w:rPr>
          <w:i/>
          <w:iCs/>
          <w:color w:val="000000" w:themeColor="text1"/>
        </w:rPr>
        <w:t>D</w:t>
      </w:r>
      <w:r w:rsidRPr="00043E67">
        <w:rPr>
          <w:i/>
          <w:iCs/>
          <w:color w:val="000000" w:themeColor="text1"/>
          <w:vertAlign w:val="subscript"/>
        </w:rPr>
        <w:t>1</w:t>
      </w:r>
      <w:r w:rsidRPr="00776F19">
        <w:rPr>
          <w:color w:val="000000" w:themeColor="text1"/>
        </w:rPr>
        <w:t xml:space="preserve">, </w:t>
      </w:r>
      <w:r w:rsidRPr="00043E67">
        <w:rPr>
          <w:color w:val="000000" w:themeColor="text1"/>
        </w:rPr>
        <w:t>Deep</w:t>
      </w:r>
      <w:r>
        <w:rPr>
          <w:i/>
          <w:iCs/>
          <w:color w:val="000000" w:themeColor="text1"/>
        </w:rPr>
        <w:t xml:space="preserve"> </w:t>
      </w:r>
      <w:r w:rsidRPr="00043E67">
        <w:rPr>
          <w:i/>
          <w:iCs/>
          <w:color w:val="000000" w:themeColor="text1"/>
        </w:rPr>
        <w:t>D</w:t>
      </w:r>
      <w:r w:rsidRPr="00043E67">
        <w:rPr>
          <w:i/>
          <w:iCs/>
          <w:color w:val="000000" w:themeColor="text1"/>
          <w:vertAlign w:val="subscript"/>
        </w:rPr>
        <w:t>2</w:t>
      </w:r>
      <w:r w:rsidRPr="00776F19">
        <w:rPr>
          <w:color w:val="000000" w:themeColor="text1"/>
        </w:rPr>
        <w:t xml:space="preserve">, </w:t>
      </w:r>
      <w:r w:rsidRPr="00043E67">
        <w:rPr>
          <w:i/>
          <w:iCs/>
          <w:color w:val="000000" w:themeColor="text1"/>
        </w:rPr>
        <w:t>D</w:t>
      </w:r>
      <w:r w:rsidRPr="00043E67">
        <w:rPr>
          <w:i/>
          <w:iCs/>
          <w:color w:val="000000" w:themeColor="text1"/>
          <w:vertAlign w:val="subscript"/>
        </w:rPr>
        <w:t>2</w:t>
      </w:r>
      <w:r w:rsidR="0037585E">
        <w:rPr>
          <w:color w:val="000000" w:themeColor="text1"/>
        </w:rPr>
        <w:t xml:space="preserve">, </w:t>
      </w:r>
      <w:r w:rsidRPr="00776F19">
        <w:rPr>
          <w:color w:val="000000" w:themeColor="text1"/>
        </w:rPr>
        <w:t xml:space="preserve">and the perturbed </w:t>
      </w:r>
      <w:r w:rsidRPr="00043E67">
        <w:rPr>
          <w:color w:val="000000" w:themeColor="text1"/>
        </w:rPr>
        <w:t>host-like excitons</w:t>
      </w:r>
      <w:r>
        <w:rPr>
          <w:i/>
          <w:iCs/>
          <w:color w:val="000000" w:themeColor="text1"/>
        </w:rPr>
        <w:t xml:space="preserve"> </w:t>
      </w:r>
      <w:r w:rsidR="00A525AF">
        <w:rPr>
          <w:color w:val="000000" w:themeColor="text1"/>
        </w:rPr>
        <w:t>of</w:t>
      </w:r>
      <w:r w:rsidRPr="00776F19">
        <w:rPr>
          <w:color w:val="000000" w:themeColor="text1"/>
        </w:rPr>
        <w:t xml:space="preserve"> defect</w:t>
      </w:r>
      <w:r w:rsidRPr="0037585E">
        <w:rPr>
          <w:color w:val="000000" w:themeColor="text1"/>
        </w:rPr>
        <w:t xml:space="preserve">ive </w:t>
      </w:r>
      <w:r w:rsidRPr="00776F19">
        <w:rPr>
          <w:color w:val="000000" w:themeColor="text1"/>
        </w:rPr>
        <w:t>2×2 supercells of MoS</w:t>
      </w:r>
      <w:r w:rsidRPr="00776F19">
        <w:rPr>
          <w:color w:val="000000" w:themeColor="text1"/>
          <w:vertAlign w:val="subscript"/>
        </w:rPr>
        <w:t>2,</w:t>
      </w:r>
      <w:r w:rsidRPr="00776F19">
        <w:rPr>
          <w:color w:val="000000" w:themeColor="text1"/>
        </w:rPr>
        <w:t xml:space="preserve"> MoSe</w:t>
      </w:r>
      <w:r w:rsidRPr="00776F19">
        <w:rPr>
          <w:color w:val="000000" w:themeColor="text1"/>
          <w:vertAlign w:val="subscript"/>
        </w:rPr>
        <w:t xml:space="preserve">2, </w:t>
      </w:r>
      <w:r w:rsidRPr="00776F19">
        <w:rPr>
          <w:color w:val="000000" w:themeColor="text1"/>
        </w:rPr>
        <w:t>and WSe</w:t>
      </w:r>
      <w:r w:rsidRPr="00776F19">
        <w:rPr>
          <w:color w:val="000000" w:themeColor="text1"/>
          <w:vertAlign w:val="subscript"/>
        </w:rPr>
        <w:t xml:space="preserve">2 </w:t>
      </w:r>
      <w:r w:rsidRPr="00776F19">
        <w:rPr>
          <w:color w:val="000000" w:themeColor="text1"/>
        </w:rPr>
        <w:t xml:space="preserve">monolayers with </w:t>
      </w:r>
      <w:r w:rsidRPr="00043E67">
        <w:rPr>
          <w:color w:val="000000" w:themeColor="text1"/>
        </w:rPr>
        <w:t>spin–orbit coupling</w:t>
      </w:r>
      <w:r w:rsidRPr="00776F19">
        <w:rPr>
          <w:color w:val="000000" w:themeColor="text1"/>
          <w:vertAlign w:val="subscript"/>
        </w:rPr>
        <w:t xml:space="preserve">. </w:t>
      </w:r>
      <w:r w:rsidRPr="00776F19">
        <w:rPr>
          <w:color w:val="000000" w:themeColor="text1"/>
        </w:rPr>
        <w:t xml:space="preserve">The Brillouin zone </w:t>
      </w:r>
      <w:r w:rsidR="0037585E">
        <w:rPr>
          <w:color w:val="000000" w:themeColor="text1"/>
        </w:rPr>
        <w:t>was</w:t>
      </w:r>
      <w:r w:rsidRPr="00776F19">
        <w:rPr>
          <w:color w:val="000000" w:themeColor="text1"/>
        </w:rPr>
        <w:t xml:space="preserve"> sampled </w:t>
      </w:r>
      <w:r w:rsidR="0037585E">
        <w:rPr>
          <w:color w:val="000000" w:themeColor="text1"/>
        </w:rPr>
        <w:t>using</w:t>
      </w:r>
      <w:r w:rsidRPr="00776F19">
        <w:rPr>
          <w:color w:val="000000" w:themeColor="text1"/>
        </w:rPr>
        <w:t xml:space="preserve"> </w:t>
      </w:r>
      <w:r w:rsidR="0037585E">
        <w:rPr>
          <w:color w:val="000000" w:themeColor="text1"/>
        </w:rPr>
        <w:t xml:space="preserve">a </w:t>
      </w:r>
      <w:r w:rsidRPr="00776F19">
        <w:rPr>
          <w:color w:val="000000" w:themeColor="text1"/>
          <w:lang w:val="el-GR"/>
        </w:rPr>
        <w:t>Γ</w:t>
      </w:r>
      <w:r w:rsidRPr="00776F19">
        <w:rPr>
          <w:color w:val="000000" w:themeColor="text1"/>
        </w:rPr>
        <w:t>-centered 8×8×1</w:t>
      </w:r>
      <w:r w:rsidR="0037585E">
        <w:rPr>
          <w:color w:val="000000" w:themeColor="text1"/>
        </w:rPr>
        <w:t xml:space="preserve"> grid</w:t>
      </w:r>
      <w:r w:rsidRPr="00776F19">
        <w:rPr>
          <w:color w:val="000000" w:themeColor="text1"/>
        </w:rPr>
        <w:t xml:space="preserve">. </w:t>
      </w:r>
      <w:r w:rsidRPr="00043E67">
        <w:rPr>
          <w:color w:val="000000"/>
        </w:rPr>
        <w:t>D</w:t>
      </w:r>
      <w:r w:rsidRPr="00043E67">
        <w:rPr>
          <w:color w:val="000000"/>
          <w:vertAlign w:val="subscript"/>
        </w:rPr>
        <w:t>1</w:t>
      </w:r>
      <w:r>
        <w:rPr>
          <w:i/>
          <w:iCs/>
          <w:color w:val="000000"/>
        </w:rPr>
        <w:t xml:space="preserve"> </w:t>
      </w:r>
      <w:r w:rsidRPr="0037585E">
        <w:rPr>
          <w:color w:val="000000"/>
        </w:rPr>
        <w:t>denotes</w:t>
      </w:r>
      <w:r>
        <w:rPr>
          <w:i/>
          <w:iCs/>
          <w:color w:val="000000"/>
        </w:rPr>
        <w:t xml:space="preserve"> </w:t>
      </w:r>
      <w:r w:rsidRPr="00776F19">
        <w:rPr>
          <w:color w:val="000000"/>
        </w:rPr>
        <w:t>perturbed valence-to-</w:t>
      </w:r>
      <w:r>
        <w:rPr>
          <w:color w:val="000000"/>
        </w:rPr>
        <w:t>defect</w:t>
      </w:r>
      <w:r w:rsidRPr="00776F19">
        <w:rPr>
          <w:color w:val="000000"/>
        </w:rPr>
        <w:t xml:space="preserve"> band transitions</w:t>
      </w:r>
      <w:r>
        <w:rPr>
          <w:color w:val="000000"/>
        </w:rPr>
        <w:t xml:space="preserve">, </w:t>
      </w:r>
      <w:r w:rsidRPr="00043E67">
        <w:rPr>
          <w:color w:val="000000"/>
        </w:rPr>
        <w:t>D</w:t>
      </w:r>
      <w:r w:rsidRPr="00043E67">
        <w:rPr>
          <w:color w:val="000000"/>
          <w:vertAlign w:val="subscript"/>
        </w:rPr>
        <w:t>2</w:t>
      </w:r>
      <w:r>
        <w:rPr>
          <w:i/>
          <w:iCs/>
          <w:color w:val="000000"/>
        </w:rPr>
        <w:t xml:space="preserve"> </w:t>
      </w:r>
      <w:r w:rsidRPr="00043E67">
        <w:rPr>
          <w:color w:val="000000"/>
        </w:rPr>
        <w:t>denotes</w:t>
      </w:r>
      <w:r>
        <w:rPr>
          <w:i/>
          <w:iCs/>
          <w:color w:val="000000"/>
        </w:rPr>
        <w:t xml:space="preserve"> </w:t>
      </w:r>
      <w:r w:rsidRPr="00776F19">
        <w:rPr>
          <w:color w:val="000000"/>
        </w:rPr>
        <w:t>defect-to-defect band transitions</w:t>
      </w:r>
      <w:r>
        <w:rPr>
          <w:i/>
          <w:iCs/>
          <w:color w:val="000000"/>
        </w:rPr>
        <w:t xml:space="preserve"> </w:t>
      </w:r>
      <w:r w:rsidRPr="00043E67">
        <w:rPr>
          <w:color w:val="000000"/>
        </w:rPr>
        <w:t xml:space="preserve">involving shallow defect states, and </w:t>
      </w:r>
      <w:r w:rsidRPr="00043E67">
        <w:rPr>
          <w:color w:val="000000" w:themeColor="text1"/>
        </w:rPr>
        <w:t>Deep</w:t>
      </w:r>
      <w:r>
        <w:rPr>
          <w:i/>
          <w:iCs/>
          <w:color w:val="000000" w:themeColor="text1"/>
        </w:rPr>
        <w:t xml:space="preserve"> </w:t>
      </w:r>
      <w:r w:rsidRPr="00043E67">
        <w:rPr>
          <w:i/>
          <w:iCs/>
          <w:color w:val="000000" w:themeColor="text1"/>
        </w:rPr>
        <w:t>D</w:t>
      </w:r>
      <w:r w:rsidRPr="00043E67">
        <w:rPr>
          <w:i/>
          <w:iCs/>
          <w:color w:val="000000" w:themeColor="text1"/>
          <w:vertAlign w:val="subscript"/>
        </w:rPr>
        <w:t>2</w:t>
      </w:r>
      <w:r>
        <w:rPr>
          <w:color w:val="000000" w:themeColor="text1"/>
          <w:vertAlign w:val="subscript"/>
        </w:rPr>
        <w:t xml:space="preserve"> </w:t>
      </w:r>
      <w:r>
        <w:t>denotes defect-to-defect transitions involving deeper vacancy-derived states</w:t>
      </w:r>
      <w:r>
        <w:rPr>
          <w:color w:val="000000"/>
        </w:rPr>
        <w:t>.</w:t>
      </w:r>
      <w:r w:rsidRPr="00776F19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1X</m:t>
            </m:r>
          </m:sub>
        </m:sSub>
      </m:oMath>
      <w:r w:rsidR="00077775">
        <w:rPr>
          <w:color w:val="000000"/>
        </w:rPr>
        <w:t xml:space="preserve">, </w:t>
      </w:r>
      <m:oMath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2X</m:t>
            </m:r>
          </m:sub>
          <m:sup>
            <m:r>
              <w:rPr>
                <w:rFonts w:ascii="Cambria Math" w:hAnsi="Cambria Math"/>
                <w:color w:val="000000"/>
              </w:rPr>
              <m:t>s</m:t>
            </m:r>
          </m:sup>
        </m:sSubSup>
      </m:oMath>
      <w:r w:rsidR="00077775">
        <w:rPr>
          <w:color w:val="000000"/>
        </w:rPr>
        <w:t xml:space="preserve">, </w:t>
      </w:r>
      <w:proofErr w:type="gramStart"/>
      <w:r w:rsidRPr="00776F19">
        <w:rPr>
          <w:color w:val="000000"/>
        </w:rPr>
        <w:t>and</w:t>
      </w:r>
      <w:r w:rsidR="00077775">
        <w:rPr>
          <w:color w:val="000000"/>
        </w:rPr>
        <w:t>,</w:t>
      </w:r>
      <w:proofErr w:type="gramEnd"/>
      <w:r w:rsidRPr="00776F19">
        <w:rPr>
          <w:color w:val="000000"/>
        </w:rPr>
        <w:t xml:space="preserve"> </w:t>
      </w:r>
      <m:oMath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2X</m:t>
            </m:r>
          </m:sub>
          <m:sup>
            <m:r>
              <w:rPr>
                <w:rFonts w:ascii="Cambria Math" w:hAnsi="Cambria Math"/>
                <w:color w:val="000000"/>
              </w:rPr>
              <m:t>o</m:t>
            </m:r>
          </m:sup>
        </m:sSubSup>
      </m:oMath>
      <w:r w:rsidR="00077775">
        <w:rPr>
          <w:color w:val="000000"/>
        </w:rPr>
        <w:t xml:space="preserve"> </w:t>
      </w:r>
      <w:r w:rsidR="00077775">
        <w:t xml:space="preserve">denote a single chalcogen vacancy, same-layer chalcogen divacancy, and opposite-layer chalcogen divacancy, respectively, where </w:t>
      </w:r>
      <w:r w:rsidR="00077775" w:rsidRPr="00077775">
        <w:rPr>
          <w:rStyle w:val="s1"/>
          <w:i/>
          <w:iCs/>
        </w:rPr>
        <w:t>X</w:t>
      </w:r>
      <w:r w:rsidR="00077775">
        <w:rPr>
          <w:rStyle w:val="s1"/>
        </w:rPr>
        <w:t xml:space="preserve"> = S</w:t>
      </w:r>
      <w:r w:rsidR="00077775">
        <w:t xml:space="preserve"> or Se.</w:t>
      </w:r>
    </w:p>
    <w:tbl>
      <w:tblPr>
        <w:tblStyle w:val="TableGridLight"/>
        <w:tblW w:w="980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321"/>
        <w:gridCol w:w="1321"/>
        <w:gridCol w:w="1494"/>
        <w:gridCol w:w="1170"/>
        <w:gridCol w:w="1538"/>
        <w:gridCol w:w="1421"/>
      </w:tblGrid>
      <w:tr w:rsidR="00043E67" w:rsidRPr="003C01EC" w14:paraId="405FBA05" w14:textId="77777777" w:rsidTr="00D8697E">
        <w:tc>
          <w:tcPr>
            <w:tcW w:w="1540" w:type="dxa"/>
          </w:tcPr>
          <w:p w14:paraId="570B6E8E" w14:textId="77777777" w:rsidR="00043E67" w:rsidRPr="003C01EC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3C01EC">
              <w:rPr>
                <w:b/>
                <w:bCs/>
                <w:color w:val="000000" w:themeColor="text1"/>
                <w:sz w:val="22"/>
                <w:szCs w:val="22"/>
              </w:rPr>
              <w:t>Defect</w:t>
            </w:r>
          </w:p>
        </w:tc>
        <w:tc>
          <w:tcPr>
            <w:tcW w:w="1321" w:type="dxa"/>
          </w:tcPr>
          <w:p w14:paraId="6C9D2F8D" w14:textId="77777777" w:rsidR="00043E67" w:rsidRPr="003C01EC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g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GW</m:t>
                    </m:r>
                  </m:sup>
                </m:sSubSup>
              </m:oMath>
            </m:oMathPara>
          </w:p>
        </w:tc>
        <w:tc>
          <w:tcPr>
            <w:tcW w:w="1321" w:type="dxa"/>
          </w:tcPr>
          <w:p w14:paraId="653618A0" w14:textId="77777777" w:rsidR="00043E67" w:rsidRPr="003C01EC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5623" w:type="dxa"/>
            <w:gridSpan w:val="4"/>
          </w:tcPr>
          <w:p w14:paraId="675B9B3F" w14:textId="77777777" w:rsidR="00043E67" w:rsidRPr="003C01EC" w:rsidRDefault="00043E67" w:rsidP="006F3296">
            <w:pPr>
              <w:pStyle w:val="NormalWeb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C01EC">
              <w:rPr>
                <w:b/>
                <w:bCs/>
                <w:color w:val="000000" w:themeColor="text1"/>
                <w:sz w:val="22"/>
                <w:szCs w:val="22"/>
              </w:rPr>
              <w:t>Optical Transition Energies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(eV)</w:t>
            </w:r>
          </w:p>
        </w:tc>
      </w:tr>
      <w:tr w:rsidR="00043E67" w:rsidRPr="003C01EC" w14:paraId="16911CA3" w14:textId="77777777" w:rsidTr="00D8697E">
        <w:trPr>
          <w:trHeight w:val="675"/>
        </w:trPr>
        <w:tc>
          <w:tcPr>
            <w:tcW w:w="1540" w:type="dxa"/>
            <w:tcBorders>
              <w:bottom w:val="single" w:sz="4" w:space="0" w:color="auto"/>
            </w:tcBorders>
          </w:tcPr>
          <w:p w14:paraId="33702E81" w14:textId="77777777" w:rsidR="00043E67" w:rsidRPr="003C01EC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71B4D8C9" w14:textId="77777777" w:rsidR="00043E67" w:rsidRPr="003C01EC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41ED93A0" w14:textId="77777777" w:rsidR="00043E67" w:rsidRPr="003C01EC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52453DA9" w14:textId="77777777" w:rsidR="00043E67" w:rsidRPr="003C01EC" w:rsidRDefault="00043E67" w:rsidP="00C17481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3C01EC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55B62BF" w14:textId="77777777" w:rsidR="00043E67" w:rsidRPr="00B655EB" w:rsidRDefault="00043E67" w:rsidP="007A249D">
            <w:pPr>
              <w:spacing w:line="360" w:lineRule="auto"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655EB">
              <w:rPr>
                <w:b/>
                <w:bCs/>
                <w:color w:val="000000" w:themeColor="text1"/>
                <w:sz w:val="22"/>
                <w:szCs w:val="22"/>
              </w:rPr>
              <w:t>Deep D</w:t>
            </w:r>
            <w:r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DE817DF" w14:textId="77777777" w:rsidR="00043E67" w:rsidRPr="003C01EC" w:rsidRDefault="00043E67" w:rsidP="006F3296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r w:rsidRPr="003C01EC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003C01EC"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421" w:type="dxa"/>
          </w:tcPr>
          <w:p w14:paraId="2BE8A1BA" w14:textId="77777777" w:rsidR="00043E67" w:rsidRPr="0046625A" w:rsidRDefault="00043E67" w:rsidP="006F3296">
            <w:pPr>
              <w:pStyle w:val="p1"/>
            </w:pPr>
            <w:r>
              <w:rPr>
                <w:b/>
                <w:bCs/>
              </w:rPr>
              <w:t>A-like / A′-like / upper perturbed</w:t>
            </w:r>
          </w:p>
        </w:tc>
      </w:tr>
      <w:tr w:rsidR="00043E67" w:rsidRPr="003C01EC" w14:paraId="39BC7FEE" w14:textId="77777777" w:rsidTr="00D8697E">
        <w:tc>
          <w:tcPr>
            <w:tcW w:w="98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04584E" w14:textId="77777777" w:rsidR="00043E67" w:rsidRPr="003E4B1A" w:rsidRDefault="00043E67" w:rsidP="006F3296">
            <w:pPr>
              <w:pStyle w:val="NormalWeb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4B1A">
              <w:rPr>
                <w:b/>
                <w:bCs/>
                <w:color w:val="000000" w:themeColor="text1"/>
                <w:sz w:val="22"/>
                <w:szCs w:val="22"/>
              </w:rPr>
              <w:t>MoS</w:t>
            </w:r>
            <w:r w:rsidRPr="003E4B1A"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043E67" w:rsidRPr="003C01EC" w14:paraId="5761A663" w14:textId="77777777" w:rsidTr="00D8697E">
        <w:tc>
          <w:tcPr>
            <w:tcW w:w="1540" w:type="dxa"/>
            <w:tcBorders>
              <w:top w:val="single" w:sz="4" w:space="0" w:color="auto"/>
            </w:tcBorders>
          </w:tcPr>
          <w:p w14:paraId="0F848DE7" w14:textId="77777777" w:rsidR="00043E67" w:rsidRPr="007F4D1C" w:rsidRDefault="00000000" w:rsidP="0092654A">
            <w:pPr>
              <w:spacing w:line="240" w:lineRule="auto"/>
              <w:rPr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1S</m:t>
                    </m:r>
                  </m:sub>
                </m:sSub>
              </m:oMath>
            </m:oMathPara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6B44927C" w14:textId="77777777" w:rsidR="00043E67" w:rsidRPr="007F4D1C" w:rsidRDefault="00043E67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7F4D1C">
              <w:rPr>
                <w:color w:val="000000" w:themeColor="text1"/>
                <w:sz w:val="22"/>
                <w:szCs w:val="22"/>
              </w:rPr>
              <w:t>1.56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40B48865" w14:textId="77777777" w:rsidR="00043E67" w:rsidRPr="007F4D1C" w:rsidRDefault="00043E67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7F4D1C">
              <w:rPr>
                <w:color w:val="000000" w:themeColor="text1"/>
                <w:sz w:val="22"/>
                <w:szCs w:val="22"/>
              </w:rPr>
              <w:t>0.57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68E1735D" w14:textId="77777777" w:rsidR="00043E67" w:rsidRPr="007F4D1C" w:rsidRDefault="00043E67" w:rsidP="0092654A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7F4D1C">
              <w:rPr>
                <w:color w:val="000000" w:themeColor="text1"/>
                <w:sz w:val="22"/>
                <w:szCs w:val="22"/>
              </w:rPr>
              <w:t>1.13–1.50; 2.00</w:t>
            </w:r>
          </w:p>
          <w:p w14:paraId="2C13AD79" w14:textId="77777777" w:rsidR="00043E67" w:rsidRPr="007F4D1C" w:rsidRDefault="00043E67" w:rsidP="0092654A">
            <w:pPr>
              <w:pStyle w:val="p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9F2CA03" w14:textId="77777777" w:rsidR="00043E67" w:rsidRPr="007F4D1C" w:rsidRDefault="00043E67" w:rsidP="0092654A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7F4D1C">
              <w:rPr>
                <w:rStyle w:val="s1"/>
                <w:color w:val="000000" w:themeColor="text1"/>
                <w:sz w:val="22"/>
                <w:szCs w:val="22"/>
              </w:rPr>
              <w:t>2.00; 2.15; 2.31; 2.44; 2.61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423C7A68" w14:textId="5B49A438" w:rsidR="00043E67" w:rsidRPr="007F4D1C" w:rsidRDefault="00043E67" w:rsidP="0092654A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7F4D1C">
              <w:rPr>
                <w:rStyle w:val="s1"/>
                <w:color w:val="000000" w:themeColor="text1"/>
                <w:sz w:val="22"/>
                <w:szCs w:val="22"/>
              </w:rPr>
              <w:t>1.59–1.63; 2.00; 2.09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530ACCB" w14:textId="77777777" w:rsidR="00043E67" w:rsidRPr="007F4D1C" w:rsidRDefault="00043E67" w:rsidP="0092654A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7F4D1C">
              <w:rPr>
                <w:color w:val="000000" w:themeColor="text1"/>
                <w:sz w:val="22"/>
                <w:szCs w:val="22"/>
              </w:rPr>
              <w:t>2.21–2.25</w:t>
            </w:r>
            <w:r w:rsidRPr="007F4D1C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7F4D1C">
              <w:rPr>
                <w:color w:val="000000" w:themeColor="text1"/>
                <w:sz w:val="22"/>
                <w:szCs w:val="22"/>
              </w:rPr>
              <w:t>; 2.36</w:t>
            </w:r>
            <w:r w:rsidRPr="007F4D1C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7F4D1C">
              <w:rPr>
                <w:color w:val="000000" w:themeColor="text1"/>
                <w:sz w:val="22"/>
                <w:szCs w:val="22"/>
              </w:rPr>
              <w:t>; 2.44</w:t>
            </w:r>
            <w:r w:rsidRPr="007F4D1C">
              <w:rPr>
                <w:color w:val="000000" w:themeColor="text1"/>
                <w:sz w:val="22"/>
                <w:szCs w:val="22"/>
                <w:vertAlign w:val="superscript"/>
              </w:rPr>
              <w:t>c</w:t>
            </w:r>
            <w:r w:rsidRPr="007F4D1C">
              <w:rPr>
                <w:color w:val="000000" w:themeColor="text1"/>
                <w:sz w:val="22"/>
                <w:szCs w:val="22"/>
              </w:rPr>
              <w:t>; 2.65</w:t>
            </w:r>
            <w:r w:rsidRPr="007F4D1C">
              <w:rPr>
                <w:color w:val="000000" w:themeColor="text1"/>
                <w:sz w:val="22"/>
                <w:szCs w:val="22"/>
                <w:vertAlign w:val="superscript"/>
              </w:rPr>
              <w:t>d</w:t>
            </w:r>
            <w:r w:rsidRPr="007F4D1C">
              <w:rPr>
                <w:color w:val="000000" w:themeColor="text1"/>
                <w:sz w:val="22"/>
                <w:szCs w:val="22"/>
              </w:rPr>
              <w:t>; 3.14</w:t>
            </w:r>
            <w:r w:rsidRPr="007F4D1C">
              <w:rPr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</w:tr>
      <w:tr w:rsidR="00043E67" w:rsidRPr="003C01EC" w14:paraId="378EA50A" w14:textId="77777777" w:rsidTr="00D8697E">
        <w:trPr>
          <w:trHeight w:val="350"/>
        </w:trPr>
        <w:tc>
          <w:tcPr>
            <w:tcW w:w="1540" w:type="dxa"/>
          </w:tcPr>
          <w:p w14:paraId="5838F81C" w14:textId="77777777" w:rsidR="00043E67" w:rsidRPr="00D7252B" w:rsidRDefault="00000000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2S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1321" w:type="dxa"/>
          </w:tcPr>
          <w:p w14:paraId="1C932357" w14:textId="77777777" w:rsidR="00043E67" w:rsidRPr="00D7252B" w:rsidRDefault="00043E67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D7252B">
              <w:rPr>
                <w:color w:val="000000" w:themeColor="text1"/>
                <w:sz w:val="22"/>
                <w:szCs w:val="22"/>
              </w:rPr>
              <w:t>0.62</w:t>
            </w:r>
          </w:p>
        </w:tc>
        <w:tc>
          <w:tcPr>
            <w:tcW w:w="1321" w:type="dxa"/>
          </w:tcPr>
          <w:p w14:paraId="53BF79ED" w14:textId="77777777" w:rsidR="00043E67" w:rsidRPr="00D7252B" w:rsidRDefault="00043E67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D7252B">
              <w:rPr>
                <w:color w:val="000000" w:themeColor="text1"/>
                <w:sz w:val="22"/>
                <w:szCs w:val="22"/>
              </w:rPr>
              <w:t>0.36</w:t>
            </w:r>
          </w:p>
        </w:tc>
        <w:tc>
          <w:tcPr>
            <w:tcW w:w="1494" w:type="dxa"/>
          </w:tcPr>
          <w:p w14:paraId="73B55136" w14:textId="67FD0B5F" w:rsidR="00043E67" w:rsidRPr="00D7252B" w:rsidRDefault="00043E67" w:rsidP="0092654A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D7252B">
              <w:rPr>
                <w:color w:val="000000" w:themeColor="text1"/>
                <w:sz w:val="22"/>
                <w:szCs w:val="22"/>
              </w:rPr>
              <w:t>0.</w:t>
            </w:r>
            <w:r w:rsidR="00835786" w:rsidRPr="00D7252B">
              <w:rPr>
                <w:color w:val="000000" w:themeColor="text1"/>
                <w:sz w:val="22"/>
                <w:szCs w:val="22"/>
              </w:rPr>
              <w:t>54</w:t>
            </w:r>
            <w:r w:rsidRPr="00D7252B">
              <w:rPr>
                <w:color w:val="000000" w:themeColor="text1"/>
                <w:sz w:val="22"/>
                <w:szCs w:val="22"/>
              </w:rPr>
              <w:t>–1.56; 1.81; 2.34</w:t>
            </w:r>
            <w:r w:rsidR="00835786" w:rsidRPr="00D7252B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D7252B">
              <w:rPr>
                <w:color w:val="000000" w:themeColor="text1"/>
                <w:sz w:val="22"/>
                <w:szCs w:val="22"/>
              </w:rPr>
              <w:t>2.41</w:t>
            </w:r>
          </w:p>
        </w:tc>
        <w:tc>
          <w:tcPr>
            <w:tcW w:w="1170" w:type="dxa"/>
          </w:tcPr>
          <w:p w14:paraId="0DF975D6" w14:textId="6511BEAF" w:rsidR="003014EB" w:rsidRPr="00D7252B" w:rsidRDefault="00043E67" w:rsidP="0092654A">
            <w:pPr>
              <w:pStyle w:val="p1"/>
              <w:rPr>
                <w:color w:val="000000" w:themeColor="text1"/>
              </w:rPr>
            </w:pPr>
            <w:r w:rsidRPr="00D7252B">
              <w:rPr>
                <w:color w:val="000000" w:themeColor="text1"/>
                <w:sz w:val="22"/>
                <w:szCs w:val="22"/>
              </w:rPr>
              <w:t>1.53; 1.57; 1.68; 1.87–2.01; 2.05–2.20; 2.38; 2.42–2.54</w:t>
            </w:r>
            <w:r w:rsidR="003014EB" w:rsidRPr="00D7252B">
              <w:rPr>
                <w:color w:val="000000" w:themeColor="text1"/>
                <w:sz w:val="22"/>
                <w:szCs w:val="22"/>
              </w:rPr>
              <w:t>; 2.62–2.6</w:t>
            </w:r>
            <w:r w:rsidR="007B7081" w:rsidRPr="00D7252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38" w:type="dxa"/>
          </w:tcPr>
          <w:p w14:paraId="362A57E7" w14:textId="390E1D68" w:rsidR="00043E67" w:rsidRPr="00D7252B" w:rsidRDefault="00043E67" w:rsidP="0092654A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D7252B">
              <w:rPr>
                <w:color w:val="000000" w:themeColor="text1"/>
                <w:sz w:val="22"/>
                <w:szCs w:val="22"/>
              </w:rPr>
              <w:t>0.</w:t>
            </w:r>
            <w:r w:rsidR="00835786" w:rsidRPr="00D7252B">
              <w:rPr>
                <w:color w:val="000000" w:themeColor="text1"/>
                <w:sz w:val="22"/>
                <w:szCs w:val="22"/>
              </w:rPr>
              <w:t>27</w:t>
            </w:r>
            <w:r w:rsidRPr="00D7252B">
              <w:rPr>
                <w:color w:val="000000" w:themeColor="text1"/>
                <w:sz w:val="22"/>
                <w:szCs w:val="22"/>
              </w:rPr>
              <w:t>–0.42; 0.79–0.86; 0.92</w:t>
            </w:r>
            <w:r w:rsidR="006C3D6B" w:rsidRPr="00D7252B">
              <w:rPr>
                <w:color w:val="000000" w:themeColor="text1"/>
                <w:sz w:val="22"/>
                <w:szCs w:val="22"/>
              </w:rPr>
              <w:t>–0.99</w:t>
            </w:r>
            <w:r w:rsidRPr="00D7252B">
              <w:rPr>
                <w:color w:val="000000" w:themeColor="text1"/>
                <w:sz w:val="22"/>
                <w:szCs w:val="22"/>
              </w:rPr>
              <w:t>; 1.1</w:t>
            </w:r>
            <w:r w:rsidR="00A724A6" w:rsidRPr="00D7252B">
              <w:rPr>
                <w:color w:val="000000" w:themeColor="text1"/>
                <w:sz w:val="22"/>
                <w:szCs w:val="22"/>
              </w:rPr>
              <w:t>2</w:t>
            </w:r>
            <w:r w:rsidRPr="00D7252B">
              <w:rPr>
                <w:color w:val="000000" w:themeColor="text1"/>
                <w:sz w:val="22"/>
                <w:szCs w:val="22"/>
              </w:rPr>
              <w:t>–1.14; 1.21–1.25; 1.26–1.31; 1.49;</w:t>
            </w:r>
            <w:r w:rsidR="006C3D6B" w:rsidRPr="00D725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0B2D12" w:rsidRPr="00D7252B">
              <w:rPr>
                <w:color w:val="000000" w:themeColor="text1"/>
                <w:sz w:val="22"/>
                <w:szCs w:val="22"/>
              </w:rPr>
              <w:t>1.51;</w:t>
            </w:r>
            <w:r w:rsidR="00D86880" w:rsidRPr="00D7252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7252B">
              <w:rPr>
                <w:color w:val="000000" w:themeColor="text1"/>
                <w:sz w:val="22"/>
                <w:szCs w:val="22"/>
              </w:rPr>
              <w:t>1.5</w:t>
            </w:r>
            <w:r w:rsidR="000B2D12" w:rsidRPr="00D7252B">
              <w:rPr>
                <w:color w:val="000000" w:themeColor="text1"/>
                <w:sz w:val="22"/>
                <w:szCs w:val="22"/>
              </w:rPr>
              <w:t>4</w:t>
            </w:r>
            <w:r w:rsidRPr="00D7252B">
              <w:rPr>
                <w:color w:val="000000" w:themeColor="text1"/>
                <w:sz w:val="22"/>
                <w:szCs w:val="22"/>
              </w:rPr>
              <w:t>; 1.57</w:t>
            </w:r>
            <w:r w:rsidR="000B2D12" w:rsidRPr="00D7252B">
              <w:rPr>
                <w:color w:val="000000" w:themeColor="text1"/>
                <w:sz w:val="22"/>
                <w:szCs w:val="22"/>
              </w:rPr>
              <w:t>; 2.0</w:t>
            </w:r>
            <w:r w:rsidR="00D86880" w:rsidRPr="00D7252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21" w:type="dxa"/>
          </w:tcPr>
          <w:p w14:paraId="117B057F" w14:textId="77777777" w:rsidR="00043E67" w:rsidRPr="00D7252B" w:rsidRDefault="00043E67" w:rsidP="0092654A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D7252B">
              <w:rPr>
                <w:color w:val="000000" w:themeColor="text1"/>
                <w:sz w:val="22"/>
                <w:szCs w:val="22"/>
              </w:rPr>
              <w:t>2.41</w:t>
            </w:r>
            <w:r w:rsidRPr="00D7252B">
              <w:rPr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D7252B">
              <w:rPr>
                <w:rStyle w:val="HTMLCod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 2.62</w:t>
            </w:r>
            <w:r w:rsidRPr="00D7252B">
              <w:rPr>
                <w:color w:val="000000" w:themeColor="text1"/>
                <w:sz w:val="22"/>
                <w:szCs w:val="22"/>
                <w:vertAlign w:val="superscript"/>
              </w:rPr>
              <w:t xml:space="preserve"> c</w:t>
            </w:r>
            <w:r w:rsidRPr="00D7252B">
              <w:rPr>
                <w:color w:val="000000" w:themeColor="text1"/>
                <w:sz w:val="22"/>
                <w:szCs w:val="22"/>
              </w:rPr>
              <w:t>; 2.72</w:t>
            </w:r>
            <w:r w:rsidRPr="00D7252B">
              <w:rPr>
                <w:color w:val="000000" w:themeColor="text1"/>
                <w:sz w:val="22"/>
                <w:szCs w:val="22"/>
                <w:vertAlign w:val="superscript"/>
              </w:rPr>
              <w:t>f</w:t>
            </w:r>
            <w:r w:rsidRPr="00D7252B">
              <w:rPr>
                <w:color w:val="000000" w:themeColor="text1"/>
                <w:sz w:val="22"/>
                <w:szCs w:val="22"/>
              </w:rPr>
              <w:t>; 2.79</w:t>
            </w:r>
            <w:r w:rsidRPr="00D7252B">
              <w:rPr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</w:tr>
      <w:tr w:rsidR="00043E67" w:rsidRPr="003C01EC" w14:paraId="599D9029" w14:textId="77777777" w:rsidTr="00D8697E">
        <w:tc>
          <w:tcPr>
            <w:tcW w:w="1540" w:type="dxa"/>
            <w:tcBorders>
              <w:bottom w:val="single" w:sz="4" w:space="0" w:color="auto"/>
            </w:tcBorders>
          </w:tcPr>
          <w:p w14:paraId="765E4A8B" w14:textId="77777777" w:rsidR="00043E67" w:rsidRPr="0003195E" w:rsidRDefault="00000000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2S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o</m:t>
                    </m:r>
                  </m:sup>
                </m:sSubSup>
              </m:oMath>
            </m:oMathPara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1A5EB581" w14:textId="77777777" w:rsidR="00043E67" w:rsidRPr="0003195E" w:rsidRDefault="00043E67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3195E">
              <w:rPr>
                <w:color w:val="000000" w:themeColor="text1"/>
                <w:sz w:val="22"/>
                <w:szCs w:val="22"/>
              </w:rPr>
              <w:t>1.27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3E65C4D8" w14:textId="77777777" w:rsidR="00043E67" w:rsidRPr="0003195E" w:rsidRDefault="00043E67" w:rsidP="0092654A">
            <w:pPr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03195E">
              <w:rPr>
                <w:color w:val="000000" w:themeColor="text1"/>
                <w:sz w:val="22"/>
                <w:szCs w:val="22"/>
              </w:rPr>
              <w:t>0.51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13D6809" w14:textId="77777777" w:rsidR="00043E67" w:rsidRPr="0003195E" w:rsidRDefault="00043E67" w:rsidP="0083578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03195E">
              <w:rPr>
                <w:color w:val="000000" w:themeColor="text1"/>
                <w:sz w:val="22"/>
                <w:szCs w:val="22"/>
              </w:rPr>
              <w:t>1.38–1.53; 1.66–1.71; 1.74–1.79; 1.86–1.95; 2.11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CD0BBF" w14:textId="76203B48" w:rsidR="00043E67" w:rsidRPr="0003195E" w:rsidRDefault="00043E67" w:rsidP="003014EB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03195E">
              <w:rPr>
                <w:rStyle w:val="s1"/>
                <w:color w:val="000000" w:themeColor="text1"/>
                <w:sz w:val="22"/>
                <w:szCs w:val="22"/>
              </w:rPr>
              <w:t>1.57; 1.70–2.24; 2.56; 2.63; 2.77; 3.09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4485622" w14:textId="77777777" w:rsidR="00043E67" w:rsidRPr="0003195E" w:rsidRDefault="00043E67" w:rsidP="003014EB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03195E">
              <w:rPr>
                <w:color w:val="000000" w:themeColor="text1"/>
                <w:sz w:val="22"/>
                <w:szCs w:val="22"/>
              </w:rPr>
              <w:t>0.83–1.35; 1.39; 1.52; 1.67; 1.80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761D3595" w14:textId="77777777" w:rsidR="00043E67" w:rsidRPr="0003195E" w:rsidRDefault="00043E67" w:rsidP="003014EB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03195E">
              <w:rPr>
                <w:rStyle w:val="s1"/>
                <w:color w:val="000000" w:themeColor="text1"/>
                <w:sz w:val="22"/>
                <w:szCs w:val="22"/>
              </w:rPr>
              <w:t>2.02</w:t>
            </w:r>
            <w:r w:rsidRPr="0003195E">
              <w:rPr>
                <w:rStyle w:val="s1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03195E">
              <w:rPr>
                <w:rStyle w:val="s1"/>
                <w:color w:val="000000" w:themeColor="text1"/>
                <w:sz w:val="22"/>
                <w:szCs w:val="22"/>
              </w:rPr>
              <w:t>; 2.13</w:t>
            </w:r>
            <w:r w:rsidRPr="0003195E">
              <w:rPr>
                <w:rStyle w:val="s1"/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03195E">
              <w:rPr>
                <w:rStyle w:val="s1"/>
                <w:color w:val="000000" w:themeColor="text1"/>
                <w:sz w:val="22"/>
                <w:szCs w:val="22"/>
              </w:rPr>
              <w:t>; 2.17</w:t>
            </w:r>
            <w:r w:rsidRPr="0003195E">
              <w:rPr>
                <w:rStyle w:val="s1"/>
                <w:color w:val="000000" w:themeColor="text1"/>
                <w:sz w:val="22"/>
                <w:szCs w:val="22"/>
                <w:vertAlign w:val="superscript"/>
              </w:rPr>
              <w:t>c</w:t>
            </w:r>
            <w:r w:rsidRPr="0003195E">
              <w:rPr>
                <w:rStyle w:val="s1"/>
                <w:color w:val="000000" w:themeColor="text1"/>
                <w:sz w:val="22"/>
                <w:szCs w:val="22"/>
              </w:rPr>
              <w:t>; 2.24</w:t>
            </w:r>
            <w:r w:rsidRPr="0003195E">
              <w:rPr>
                <w:rStyle w:val="s1"/>
                <w:color w:val="000000" w:themeColor="text1"/>
                <w:sz w:val="22"/>
                <w:szCs w:val="22"/>
                <w:vertAlign w:val="superscript"/>
              </w:rPr>
              <w:t>d</w:t>
            </w:r>
            <w:r w:rsidRPr="0003195E">
              <w:rPr>
                <w:rStyle w:val="s1"/>
                <w:color w:val="000000" w:themeColor="text1"/>
                <w:sz w:val="22"/>
                <w:szCs w:val="22"/>
              </w:rPr>
              <w:t>; 2.98</w:t>
            </w:r>
            <w:r w:rsidRPr="0003195E">
              <w:rPr>
                <w:rStyle w:val="s1"/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</w:tr>
      <w:tr w:rsidR="00043E67" w:rsidRPr="003C01EC" w14:paraId="643F0328" w14:textId="77777777" w:rsidTr="00D8697E">
        <w:tc>
          <w:tcPr>
            <w:tcW w:w="98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B0587A" w14:textId="77777777" w:rsidR="00043E67" w:rsidRPr="0003195E" w:rsidRDefault="00043E67" w:rsidP="0092654A">
            <w:pPr>
              <w:pStyle w:val="NormalWeb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195E">
              <w:rPr>
                <w:b/>
                <w:bCs/>
                <w:color w:val="000000" w:themeColor="text1"/>
                <w:sz w:val="22"/>
                <w:szCs w:val="22"/>
              </w:rPr>
              <w:t>MoSe</w:t>
            </w:r>
            <w:r w:rsidRPr="0003195E"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043E67" w:rsidRPr="003C01EC" w14:paraId="0FA63C48" w14:textId="77777777" w:rsidTr="00D8697E">
        <w:tc>
          <w:tcPr>
            <w:tcW w:w="1540" w:type="dxa"/>
            <w:tcBorders>
              <w:top w:val="single" w:sz="4" w:space="0" w:color="auto"/>
            </w:tcBorders>
          </w:tcPr>
          <w:p w14:paraId="6068F045" w14:textId="77777777" w:rsidR="00043E67" w:rsidRPr="0092654A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1Se</m:t>
                    </m:r>
                  </m:sub>
                </m:sSub>
              </m:oMath>
            </m:oMathPara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34D65FA2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1.23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1F1F9827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0.34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1A1CE2E4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0.98–1.48; 1.78; 1.87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1390CAF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1.48–1.68; 1.80; 1.87; 1.91; 1.95; 2.02; 2.72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64A876D4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1.83–1.87; 1.88; 1.95; 2.14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2DE39A61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1.79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  <w:r w:rsidRPr="0092654A">
              <w:rPr>
                <w:color w:val="000000" w:themeColor="text1"/>
                <w:sz w:val="22"/>
                <w:szCs w:val="22"/>
              </w:rPr>
              <w:t>, 2.00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c</w:t>
            </w:r>
            <w:r w:rsidRPr="0092654A">
              <w:rPr>
                <w:color w:val="000000" w:themeColor="text1"/>
                <w:sz w:val="22"/>
                <w:szCs w:val="22"/>
              </w:rPr>
              <w:t>; 2.08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f</w:t>
            </w:r>
            <w:r w:rsidRPr="0092654A">
              <w:rPr>
                <w:color w:val="000000" w:themeColor="text1"/>
                <w:sz w:val="22"/>
                <w:szCs w:val="22"/>
              </w:rPr>
              <w:t>; 2.13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92654A">
              <w:rPr>
                <w:color w:val="000000" w:themeColor="text1"/>
                <w:sz w:val="22"/>
                <w:szCs w:val="22"/>
              </w:rPr>
              <w:t>; 2.15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 xml:space="preserve"> f</w:t>
            </w:r>
            <w:r w:rsidRPr="0092654A">
              <w:rPr>
                <w:color w:val="000000" w:themeColor="text1"/>
                <w:sz w:val="22"/>
                <w:szCs w:val="22"/>
              </w:rPr>
              <w:t>; 2.60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</w:tr>
      <w:tr w:rsidR="00043E67" w:rsidRPr="003C01EC" w14:paraId="1D4606EC" w14:textId="77777777" w:rsidTr="00D8697E">
        <w:tc>
          <w:tcPr>
            <w:tcW w:w="1540" w:type="dxa"/>
          </w:tcPr>
          <w:p w14:paraId="77633CBE" w14:textId="77777777" w:rsidR="00043E67" w:rsidRPr="0092654A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1321" w:type="dxa"/>
          </w:tcPr>
          <w:p w14:paraId="351E33C5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1321" w:type="dxa"/>
          </w:tcPr>
          <w:p w14:paraId="62B4D1E0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0.33</w:t>
            </w:r>
          </w:p>
        </w:tc>
        <w:tc>
          <w:tcPr>
            <w:tcW w:w="1494" w:type="dxa"/>
          </w:tcPr>
          <w:p w14:paraId="4DE458E3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0.43–0.83; 1.02–1.13; 1.19–1.30; 1.73; 1.86; 2.03; 2.21</w:t>
            </w:r>
          </w:p>
        </w:tc>
        <w:tc>
          <w:tcPr>
            <w:tcW w:w="1170" w:type="dxa"/>
          </w:tcPr>
          <w:p w14:paraId="4C32E67D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1.00–1.48; 1.60–2.16; 2.28–2.36; 2.74–2.76</w:t>
            </w:r>
          </w:p>
        </w:tc>
        <w:tc>
          <w:tcPr>
            <w:tcW w:w="1538" w:type="dxa"/>
          </w:tcPr>
          <w:p w14:paraId="57C12412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0.30; 0.85–0.90; 1.10; 1.14–1.17; 1.22; 1.26–1.27; 1.34; 1.41–1.49; 1.91; 2.12</w:t>
            </w:r>
          </w:p>
        </w:tc>
        <w:tc>
          <w:tcPr>
            <w:tcW w:w="1421" w:type="dxa"/>
          </w:tcPr>
          <w:p w14:paraId="2791BE80" w14:textId="77777777" w:rsidR="00043E67" w:rsidRPr="0092654A" w:rsidRDefault="00043E67" w:rsidP="006F3296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2654A">
              <w:rPr>
                <w:color w:val="000000" w:themeColor="text1"/>
                <w:sz w:val="22"/>
                <w:szCs w:val="22"/>
              </w:rPr>
              <w:t>2.34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c,e</w:t>
            </w:r>
            <w:proofErr w:type="gramEnd"/>
          </w:p>
        </w:tc>
      </w:tr>
      <w:tr w:rsidR="00043E67" w:rsidRPr="003C01EC" w14:paraId="69C855E9" w14:textId="77777777" w:rsidTr="00D8697E">
        <w:tc>
          <w:tcPr>
            <w:tcW w:w="1540" w:type="dxa"/>
          </w:tcPr>
          <w:p w14:paraId="22845E15" w14:textId="77777777" w:rsidR="00043E67" w:rsidRPr="0092654A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o</m:t>
                    </m:r>
                  </m:sup>
                </m:sSubSup>
              </m:oMath>
            </m:oMathPara>
          </w:p>
        </w:tc>
        <w:tc>
          <w:tcPr>
            <w:tcW w:w="1321" w:type="dxa"/>
          </w:tcPr>
          <w:p w14:paraId="4B1A1702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1.13</w:t>
            </w:r>
          </w:p>
        </w:tc>
        <w:tc>
          <w:tcPr>
            <w:tcW w:w="1321" w:type="dxa"/>
          </w:tcPr>
          <w:p w14:paraId="42F1773A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0.49</w:t>
            </w:r>
          </w:p>
          <w:p w14:paraId="4477BB32" w14:textId="77777777" w:rsidR="00043E67" w:rsidRPr="0092654A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4" w:type="dxa"/>
          </w:tcPr>
          <w:p w14:paraId="40553FCF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1.44–1.60; 1.70–1.72; 1.77–1.81; 1.90–1.97</w:t>
            </w:r>
          </w:p>
        </w:tc>
        <w:tc>
          <w:tcPr>
            <w:tcW w:w="1170" w:type="dxa"/>
          </w:tcPr>
          <w:p w14:paraId="217DCF74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1.95; 2.01–2.07; 2.40; 2.66–2.67</w:t>
            </w:r>
          </w:p>
        </w:tc>
        <w:tc>
          <w:tcPr>
            <w:tcW w:w="1538" w:type="dxa"/>
          </w:tcPr>
          <w:p w14:paraId="728C5427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0.71–0.81; 1.17–1.20</w:t>
            </w:r>
          </w:p>
          <w:p w14:paraId="0C855328" w14:textId="77777777" w:rsidR="00043E67" w:rsidRPr="0092654A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1D3EA17" w14:textId="77777777" w:rsidR="00043E67" w:rsidRPr="0092654A" w:rsidRDefault="00043E67" w:rsidP="006F3296">
            <w:pPr>
              <w:pStyle w:val="NormalWeb"/>
              <w:rPr>
                <w:color w:val="000000" w:themeColor="text1"/>
                <w:sz w:val="22"/>
                <w:szCs w:val="22"/>
              </w:rPr>
            </w:pPr>
            <w:r w:rsidRPr="0092654A">
              <w:rPr>
                <w:color w:val="000000" w:themeColor="text1"/>
                <w:sz w:val="22"/>
                <w:szCs w:val="22"/>
              </w:rPr>
              <w:t>1.46–1.47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 xml:space="preserve"> a</w:t>
            </w:r>
            <w:r w:rsidRPr="0092654A">
              <w:rPr>
                <w:color w:val="000000" w:themeColor="text1"/>
                <w:sz w:val="22"/>
                <w:szCs w:val="22"/>
              </w:rPr>
              <w:t>; 1.54–1.55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b</w:t>
            </w:r>
            <w:r w:rsidRPr="0092654A">
              <w:rPr>
                <w:color w:val="000000" w:themeColor="text1"/>
                <w:sz w:val="22"/>
                <w:szCs w:val="22"/>
              </w:rPr>
              <w:t>; 1.64–1.66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c</w:t>
            </w:r>
            <w:r w:rsidRPr="0092654A">
              <w:rPr>
                <w:color w:val="000000" w:themeColor="text1"/>
                <w:sz w:val="22"/>
                <w:szCs w:val="22"/>
              </w:rPr>
              <w:t>; 1.76–1.78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c</w:t>
            </w:r>
            <w:r w:rsidRPr="0092654A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92654A">
              <w:rPr>
                <w:color w:val="000000" w:themeColor="text1"/>
                <w:sz w:val="22"/>
                <w:szCs w:val="22"/>
              </w:rPr>
              <w:lastRenderedPageBreak/>
              <w:t>1.81–1.86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 xml:space="preserve"> c</w:t>
            </w:r>
            <w:r w:rsidRPr="0092654A">
              <w:rPr>
                <w:color w:val="000000" w:themeColor="text1"/>
                <w:sz w:val="22"/>
                <w:szCs w:val="22"/>
              </w:rPr>
              <w:t>; 2.05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f</w:t>
            </w:r>
            <w:r w:rsidRPr="0092654A">
              <w:rPr>
                <w:color w:val="000000" w:themeColor="text1"/>
                <w:sz w:val="22"/>
                <w:szCs w:val="22"/>
              </w:rPr>
              <w:t>; 2.42</w:t>
            </w:r>
            <w:r w:rsidRPr="0092654A">
              <w:rPr>
                <w:color w:val="000000" w:themeColor="text1"/>
                <w:sz w:val="22"/>
                <w:szCs w:val="22"/>
                <w:vertAlign w:val="superscript"/>
              </w:rPr>
              <w:t>e</w:t>
            </w:r>
          </w:p>
        </w:tc>
      </w:tr>
      <w:tr w:rsidR="00043E67" w:rsidRPr="003C01EC" w14:paraId="757776DE" w14:textId="77777777" w:rsidTr="00D8697E">
        <w:tc>
          <w:tcPr>
            <w:tcW w:w="9805" w:type="dxa"/>
            <w:gridSpan w:val="7"/>
            <w:tcBorders>
              <w:bottom w:val="single" w:sz="4" w:space="0" w:color="auto"/>
            </w:tcBorders>
          </w:tcPr>
          <w:p w14:paraId="4594B884" w14:textId="77777777" w:rsidR="00043E67" w:rsidRPr="00954F5E" w:rsidRDefault="00043E67" w:rsidP="006F3296">
            <w:pPr>
              <w:pStyle w:val="NormalWeb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54F5E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WSe</w:t>
            </w:r>
            <w:r w:rsidRPr="00954F5E">
              <w:rPr>
                <w:b/>
                <w:bCs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043E67" w:rsidRPr="003C01EC" w14:paraId="4154A96A" w14:textId="77777777" w:rsidTr="00D8697E">
        <w:tc>
          <w:tcPr>
            <w:tcW w:w="1540" w:type="dxa"/>
            <w:tcBorders>
              <w:top w:val="single" w:sz="4" w:space="0" w:color="auto"/>
            </w:tcBorders>
          </w:tcPr>
          <w:p w14:paraId="03181777" w14:textId="77777777" w:rsidR="00043E67" w:rsidRPr="00EB3BB6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2"/>
                        <w:szCs w:val="22"/>
                      </w:rPr>
                      <m:t>1Se</m:t>
                    </m:r>
                  </m:sub>
                </m:sSub>
              </m:oMath>
            </m:oMathPara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4E48EA99" w14:textId="77777777" w:rsidR="00043E67" w:rsidRPr="00EB3BB6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1.27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5E5CDC87" w14:textId="77777777" w:rsidR="00043E67" w:rsidRPr="00EB3BB6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0.32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14:paraId="2B851BEF" w14:textId="77777777" w:rsidR="00043E67" w:rsidRPr="00954F5E" w:rsidRDefault="00043E67" w:rsidP="006F3296">
            <w:pPr>
              <w:pStyle w:val="p1"/>
              <w:rPr>
                <w:sz w:val="22"/>
                <w:szCs w:val="22"/>
              </w:rPr>
            </w:pPr>
            <w:r w:rsidRPr="00954F5E">
              <w:rPr>
                <w:sz w:val="22"/>
                <w:szCs w:val="22"/>
              </w:rPr>
              <w:t>0.95–1.64; 1.65–1.75; 1.78–1.82; 1.84–1.85; 1.88; 1.92; 2.07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C8D6117" w14:textId="77777777" w:rsidR="00043E67" w:rsidRPr="00954F5E" w:rsidRDefault="00043E67" w:rsidP="006F3296">
            <w:pPr>
              <w:pStyle w:val="p1"/>
              <w:rPr>
                <w:sz w:val="22"/>
                <w:szCs w:val="22"/>
              </w:rPr>
            </w:pPr>
            <w:r w:rsidRPr="00954F5E">
              <w:rPr>
                <w:sz w:val="22"/>
                <w:szCs w:val="22"/>
              </w:rPr>
              <w:t>1.87; 1.99; 2.03–2.06; 2.30–2.36; 2.38; 2.42; 2.47–2.48; 2.55–2.60; 2.81;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46D26AD9" w14:textId="497779A1" w:rsidR="00043E67" w:rsidRPr="00954F5E" w:rsidRDefault="00D7252B" w:rsidP="006F3296">
            <w:pPr>
              <w:pStyle w:val="p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1.63;</w:t>
            </w:r>
            <w:r w:rsidR="00043E67" w:rsidRPr="00954F5E">
              <w:rPr>
                <w:sz w:val="22"/>
                <w:szCs w:val="22"/>
              </w:rPr>
              <w:t>1.65; 1.76; 1.80–1.83; 1.88; 1.94–1.96; 2.02–2.05; 2.09–2.14; 2.21–2.22; 2.28–2.36; 2.48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159E937" w14:textId="77777777" w:rsidR="00043E67" w:rsidRPr="00954F5E" w:rsidRDefault="00043E67" w:rsidP="006F3296">
            <w:pPr>
              <w:pStyle w:val="p1"/>
              <w:rPr>
                <w:sz w:val="22"/>
                <w:szCs w:val="22"/>
              </w:rPr>
            </w:pPr>
            <w:r w:rsidRPr="00954F5E">
              <w:rPr>
                <w:sz w:val="22"/>
                <w:szCs w:val="22"/>
              </w:rPr>
              <w:t>1.77–1.79</w:t>
            </w:r>
            <w:r w:rsidRPr="00954F5E">
              <w:rPr>
                <w:sz w:val="22"/>
                <w:szCs w:val="22"/>
                <w:vertAlign w:val="superscript"/>
              </w:rPr>
              <w:t>a</w:t>
            </w:r>
            <w:r w:rsidRPr="00954F5E">
              <w:rPr>
                <w:sz w:val="22"/>
                <w:szCs w:val="22"/>
              </w:rPr>
              <w:t>; 1.81</w:t>
            </w:r>
            <w:r w:rsidRPr="00954F5E">
              <w:rPr>
                <w:sz w:val="22"/>
                <w:szCs w:val="22"/>
                <w:vertAlign w:val="superscript"/>
              </w:rPr>
              <w:t>b</w:t>
            </w:r>
            <w:r w:rsidRPr="00954F5E">
              <w:rPr>
                <w:sz w:val="22"/>
                <w:szCs w:val="22"/>
              </w:rPr>
              <w:t>; 1.84</w:t>
            </w:r>
            <w:r w:rsidRPr="00954F5E">
              <w:rPr>
                <w:sz w:val="22"/>
                <w:szCs w:val="22"/>
                <w:vertAlign w:val="superscript"/>
              </w:rPr>
              <w:t>c</w:t>
            </w:r>
            <w:r w:rsidRPr="00954F5E">
              <w:rPr>
                <w:sz w:val="22"/>
                <w:szCs w:val="22"/>
              </w:rPr>
              <w:t>; 2.13</w:t>
            </w:r>
            <w:r w:rsidRPr="00954F5E">
              <w:rPr>
                <w:sz w:val="22"/>
                <w:szCs w:val="22"/>
                <w:vertAlign w:val="superscript"/>
              </w:rPr>
              <w:t>f</w:t>
            </w:r>
            <w:r w:rsidRPr="00954F5E">
              <w:rPr>
                <w:sz w:val="22"/>
                <w:szCs w:val="22"/>
              </w:rPr>
              <w:t>; 2.25</w:t>
            </w:r>
            <w:r w:rsidRPr="00954F5E">
              <w:rPr>
                <w:sz w:val="22"/>
                <w:szCs w:val="22"/>
                <w:vertAlign w:val="superscript"/>
              </w:rPr>
              <w:t>e</w:t>
            </w:r>
          </w:p>
        </w:tc>
      </w:tr>
      <w:bookmarkStart w:id="2" w:name="OLE_LINK3"/>
      <w:tr w:rsidR="00043E67" w:rsidRPr="003C01EC" w14:paraId="70AC36DB" w14:textId="77777777" w:rsidTr="00D8697E">
        <w:tc>
          <w:tcPr>
            <w:tcW w:w="1540" w:type="dxa"/>
          </w:tcPr>
          <w:p w14:paraId="67F41774" w14:textId="77777777" w:rsidR="00043E67" w:rsidRPr="00EB3BB6" w:rsidRDefault="00000000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  <w:szCs w:val="22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  <w:szCs w:val="22"/>
                      </w:rPr>
                      <m:t>s</m:t>
                    </m:r>
                  </m:sup>
                </m:sSubSup>
              </m:oMath>
            </m:oMathPara>
            <w:bookmarkEnd w:id="2"/>
          </w:p>
        </w:tc>
        <w:tc>
          <w:tcPr>
            <w:tcW w:w="1321" w:type="dxa"/>
          </w:tcPr>
          <w:p w14:paraId="1A34B614" w14:textId="77777777" w:rsidR="00043E67" w:rsidRPr="00EB3BB6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bookmarkStart w:id="3" w:name="OLE_LINK10"/>
            <w:r w:rsidRPr="00EB3BB6">
              <w:rPr>
                <w:color w:val="000000" w:themeColor="text1"/>
                <w:sz w:val="22"/>
                <w:szCs w:val="22"/>
              </w:rPr>
              <w:t>1.</w:t>
            </w:r>
            <w:bookmarkEnd w:id="3"/>
            <w:r w:rsidRPr="00EB3BB6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321" w:type="dxa"/>
          </w:tcPr>
          <w:p w14:paraId="7339D72F" w14:textId="77777777" w:rsidR="00043E67" w:rsidRPr="00EB3BB6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0.43</w:t>
            </w:r>
          </w:p>
        </w:tc>
        <w:tc>
          <w:tcPr>
            <w:tcW w:w="1494" w:type="dxa"/>
          </w:tcPr>
          <w:p w14:paraId="0D010F94" w14:textId="77777777" w:rsidR="00043E67" w:rsidRPr="00B13B9D" w:rsidRDefault="00043E67" w:rsidP="006F3296">
            <w:pPr>
              <w:pStyle w:val="p1"/>
              <w:rPr>
                <w:sz w:val="22"/>
                <w:szCs w:val="22"/>
              </w:rPr>
            </w:pPr>
            <w:r w:rsidRPr="00B13B9D">
              <w:rPr>
                <w:sz w:val="22"/>
                <w:szCs w:val="22"/>
              </w:rPr>
              <w:t>0.87–1.11; 1.18; 1.23; 1.34–1.39; 1.90; 2.04; 2.33</w:t>
            </w:r>
          </w:p>
        </w:tc>
        <w:tc>
          <w:tcPr>
            <w:tcW w:w="1170" w:type="dxa"/>
          </w:tcPr>
          <w:p w14:paraId="7CBF4AA6" w14:textId="77777777" w:rsidR="00043E67" w:rsidRPr="00B13B9D" w:rsidRDefault="00043E67" w:rsidP="006F3296">
            <w:pPr>
              <w:pStyle w:val="p1"/>
              <w:rPr>
                <w:sz w:val="22"/>
                <w:szCs w:val="22"/>
              </w:rPr>
            </w:pPr>
            <w:r w:rsidRPr="00B13B9D">
              <w:rPr>
                <w:sz w:val="22"/>
                <w:szCs w:val="22"/>
              </w:rPr>
              <w:t>1.22; 1.29; 1.41; 1.52; 1.66; 1.84–1.96; 2.07; 2.16; 2.31–2.35; 2.51–2.64; 2.90</w:t>
            </w:r>
          </w:p>
        </w:tc>
        <w:tc>
          <w:tcPr>
            <w:tcW w:w="1538" w:type="dxa"/>
          </w:tcPr>
          <w:p w14:paraId="519FB0C0" w14:textId="77777777" w:rsidR="00043E67" w:rsidRPr="00B13B9D" w:rsidRDefault="00043E67" w:rsidP="006F3296">
            <w:pPr>
              <w:pStyle w:val="p1"/>
              <w:rPr>
                <w:sz w:val="22"/>
                <w:szCs w:val="22"/>
              </w:rPr>
            </w:pPr>
            <w:r w:rsidRPr="00B13B9D">
              <w:rPr>
                <w:sz w:val="22"/>
                <w:szCs w:val="22"/>
              </w:rPr>
              <w:t>1.02–1.06; 1.10; 1.16–1.22; 1.25–1.46; 1.54–1.84; 2.36; 2.55</w:t>
            </w:r>
          </w:p>
        </w:tc>
        <w:tc>
          <w:tcPr>
            <w:tcW w:w="1421" w:type="dxa"/>
          </w:tcPr>
          <w:p w14:paraId="764C858C" w14:textId="77777777" w:rsidR="00043E67" w:rsidRPr="003C01EC" w:rsidRDefault="00043E67" w:rsidP="006F3296">
            <w:pPr>
              <w:pStyle w:val="NormalWeb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2.56</w:t>
            </w:r>
            <w:r w:rsidRPr="003A5912">
              <w:rPr>
                <w:color w:val="000000" w:themeColor="text1"/>
                <w:vertAlign w:val="superscript"/>
              </w:rPr>
              <w:t>e</w:t>
            </w:r>
          </w:p>
        </w:tc>
      </w:tr>
      <w:tr w:rsidR="00043E67" w:rsidRPr="00D3255A" w14:paraId="1BD32210" w14:textId="77777777" w:rsidTr="00D8697E">
        <w:tc>
          <w:tcPr>
            <w:tcW w:w="1540" w:type="dxa"/>
          </w:tcPr>
          <w:p w14:paraId="19C15816" w14:textId="77777777" w:rsidR="00043E67" w:rsidRPr="00EB3BB6" w:rsidRDefault="00000000" w:rsidP="006F3296">
            <w:pPr>
              <w:spacing w:line="360" w:lineRule="auto"/>
              <w:rPr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</w:rPr>
                      <m:t>o</m:t>
                    </m:r>
                  </m:sup>
                </m:sSubSup>
              </m:oMath>
            </m:oMathPara>
          </w:p>
        </w:tc>
        <w:tc>
          <w:tcPr>
            <w:tcW w:w="1321" w:type="dxa"/>
          </w:tcPr>
          <w:p w14:paraId="295D0675" w14:textId="77777777" w:rsidR="00043E67" w:rsidRPr="00EB3BB6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1.25</w:t>
            </w:r>
          </w:p>
        </w:tc>
        <w:tc>
          <w:tcPr>
            <w:tcW w:w="1321" w:type="dxa"/>
          </w:tcPr>
          <w:p w14:paraId="70CD6E66" w14:textId="77777777" w:rsidR="00043E67" w:rsidRPr="00EB3BB6" w:rsidRDefault="00043E67" w:rsidP="006F329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0.53</w:t>
            </w:r>
          </w:p>
        </w:tc>
        <w:tc>
          <w:tcPr>
            <w:tcW w:w="1494" w:type="dxa"/>
          </w:tcPr>
          <w:p w14:paraId="14112C3A" w14:textId="77777777" w:rsidR="00043E67" w:rsidRPr="00EB3BB6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0.72–1.43; 1.68–1.70; 1.78; 2.08–2.11</w:t>
            </w:r>
          </w:p>
        </w:tc>
        <w:tc>
          <w:tcPr>
            <w:tcW w:w="1170" w:type="dxa"/>
          </w:tcPr>
          <w:p w14:paraId="71DA7992" w14:textId="77777777" w:rsidR="00043E67" w:rsidRPr="00EB3BB6" w:rsidRDefault="00043E67" w:rsidP="006F3296">
            <w:pPr>
              <w:pStyle w:val="p1"/>
              <w:rPr>
                <w:color w:val="000000" w:themeColor="text1"/>
                <w:sz w:val="22"/>
                <w:szCs w:val="22"/>
              </w:rPr>
            </w:pPr>
            <w:r w:rsidRPr="00EB3BB6">
              <w:rPr>
                <w:color w:val="000000" w:themeColor="text1"/>
                <w:sz w:val="22"/>
                <w:szCs w:val="22"/>
              </w:rPr>
              <w:t>1.83; 1.88; 2.10–2.16; 2.24; 2.30; 2.36; 2.41; 2.46–2.50</w:t>
            </w:r>
          </w:p>
        </w:tc>
        <w:tc>
          <w:tcPr>
            <w:tcW w:w="1538" w:type="dxa"/>
          </w:tcPr>
          <w:p w14:paraId="6576C156" w14:textId="77777777" w:rsidR="00043E67" w:rsidRPr="00247142" w:rsidRDefault="00043E67" w:rsidP="006F3296">
            <w:pPr>
              <w:pStyle w:val="p1"/>
              <w:rPr>
                <w:sz w:val="22"/>
                <w:szCs w:val="22"/>
              </w:rPr>
            </w:pPr>
            <w:r w:rsidRPr="00247142">
              <w:rPr>
                <w:sz w:val="22"/>
                <w:szCs w:val="22"/>
              </w:rPr>
              <w:t xml:space="preserve">1.83–1.84; 1.87; 1.90; 2.00–2.06; </w:t>
            </w:r>
            <w:r>
              <w:rPr>
                <w:sz w:val="22"/>
                <w:szCs w:val="22"/>
              </w:rPr>
              <w:t>2.12</w:t>
            </w:r>
            <w:r w:rsidRPr="00247142">
              <w:rPr>
                <w:sz w:val="22"/>
                <w:szCs w:val="22"/>
              </w:rPr>
              <w:t>–2.20; 2.32</w:t>
            </w:r>
          </w:p>
        </w:tc>
        <w:tc>
          <w:tcPr>
            <w:tcW w:w="1421" w:type="dxa"/>
          </w:tcPr>
          <w:p w14:paraId="17E3DE48" w14:textId="77777777" w:rsidR="00043E67" w:rsidRPr="002536E4" w:rsidRDefault="00043E67" w:rsidP="006F3296">
            <w:pPr>
              <w:pStyle w:val="p1"/>
              <w:rPr>
                <w:sz w:val="22"/>
                <w:szCs w:val="22"/>
              </w:rPr>
            </w:pPr>
            <w:r w:rsidRPr="00B74D0A">
              <w:rPr>
                <w:sz w:val="22"/>
                <w:szCs w:val="22"/>
              </w:rPr>
              <w:t>1.62</w:t>
            </w:r>
            <w:r w:rsidRPr="00B74D0A">
              <w:rPr>
                <w:sz w:val="22"/>
                <w:szCs w:val="22"/>
                <w:vertAlign w:val="superscript"/>
              </w:rPr>
              <w:t>a</w:t>
            </w:r>
            <w:r w:rsidRPr="00B74D0A">
              <w:rPr>
                <w:sz w:val="22"/>
                <w:szCs w:val="22"/>
              </w:rPr>
              <w:t>; 1.79–1.8</w:t>
            </w:r>
            <w:r>
              <w:rPr>
                <w:sz w:val="22"/>
                <w:szCs w:val="22"/>
              </w:rPr>
              <w:t>4</w:t>
            </w:r>
            <w:r w:rsidRPr="00B74D0A">
              <w:rPr>
                <w:sz w:val="22"/>
                <w:szCs w:val="22"/>
                <w:vertAlign w:val="superscript"/>
              </w:rPr>
              <w:t>b</w:t>
            </w:r>
            <w:r>
              <w:rPr>
                <w:sz w:val="22"/>
                <w:szCs w:val="22"/>
              </w:rPr>
              <w:t>; 1.87</w:t>
            </w:r>
            <w:r w:rsidRPr="00B74D0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1.91</w:t>
            </w:r>
            <w:r w:rsidRPr="00086C91">
              <w:rPr>
                <w:sz w:val="22"/>
                <w:szCs w:val="22"/>
                <w:vertAlign w:val="superscript"/>
              </w:rPr>
              <w:t>c</w:t>
            </w:r>
            <w:r>
              <w:rPr>
                <w:sz w:val="22"/>
                <w:szCs w:val="22"/>
              </w:rPr>
              <w:t>; 1.96</w:t>
            </w:r>
            <w:r w:rsidRPr="00086C91">
              <w:rPr>
                <w:sz w:val="22"/>
                <w:szCs w:val="22"/>
                <w:vertAlign w:val="superscript"/>
              </w:rPr>
              <w:t>d</w:t>
            </w:r>
            <w:r>
              <w:rPr>
                <w:sz w:val="22"/>
                <w:szCs w:val="22"/>
              </w:rPr>
              <w:t>; 2.00</w:t>
            </w:r>
            <w:r w:rsidRPr="00086C91">
              <w:rPr>
                <w:sz w:val="22"/>
                <w:szCs w:val="22"/>
                <w:vertAlign w:val="superscript"/>
              </w:rPr>
              <w:t>f</w:t>
            </w:r>
            <w:r>
              <w:rPr>
                <w:sz w:val="22"/>
                <w:szCs w:val="22"/>
              </w:rPr>
              <w:t>; 2.31</w:t>
            </w:r>
            <w:r w:rsidRPr="002536E4">
              <w:rPr>
                <w:sz w:val="22"/>
                <w:szCs w:val="22"/>
                <w:vertAlign w:val="superscript"/>
              </w:rPr>
              <w:t>e</w:t>
            </w:r>
          </w:p>
        </w:tc>
      </w:tr>
    </w:tbl>
    <w:p w14:paraId="0DCE723E" w14:textId="2E791790" w:rsidR="00043E67" w:rsidRPr="00EB3BB6" w:rsidRDefault="00043E67" w:rsidP="00D8697E">
      <w:pPr>
        <w:spacing w:before="100" w:beforeAutospacing="1" w:after="100" w:afterAutospacing="1" w:line="240" w:lineRule="auto"/>
        <w:ind w:firstLine="0"/>
        <w:jc w:val="both"/>
        <w:rPr>
          <w:color w:val="000000" w:themeColor="text1"/>
        </w:rPr>
      </w:pPr>
      <w:r w:rsidRPr="00592775">
        <w:rPr>
          <w:color w:val="000000" w:themeColor="text1"/>
        </w:rPr>
        <w:t xml:space="preserve">Perturbed excitons are </w:t>
      </w:r>
      <w:r w:rsidRPr="00EB3BB6">
        <w:rPr>
          <w:color w:val="000000" w:themeColor="text1"/>
        </w:rPr>
        <w:t xml:space="preserve">labeled as follows: </w:t>
      </w:r>
      <w:r w:rsidRPr="00EB3BB6">
        <w:rPr>
          <w:color w:val="000000" w:themeColor="text1"/>
          <w:vertAlign w:val="superscript"/>
        </w:rPr>
        <w:t xml:space="preserve">a </w:t>
      </w:r>
      <w:r w:rsidRPr="00EB3BB6">
        <w:rPr>
          <w:color w:val="000000" w:themeColor="text1"/>
        </w:rPr>
        <w:t xml:space="preserve">A-like; </w:t>
      </w:r>
      <w:r w:rsidRPr="00EB3BB6">
        <w:rPr>
          <w:color w:val="000000" w:themeColor="text1"/>
          <w:vertAlign w:val="superscript"/>
        </w:rPr>
        <w:t xml:space="preserve">b </w:t>
      </w:r>
      <w:r w:rsidRPr="00EB3BB6">
        <w:rPr>
          <w:color w:val="000000" w:themeColor="text1"/>
        </w:rPr>
        <w:t xml:space="preserve">B-like; </w:t>
      </w:r>
      <w:r w:rsidRPr="00EB3BB6">
        <w:rPr>
          <w:color w:val="000000" w:themeColor="text1"/>
          <w:vertAlign w:val="superscript"/>
        </w:rPr>
        <w:t xml:space="preserve">c </w:t>
      </w:r>
      <w:r w:rsidRPr="00EB3BB6">
        <w:rPr>
          <w:color w:val="000000" w:themeColor="text1"/>
        </w:rPr>
        <w:t xml:space="preserve">A′-like; </w:t>
      </w:r>
      <w:r w:rsidRPr="00EB3BB6">
        <w:rPr>
          <w:color w:val="000000" w:themeColor="text1"/>
          <w:vertAlign w:val="superscript"/>
        </w:rPr>
        <w:t xml:space="preserve">d </w:t>
      </w:r>
      <w:r w:rsidRPr="00EB3BB6">
        <w:rPr>
          <w:color w:val="000000" w:themeColor="text1"/>
        </w:rPr>
        <w:t>B′-like;</w:t>
      </w:r>
      <w:r w:rsidRPr="00EB3BB6">
        <w:rPr>
          <w:color w:val="000000" w:themeColor="text1"/>
          <w:vertAlign w:val="superscript"/>
        </w:rPr>
        <w:t xml:space="preserve"> e </w:t>
      </w:r>
      <w:r w:rsidRPr="00EB3BB6">
        <w:rPr>
          <w:color w:val="000000" w:themeColor="text1"/>
        </w:rPr>
        <w:t xml:space="preserve">higher-lying mixed/C-like; </w:t>
      </w:r>
      <w:r w:rsidRPr="00EB3BB6">
        <w:rPr>
          <w:color w:val="000000" w:themeColor="text1"/>
          <w:vertAlign w:val="superscript"/>
        </w:rPr>
        <w:t>f</w:t>
      </w:r>
      <w:r w:rsidRPr="00EB3BB6">
        <w:rPr>
          <w:color w:val="000000" w:themeColor="text1"/>
        </w:rPr>
        <w:t xml:space="preserve"> 3s/3p Rydberg state</w:t>
      </w:r>
      <w:r w:rsidR="00034ACE">
        <w:rPr>
          <w:color w:val="000000" w:themeColor="text1"/>
        </w:rPr>
        <w:t>.</w:t>
      </w:r>
    </w:p>
    <w:p w14:paraId="14D0443D" w14:textId="77777777" w:rsidR="00043E67" w:rsidRDefault="00043E67" w:rsidP="009B38DF">
      <w:pPr>
        <w:spacing w:line="360" w:lineRule="auto"/>
        <w:ind w:firstLine="0"/>
        <w:jc w:val="both"/>
        <w:rPr>
          <w:rFonts w:cs="Times New Roman"/>
          <w:b/>
          <w:bCs/>
          <w:color w:val="000000" w:themeColor="text1"/>
        </w:rPr>
      </w:pPr>
    </w:p>
    <w:p w14:paraId="3342D165" w14:textId="77777777" w:rsidR="00561A63" w:rsidRDefault="00561A63">
      <w:pPr>
        <w:spacing w:line="278" w:lineRule="auto"/>
        <w:ind w:firstLine="0"/>
        <w:rPr>
          <w:rFonts w:eastAsia="Times New Roman" w:cs="Times New Roman"/>
          <w:b/>
          <w:bCs/>
        </w:rPr>
      </w:pPr>
      <w:r>
        <w:rPr>
          <w:b/>
          <w:bCs/>
        </w:rPr>
        <w:br w:type="page"/>
      </w:r>
    </w:p>
    <w:p w14:paraId="7E84DA37" w14:textId="6544C98C" w:rsidR="000868DA" w:rsidRDefault="000868DA" w:rsidP="000868DA">
      <w:pPr>
        <w:pStyle w:val="p1"/>
        <w:jc w:val="both"/>
        <w:rPr>
          <w:color w:val="000000"/>
        </w:rPr>
      </w:pPr>
      <w:r w:rsidRPr="002E4F98">
        <w:rPr>
          <w:b/>
          <w:bCs/>
        </w:rPr>
        <w:lastRenderedPageBreak/>
        <w:t xml:space="preserve">Table </w:t>
      </w:r>
      <w:r w:rsidR="00035C5F">
        <w:rPr>
          <w:b/>
          <w:bCs/>
        </w:rPr>
        <w:t>S</w:t>
      </w:r>
      <w:r w:rsidRPr="002E4F98">
        <w:rPr>
          <w:b/>
          <w:bCs/>
        </w:rPr>
        <w:t>3</w:t>
      </w:r>
      <w:r w:rsidRPr="00F72124">
        <w:t xml:space="preserve">. </w:t>
      </w:r>
      <w:r w:rsidR="00D8697E">
        <w:rPr>
          <w:color w:val="000000" w:themeColor="text1"/>
        </w:rPr>
        <w:t xml:space="preserve">Direct </w:t>
      </w:r>
      <w:r w:rsidR="00D8697E" w:rsidRPr="00043E67">
        <w:rPr>
          <w:color w:val="000000" w:themeColor="text1"/>
        </w:rPr>
        <w:t>G</w:t>
      </w:r>
      <w:r w:rsidR="00D8697E" w:rsidRPr="00043E67">
        <w:rPr>
          <w:color w:val="000000" w:themeColor="text1"/>
          <w:vertAlign w:val="subscript"/>
        </w:rPr>
        <w:t>0</w:t>
      </w:r>
      <w:r w:rsidR="00D8697E" w:rsidRPr="00043E67">
        <w:rPr>
          <w:color w:val="000000" w:themeColor="text1"/>
        </w:rPr>
        <w:t>W</w:t>
      </w:r>
      <w:r w:rsidR="00D8697E" w:rsidRPr="00043E67">
        <w:rPr>
          <w:color w:val="000000" w:themeColor="text1"/>
          <w:vertAlign w:val="subscript"/>
        </w:rPr>
        <w:t>0</w:t>
      </w:r>
      <w:r w:rsidR="00D8697E">
        <w:rPr>
          <w:i/>
          <w:iCs/>
          <w:color w:val="000000" w:themeColor="text1"/>
        </w:rPr>
        <w:t xml:space="preserve"> </w:t>
      </w:r>
      <w:r w:rsidR="00D8697E" w:rsidRPr="00776F19">
        <w:rPr>
          <w:color w:val="000000" w:themeColor="text1"/>
        </w:rPr>
        <w:t>band</w:t>
      </w:r>
      <w:r w:rsidR="00D8697E">
        <w:rPr>
          <w:color w:val="000000" w:themeColor="text1"/>
        </w:rPr>
        <w:t xml:space="preserve"> </w:t>
      </w:r>
      <w:r w:rsidR="00D8697E" w:rsidRPr="00776F19">
        <w:rPr>
          <w:color w:val="000000" w:themeColor="text1"/>
        </w:rPr>
        <w:t>gap (</w:t>
      </w:r>
      <m:oMath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g</m:t>
            </m:r>
          </m:sub>
          <m:sup>
            <m:r>
              <w:rPr>
                <w:rFonts w:ascii="Cambria Math" w:hAnsi="Cambria Math"/>
                <w:color w:val="000000" w:themeColor="text1"/>
              </w:rPr>
              <m:t>GW</m:t>
            </m:r>
          </m:sup>
        </m:sSubSup>
        <m:r>
          <w:rPr>
            <w:rFonts w:ascii="Cambria Math" w:hAnsi="Cambria Math"/>
            <w:color w:val="000000" w:themeColor="text1"/>
          </w:rPr>
          <m:t>)</m:t>
        </m:r>
      </m:oMath>
      <w:r w:rsidR="00D8697E" w:rsidRPr="00776F19">
        <w:rPr>
          <w:color w:val="000000" w:themeColor="text1"/>
        </w:rPr>
        <w:t>, exciton binding energy (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E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b</m:t>
            </m:r>
          </m:sub>
        </m:sSub>
      </m:oMath>
      <w:r w:rsidR="00D8697E" w:rsidRPr="00776F19">
        <w:rPr>
          <w:color w:val="000000" w:themeColor="text1"/>
        </w:rPr>
        <w:t xml:space="preserve">), and </w:t>
      </w:r>
      <w:r w:rsidR="00D8697E">
        <w:rPr>
          <w:color w:val="000000" w:themeColor="text1"/>
        </w:rPr>
        <w:t xml:space="preserve">approximate </w:t>
      </w:r>
      <w:r w:rsidR="00D8697E" w:rsidRPr="00776F19">
        <w:rPr>
          <w:color w:val="000000" w:themeColor="text1"/>
        </w:rPr>
        <w:t xml:space="preserve">energy ranges and prominent peaks </w:t>
      </w:r>
      <w:r w:rsidR="00D8697E">
        <w:t>based on oscillator strength</w:t>
      </w:r>
      <w:r w:rsidR="00D8697E">
        <w:rPr>
          <w:color w:val="000000" w:themeColor="text1"/>
        </w:rPr>
        <w:t xml:space="preserve"> </w:t>
      </w:r>
      <w:r w:rsidR="00D8697E" w:rsidRPr="00776F19">
        <w:rPr>
          <w:color w:val="000000" w:themeColor="text1"/>
        </w:rPr>
        <w:t xml:space="preserve">for the </w:t>
      </w:r>
      <w:r w:rsidR="00D8697E" w:rsidRPr="00043E67">
        <w:rPr>
          <w:i/>
          <w:iCs/>
          <w:color w:val="000000" w:themeColor="text1"/>
        </w:rPr>
        <w:t>D</w:t>
      </w:r>
      <w:r w:rsidR="00D8697E" w:rsidRPr="00043E67">
        <w:rPr>
          <w:i/>
          <w:iCs/>
          <w:color w:val="000000" w:themeColor="text1"/>
          <w:vertAlign w:val="subscript"/>
        </w:rPr>
        <w:t>1</w:t>
      </w:r>
      <w:r w:rsidR="00D8697E" w:rsidRPr="00776F19">
        <w:rPr>
          <w:color w:val="000000" w:themeColor="text1"/>
        </w:rPr>
        <w:t xml:space="preserve">, </w:t>
      </w:r>
      <w:r w:rsidR="00D8697E" w:rsidRPr="00043E67">
        <w:rPr>
          <w:color w:val="000000" w:themeColor="text1"/>
        </w:rPr>
        <w:t>Deep</w:t>
      </w:r>
      <w:r w:rsidR="00D8697E">
        <w:rPr>
          <w:i/>
          <w:iCs/>
          <w:color w:val="000000" w:themeColor="text1"/>
        </w:rPr>
        <w:t xml:space="preserve"> </w:t>
      </w:r>
      <w:r w:rsidR="00D8697E" w:rsidRPr="00043E67">
        <w:rPr>
          <w:i/>
          <w:iCs/>
          <w:color w:val="000000" w:themeColor="text1"/>
        </w:rPr>
        <w:t>D</w:t>
      </w:r>
      <w:r w:rsidR="00D8697E" w:rsidRPr="00043E67">
        <w:rPr>
          <w:i/>
          <w:iCs/>
          <w:color w:val="000000" w:themeColor="text1"/>
          <w:vertAlign w:val="subscript"/>
        </w:rPr>
        <w:t>2</w:t>
      </w:r>
      <w:r w:rsidR="00D8697E" w:rsidRPr="00776F19">
        <w:rPr>
          <w:color w:val="000000" w:themeColor="text1"/>
        </w:rPr>
        <w:t xml:space="preserve">, </w:t>
      </w:r>
      <w:r w:rsidR="00D8697E" w:rsidRPr="00043E67">
        <w:rPr>
          <w:i/>
          <w:iCs/>
          <w:color w:val="000000" w:themeColor="text1"/>
        </w:rPr>
        <w:t>D</w:t>
      </w:r>
      <w:r w:rsidR="00D8697E" w:rsidRPr="00043E67">
        <w:rPr>
          <w:i/>
          <w:iCs/>
          <w:color w:val="000000" w:themeColor="text1"/>
          <w:vertAlign w:val="subscript"/>
        </w:rPr>
        <w:t>2</w:t>
      </w:r>
      <w:r w:rsidR="00D8697E">
        <w:rPr>
          <w:color w:val="000000" w:themeColor="text1"/>
        </w:rPr>
        <w:t xml:space="preserve">, </w:t>
      </w:r>
      <w:r w:rsidR="00D8697E" w:rsidRPr="00776F19">
        <w:rPr>
          <w:color w:val="000000" w:themeColor="text1"/>
        </w:rPr>
        <w:t xml:space="preserve">and the perturbed </w:t>
      </w:r>
      <w:r w:rsidR="00D8697E" w:rsidRPr="00043E67">
        <w:rPr>
          <w:color w:val="000000" w:themeColor="text1"/>
        </w:rPr>
        <w:t>host-like excitons</w:t>
      </w:r>
      <w:r w:rsidR="00D8697E">
        <w:rPr>
          <w:i/>
          <w:iCs/>
          <w:color w:val="000000" w:themeColor="text1"/>
        </w:rPr>
        <w:t xml:space="preserve"> </w:t>
      </w:r>
      <w:r w:rsidR="00D8697E">
        <w:rPr>
          <w:color w:val="000000" w:themeColor="text1"/>
        </w:rPr>
        <w:t>of</w:t>
      </w:r>
      <w:r w:rsidR="00D8697E" w:rsidRPr="00776F19">
        <w:rPr>
          <w:color w:val="000000" w:themeColor="text1"/>
        </w:rPr>
        <w:t xml:space="preserve"> defect</w:t>
      </w:r>
      <w:r w:rsidR="00D8697E" w:rsidRPr="0037585E">
        <w:rPr>
          <w:color w:val="000000" w:themeColor="text1"/>
        </w:rPr>
        <w:t xml:space="preserve">ive </w:t>
      </w:r>
      <w:r w:rsidR="00D8697E">
        <w:rPr>
          <w:color w:val="000000" w:themeColor="text1"/>
        </w:rPr>
        <w:t>4</w:t>
      </w:r>
      <w:r w:rsidR="00D8697E" w:rsidRPr="00776F19">
        <w:rPr>
          <w:color w:val="000000" w:themeColor="text1"/>
        </w:rPr>
        <w:t>×</w:t>
      </w:r>
      <w:r w:rsidR="00D8697E">
        <w:rPr>
          <w:color w:val="000000" w:themeColor="text1"/>
        </w:rPr>
        <w:t>4</w:t>
      </w:r>
      <w:r w:rsidR="00D8697E" w:rsidRPr="00776F19">
        <w:rPr>
          <w:color w:val="000000" w:themeColor="text1"/>
        </w:rPr>
        <w:t xml:space="preserve"> supercells of MoS</w:t>
      </w:r>
      <w:r w:rsidR="00D8697E" w:rsidRPr="00776F19">
        <w:rPr>
          <w:color w:val="000000" w:themeColor="text1"/>
          <w:vertAlign w:val="subscript"/>
        </w:rPr>
        <w:t>2,</w:t>
      </w:r>
      <w:r w:rsidR="00D8697E" w:rsidRPr="00776F19">
        <w:rPr>
          <w:color w:val="000000" w:themeColor="text1"/>
        </w:rPr>
        <w:t xml:space="preserve"> MoSe</w:t>
      </w:r>
      <w:r w:rsidR="00D8697E" w:rsidRPr="00776F19">
        <w:rPr>
          <w:color w:val="000000" w:themeColor="text1"/>
          <w:vertAlign w:val="subscript"/>
        </w:rPr>
        <w:t xml:space="preserve">2, </w:t>
      </w:r>
      <w:r w:rsidR="00D8697E" w:rsidRPr="00776F19">
        <w:rPr>
          <w:color w:val="000000" w:themeColor="text1"/>
        </w:rPr>
        <w:t>and WSe</w:t>
      </w:r>
      <w:r w:rsidR="00D8697E" w:rsidRPr="00776F19">
        <w:rPr>
          <w:color w:val="000000" w:themeColor="text1"/>
          <w:vertAlign w:val="subscript"/>
        </w:rPr>
        <w:t xml:space="preserve">2 </w:t>
      </w:r>
      <w:r w:rsidR="00D8697E" w:rsidRPr="00776F19">
        <w:rPr>
          <w:color w:val="000000" w:themeColor="text1"/>
        </w:rPr>
        <w:t>monolayers with</w:t>
      </w:r>
      <w:r w:rsidR="00D8697E">
        <w:rPr>
          <w:color w:val="000000" w:themeColor="text1"/>
        </w:rPr>
        <w:t>out</w:t>
      </w:r>
      <w:r w:rsidR="00D8697E" w:rsidRPr="00776F19">
        <w:rPr>
          <w:color w:val="000000" w:themeColor="text1"/>
        </w:rPr>
        <w:t xml:space="preserve"> </w:t>
      </w:r>
      <w:r w:rsidR="00D8697E" w:rsidRPr="00043E67">
        <w:rPr>
          <w:color w:val="000000" w:themeColor="text1"/>
        </w:rPr>
        <w:t>spin–orbit coupling</w:t>
      </w:r>
      <w:r w:rsidR="00D8697E" w:rsidRPr="00776F19">
        <w:rPr>
          <w:color w:val="000000" w:themeColor="text1"/>
          <w:vertAlign w:val="subscript"/>
        </w:rPr>
        <w:t xml:space="preserve">. </w:t>
      </w:r>
      <w:r w:rsidR="00D8697E" w:rsidRPr="00776F19">
        <w:rPr>
          <w:color w:val="000000" w:themeColor="text1"/>
        </w:rPr>
        <w:t xml:space="preserve">The Brillouin zone </w:t>
      </w:r>
      <w:r w:rsidR="00D8697E">
        <w:rPr>
          <w:color w:val="000000" w:themeColor="text1"/>
        </w:rPr>
        <w:t>was</w:t>
      </w:r>
      <w:r w:rsidR="00D8697E" w:rsidRPr="00776F19">
        <w:rPr>
          <w:color w:val="000000" w:themeColor="text1"/>
        </w:rPr>
        <w:t xml:space="preserve"> sampled </w:t>
      </w:r>
      <w:r w:rsidR="00D8697E">
        <w:rPr>
          <w:color w:val="000000" w:themeColor="text1"/>
        </w:rPr>
        <w:t>using</w:t>
      </w:r>
      <w:r w:rsidR="00D8697E" w:rsidRPr="00776F19">
        <w:rPr>
          <w:color w:val="000000" w:themeColor="text1"/>
        </w:rPr>
        <w:t xml:space="preserve"> </w:t>
      </w:r>
      <w:r w:rsidR="00D8697E">
        <w:rPr>
          <w:color w:val="000000" w:themeColor="text1"/>
        </w:rPr>
        <w:t xml:space="preserve">a </w:t>
      </w:r>
      <w:r w:rsidR="00D8697E" w:rsidRPr="00776F19">
        <w:rPr>
          <w:color w:val="000000" w:themeColor="text1"/>
          <w:lang w:val="el-GR"/>
        </w:rPr>
        <w:t>Γ</w:t>
      </w:r>
      <w:r w:rsidR="00D8697E" w:rsidRPr="00776F19">
        <w:rPr>
          <w:color w:val="000000" w:themeColor="text1"/>
        </w:rPr>
        <w:t xml:space="preserve">-centered </w:t>
      </w:r>
      <w:r w:rsidR="00D8697E">
        <w:rPr>
          <w:color w:val="000000" w:themeColor="text1"/>
        </w:rPr>
        <w:t>4</w:t>
      </w:r>
      <w:r w:rsidR="00D8697E" w:rsidRPr="00776F19">
        <w:rPr>
          <w:color w:val="000000" w:themeColor="text1"/>
        </w:rPr>
        <w:t>×</w:t>
      </w:r>
      <w:r w:rsidR="00D8697E">
        <w:rPr>
          <w:color w:val="000000" w:themeColor="text1"/>
        </w:rPr>
        <w:t>4</w:t>
      </w:r>
      <w:r w:rsidR="00D8697E" w:rsidRPr="00776F19">
        <w:rPr>
          <w:color w:val="000000" w:themeColor="text1"/>
        </w:rPr>
        <w:t>×1</w:t>
      </w:r>
      <w:r w:rsidR="00D8697E">
        <w:rPr>
          <w:color w:val="000000" w:themeColor="text1"/>
        </w:rPr>
        <w:t xml:space="preserve"> grid</w:t>
      </w:r>
      <w:r w:rsidR="00D8697E" w:rsidRPr="00776F19">
        <w:rPr>
          <w:color w:val="000000" w:themeColor="text1"/>
        </w:rPr>
        <w:t xml:space="preserve">. </w:t>
      </w:r>
      <w:r w:rsidR="00D8697E" w:rsidRPr="00043E67">
        <w:rPr>
          <w:color w:val="000000"/>
        </w:rPr>
        <w:t>D</w:t>
      </w:r>
      <w:r w:rsidR="00D8697E" w:rsidRPr="00043E67">
        <w:rPr>
          <w:color w:val="000000"/>
          <w:vertAlign w:val="subscript"/>
        </w:rPr>
        <w:t>1</w:t>
      </w:r>
      <w:r w:rsidR="00D8697E">
        <w:rPr>
          <w:i/>
          <w:iCs/>
          <w:color w:val="000000"/>
        </w:rPr>
        <w:t xml:space="preserve"> </w:t>
      </w:r>
      <w:r w:rsidR="00D8697E" w:rsidRPr="0037585E">
        <w:rPr>
          <w:color w:val="000000"/>
        </w:rPr>
        <w:t>denotes</w:t>
      </w:r>
      <w:r w:rsidR="00D8697E">
        <w:rPr>
          <w:i/>
          <w:iCs/>
          <w:color w:val="000000"/>
        </w:rPr>
        <w:t xml:space="preserve"> </w:t>
      </w:r>
      <w:r w:rsidR="00D8697E" w:rsidRPr="00776F19">
        <w:rPr>
          <w:color w:val="000000"/>
        </w:rPr>
        <w:t>perturbed valence-to-</w:t>
      </w:r>
      <w:r w:rsidR="00D8697E">
        <w:rPr>
          <w:color w:val="000000"/>
        </w:rPr>
        <w:t>defect</w:t>
      </w:r>
      <w:r w:rsidR="00D8697E" w:rsidRPr="00776F19">
        <w:rPr>
          <w:color w:val="000000"/>
        </w:rPr>
        <w:t xml:space="preserve"> band transitions</w:t>
      </w:r>
      <w:r w:rsidR="00D8697E">
        <w:rPr>
          <w:color w:val="000000"/>
        </w:rPr>
        <w:t xml:space="preserve">, </w:t>
      </w:r>
      <w:r w:rsidR="00D8697E" w:rsidRPr="00043E67">
        <w:rPr>
          <w:color w:val="000000"/>
        </w:rPr>
        <w:t>D</w:t>
      </w:r>
      <w:r w:rsidR="00D8697E" w:rsidRPr="00043E67">
        <w:rPr>
          <w:color w:val="000000"/>
          <w:vertAlign w:val="subscript"/>
        </w:rPr>
        <w:t>2</w:t>
      </w:r>
      <w:r w:rsidR="00D8697E">
        <w:rPr>
          <w:i/>
          <w:iCs/>
          <w:color w:val="000000"/>
        </w:rPr>
        <w:t xml:space="preserve"> </w:t>
      </w:r>
      <w:r w:rsidR="00D8697E" w:rsidRPr="00043E67">
        <w:rPr>
          <w:color w:val="000000"/>
        </w:rPr>
        <w:t>denotes</w:t>
      </w:r>
      <w:r w:rsidR="00D8697E">
        <w:rPr>
          <w:i/>
          <w:iCs/>
          <w:color w:val="000000"/>
        </w:rPr>
        <w:t xml:space="preserve"> </w:t>
      </w:r>
      <w:r w:rsidR="00D8697E" w:rsidRPr="00776F19">
        <w:rPr>
          <w:color w:val="000000"/>
        </w:rPr>
        <w:t>defect-to-defect band transitions</w:t>
      </w:r>
      <w:r w:rsidR="00D8697E">
        <w:rPr>
          <w:i/>
          <w:iCs/>
          <w:color w:val="000000"/>
        </w:rPr>
        <w:t xml:space="preserve"> </w:t>
      </w:r>
      <w:r w:rsidR="00D8697E" w:rsidRPr="00043E67">
        <w:rPr>
          <w:color w:val="000000"/>
        </w:rPr>
        <w:t xml:space="preserve">involving shallow defect states, and </w:t>
      </w:r>
      <w:r w:rsidR="00D8697E" w:rsidRPr="00043E67">
        <w:rPr>
          <w:color w:val="000000" w:themeColor="text1"/>
        </w:rPr>
        <w:t>Deep</w:t>
      </w:r>
      <w:r w:rsidR="00D8697E">
        <w:rPr>
          <w:i/>
          <w:iCs/>
          <w:color w:val="000000" w:themeColor="text1"/>
        </w:rPr>
        <w:t xml:space="preserve"> </w:t>
      </w:r>
      <w:r w:rsidR="00D8697E" w:rsidRPr="00043E67">
        <w:rPr>
          <w:i/>
          <w:iCs/>
          <w:color w:val="000000" w:themeColor="text1"/>
        </w:rPr>
        <w:t>D</w:t>
      </w:r>
      <w:r w:rsidR="00D8697E" w:rsidRPr="00043E67">
        <w:rPr>
          <w:i/>
          <w:iCs/>
          <w:color w:val="000000" w:themeColor="text1"/>
          <w:vertAlign w:val="subscript"/>
        </w:rPr>
        <w:t>2</w:t>
      </w:r>
      <w:r w:rsidR="00D8697E">
        <w:rPr>
          <w:color w:val="000000" w:themeColor="text1"/>
          <w:vertAlign w:val="subscript"/>
        </w:rPr>
        <w:t xml:space="preserve"> </w:t>
      </w:r>
      <w:r w:rsidR="00D8697E">
        <w:t>denotes defect-to-defect transitions involving deeper vacancy-derived states</w:t>
      </w:r>
      <w:r w:rsidR="00D8697E">
        <w:rPr>
          <w:color w:val="000000"/>
        </w:rPr>
        <w:t>.</w:t>
      </w:r>
      <w:r w:rsidR="00D8697E" w:rsidRPr="00776F19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1X</m:t>
            </m:r>
          </m:sub>
        </m:sSub>
      </m:oMath>
      <w:r w:rsidR="00D8697E">
        <w:rPr>
          <w:color w:val="000000"/>
        </w:rPr>
        <w:t xml:space="preserve">, </w:t>
      </w:r>
      <m:oMath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2X</m:t>
            </m:r>
          </m:sub>
          <m:sup>
            <m:r>
              <w:rPr>
                <w:rFonts w:ascii="Cambria Math" w:hAnsi="Cambria Math"/>
                <w:color w:val="000000"/>
              </w:rPr>
              <m:t>s</m:t>
            </m:r>
          </m:sup>
        </m:sSubSup>
      </m:oMath>
      <w:r w:rsidR="00D8697E">
        <w:rPr>
          <w:color w:val="000000"/>
        </w:rPr>
        <w:t xml:space="preserve">, </w:t>
      </w:r>
      <w:proofErr w:type="gramStart"/>
      <w:r w:rsidR="00D8697E" w:rsidRPr="00776F19">
        <w:rPr>
          <w:color w:val="000000"/>
        </w:rPr>
        <w:t>and</w:t>
      </w:r>
      <w:r w:rsidR="00D8697E">
        <w:rPr>
          <w:color w:val="000000"/>
        </w:rPr>
        <w:t>,</w:t>
      </w:r>
      <w:proofErr w:type="gramEnd"/>
      <w:r w:rsidR="00D8697E" w:rsidRPr="00776F19">
        <w:rPr>
          <w:color w:val="000000"/>
        </w:rPr>
        <w:t xml:space="preserve"> </w:t>
      </w:r>
      <m:oMath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2X</m:t>
            </m:r>
          </m:sub>
          <m:sup>
            <m:r>
              <w:rPr>
                <w:rFonts w:ascii="Cambria Math" w:hAnsi="Cambria Math"/>
                <w:color w:val="000000"/>
              </w:rPr>
              <m:t>o</m:t>
            </m:r>
          </m:sup>
        </m:sSubSup>
      </m:oMath>
      <w:r w:rsidR="00D8697E">
        <w:rPr>
          <w:color w:val="000000"/>
        </w:rPr>
        <w:t xml:space="preserve"> </w:t>
      </w:r>
      <w:r w:rsidR="00D8697E">
        <w:t xml:space="preserve">denote a single chalcogen vacancy, same-layer chalcogen divacancy, and opposite-layer chalcogen divacancy, respectively, where </w:t>
      </w:r>
      <w:r w:rsidR="00D8697E" w:rsidRPr="00077775">
        <w:rPr>
          <w:rStyle w:val="s1"/>
          <w:i/>
          <w:iCs/>
        </w:rPr>
        <w:t>X</w:t>
      </w:r>
      <w:r w:rsidR="00D8697E">
        <w:rPr>
          <w:rStyle w:val="s1"/>
        </w:rPr>
        <w:t xml:space="preserve"> = S</w:t>
      </w:r>
      <w:r w:rsidR="00D8697E">
        <w:t xml:space="preserve"> or Se.</w:t>
      </w:r>
    </w:p>
    <w:p w14:paraId="60A1E5C2" w14:textId="77777777" w:rsidR="0002142A" w:rsidRDefault="0002142A" w:rsidP="000868DA">
      <w:pPr>
        <w:pStyle w:val="p1"/>
        <w:jc w:val="both"/>
        <w:rPr>
          <w:color w:val="00000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999"/>
        <w:gridCol w:w="990"/>
        <w:gridCol w:w="1710"/>
        <w:gridCol w:w="1260"/>
        <w:gridCol w:w="1710"/>
        <w:gridCol w:w="1265"/>
      </w:tblGrid>
      <w:tr w:rsidR="0002142A" w:rsidRPr="00D8697E" w14:paraId="2112B3EC" w14:textId="77777777" w:rsidTr="00D8697E">
        <w:tc>
          <w:tcPr>
            <w:tcW w:w="1426" w:type="dxa"/>
          </w:tcPr>
          <w:p w14:paraId="7F901EFD" w14:textId="77777777" w:rsidR="0002142A" w:rsidRPr="00D8697E" w:rsidRDefault="0002142A" w:rsidP="0002142A">
            <w:pPr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Defect</w:t>
            </w:r>
          </w:p>
        </w:tc>
        <w:tc>
          <w:tcPr>
            <w:tcW w:w="999" w:type="dxa"/>
          </w:tcPr>
          <w:p w14:paraId="5701CC5D" w14:textId="77777777" w:rsidR="0002142A" w:rsidRPr="00D8697E" w:rsidRDefault="00000000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g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GW</m:t>
                    </m:r>
                  </m:sup>
                </m:sSubSup>
              </m:oMath>
            </m:oMathPara>
          </w:p>
        </w:tc>
        <w:tc>
          <w:tcPr>
            <w:tcW w:w="990" w:type="dxa"/>
          </w:tcPr>
          <w:p w14:paraId="7B0A00BF" w14:textId="77777777" w:rsidR="0002142A" w:rsidRPr="00D8697E" w:rsidRDefault="00000000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5945" w:type="dxa"/>
            <w:gridSpan w:val="4"/>
          </w:tcPr>
          <w:p w14:paraId="49CB8DFB" w14:textId="77777777" w:rsidR="0002142A" w:rsidRPr="00D8697E" w:rsidRDefault="0002142A" w:rsidP="006F329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Optical Transition Energies (eV)</w:t>
            </w:r>
          </w:p>
        </w:tc>
      </w:tr>
      <w:tr w:rsidR="0002142A" w:rsidRPr="00D8697E" w14:paraId="5E4535AF" w14:textId="77777777" w:rsidTr="00D8697E">
        <w:trPr>
          <w:trHeight w:val="342"/>
        </w:trPr>
        <w:tc>
          <w:tcPr>
            <w:tcW w:w="1426" w:type="dxa"/>
            <w:tcBorders>
              <w:bottom w:val="single" w:sz="4" w:space="0" w:color="auto"/>
            </w:tcBorders>
          </w:tcPr>
          <w:p w14:paraId="658D2120" w14:textId="77777777" w:rsidR="0002142A" w:rsidRPr="00D8697E" w:rsidRDefault="0002142A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723CB1E6" w14:textId="77777777" w:rsidR="0002142A" w:rsidRPr="00D8697E" w:rsidRDefault="0002142A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D81A643" w14:textId="77777777" w:rsidR="0002142A" w:rsidRPr="00D8697E" w:rsidRDefault="0002142A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1D42CCA" w14:textId="77777777" w:rsidR="0002142A" w:rsidRPr="00D8697E" w:rsidRDefault="0002142A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D8697E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3C6E9B2" w14:textId="77777777" w:rsidR="0002142A" w:rsidRPr="00D8697E" w:rsidRDefault="0002142A" w:rsidP="006F3296">
            <w:pPr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Deep D</w:t>
            </w:r>
            <w:r w:rsidRPr="00D8697E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10020DD" w14:textId="77777777" w:rsidR="0002142A" w:rsidRPr="00D8697E" w:rsidRDefault="0002142A" w:rsidP="006F3296">
            <w:pPr>
              <w:pStyle w:val="NormalWeb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D</w:t>
            </w:r>
            <w:r w:rsidRPr="00D8697E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65" w:type="dxa"/>
          </w:tcPr>
          <w:p w14:paraId="0CF997E7" w14:textId="77777777" w:rsidR="0002142A" w:rsidRPr="00D8697E" w:rsidRDefault="0002142A" w:rsidP="006F3296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sz w:val="20"/>
                <w:szCs w:val="20"/>
              </w:rPr>
              <w:t>A-like / A′-like / upper perturbed</w:t>
            </w:r>
          </w:p>
        </w:tc>
      </w:tr>
      <w:tr w:rsidR="0002142A" w:rsidRPr="00D8697E" w14:paraId="6E61439D" w14:textId="77777777" w:rsidTr="00D8697E">
        <w:tc>
          <w:tcPr>
            <w:tcW w:w="9360" w:type="dxa"/>
            <w:gridSpan w:val="7"/>
            <w:tcBorders>
              <w:top w:val="single" w:sz="4" w:space="0" w:color="auto"/>
            </w:tcBorders>
          </w:tcPr>
          <w:p w14:paraId="20296054" w14:textId="77777777" w:rsidR="0002142A" w:rsidRPr="00D8697E" w:rsidRDefault="0002142A" w:rsidP="006F3296">
            <w:pPr>
              <w:pStyle w:val="NormalWeb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MoS</w:t>
            </w:r>
            <w:r w:rsidRPr="00D8697E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="0002142A" w:rsidRPr="00D8697E" w14:paraId="3BFD7C06" w14:textId="77777777" w:rsidTr="00D8697E">
        <w:tc>
          <w:tcPr>
            <w:tcW w:w="1426" w:type="dxa"/>
            <w:tcBorders>
              <w:top w:val="single" w:sz="4" w:space="0" w:color="auto"/>
            </w:tcBorders>
          </w:tcPr>
          <w:p w14:paraId="246BDAB8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0"/>
                        <w:szCs w:val="20"/>
                      </w:rPr>
                      <m:t>1S</m:t>
                    </m:r>
                  </m:sub>
                </m:sSub>
              </m:oMath>
            </m:oMathPara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8B281E9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32EA2E8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F2C8143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1.64–1.86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967BF28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0C1D36E1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1.76; 1.90; 1.93–2.46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7CF04F1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2.46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2.54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2.68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 xml:space="preserve">; </w:t>
            </w:r>
            <m:oMath>
              <m:r>
                <w:rPr>
                  <w:rStyle w:val="s1"/>
                  <w:rFonts w:ascii="Cambria Math" w:hAnsi="Cambria Math"/>
                  <w:color w:val="000000" w:themeColor="text1"/>
                  <w:sz w:val="20"/>
                  <w:szCs w:val="20"/>
                </w:rPr>
                <m:t>≥</m:t>
              </m:r>
            </m:oMath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2.73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02142A" w:rsidRPr="00D8697E" w14:paraId="0D5AF570" w14:textId="77777777" w:rsidTr="00D8697E">
        <w:tc>
          <w:tcPr>
            <w:tcW w:w="1426" w:type="dxa"/>
          </w:tcPr>
          <w:p w14:paraId="068BD04B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2S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999" w:type="dxa"/>
          </w:tcPr>
          <w:p w14:paraId="3CC2861E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1.81</w:t>
            </w:r>
          </w:p>
        </w:tc>
        <w:tc>
          <w:tcPr>
            <w:tcW w:w="990" w:type="dxa"/>
          </w:tcPr>
          <w:p w14:paraId="0DA00192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1710" w:type="dxa"/>
          </w:tcPr>
          <w:p w14:paraId="4E68FB41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1.78–1.80; 1.91; 2.28</w:t>
            </w:r>
          </w:p>
        </w:tc>
        <w:tc>
          <w:tcPr>
            <w:tcW w:w="1260" w:type="dxa"/>
          </w:tcPr>
          <w:p w14:paraId="2C7BD5D0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HTMLCode"/>
                <w:rFonts w:ascii="Times New Roman" w:eastAsiaTheme="minorHAnsi" w:hAnsi="Times New Roman" w:cs="Times New Roman"/>
                <w:color w:val="000000" w:themeColor="text1"/>
              </w:rPr>
              <w:t>2.24; 2.29; 2.30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–2.31</w:t>
            </w:r>
            <w:r w:rsidRPr="00D8697E">
              <w:rPr>
                <w:rStyle w:val="HTMLCode"/>
                <w:rFonts w:ascii="Times New Roman" w:eastAsiaTheme="minorHAnsi" w:hAnsi="Times New Roman" w:cs="Times New Roman"/>
                <w:color w:val="000000" w:themeColor="text1"/>
              </w:rPr>
              <w:t>; 2.36; 2.54; 2.81; 2.88; 2.96</w:t>
            </w:r>
          </w:p>
        </w:tc>
        <w:tc>
          <w:tcPr>
            <w:tcW w:w="1710" w:type="dxa"/>
          </w:tcPr>
          <w:p w14:paraId="25C6674D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1.14–1.56; 1.84; 1.92–2.05; 2.27</w:t>
            </w:r>
          </w:p>
        </w:tc>
        <w:tc>
          <w:tcPr>
            <w:tcW w:w="1265" w:type="dxa"/>
          </w:tcPr>
          <w:p w14:paraId="4775CD8A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2.29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–2.31</w:t>
            </w:r>
            <w:r w:rsidRPr="00D8697E">
              <w:rPr>
                <w:color w:val="000000" w:themeColor="text1"/>
                <w:sz w:val="20"/>
                <w:szCs w:val="20"/>
                <w:vertAlign w:val="superscript"/>
              </w:rPr>
              <w:t>vi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 xml:space="preserve">; </w:t>
            </w:r>
            <m:oMath>
              <m:r>
                <w:rPr>
                  <w:rStyle w:val="s1"/>
                  <w:rFonts w:ascii="Cambria Math" w:hAnsi="Cambria Math"/>
                  <w:color w:val="000000" w:themeColor="text1"/>
                  <w:sz w:val="20"/>
                  <w:szCs w:val="20"/>
                </w:rPr>
                <m:t>≥</m:t>
              </m:r>
            </m:oMath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2.54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bookmarkStart w:id="4" w:name="_Hlk228366615"/>
      <w:tr w:rsidR="0002142A" w:rsidRPr="00D8697E" w14:paraId="5B706533" w14:textId="77777777" w:rsidTr="00D8697E">
        <w:tc>
          <w:tcPr>
            <w:tcW w:w="1426" w:type="dxa"/>
          </w:tcPr>
          <w:p w14:paraId="7586760B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2S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o</m:t>
                    </m:r>
                  </m:sup>
                </m:sSubSup>
              </m:oMath>
            </m:oMathPara>
          </w:p>
        </w:tc>
        <w:tc>
          <w:tcPr>
            <w:tcW w:w="999" w:type="dxa"/>
          </w:tcPr>
          <w:p w14:paraId="426B7237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2.06</w:t>
            </w:r>
          </w:p>
        </w:tc>
        <w:tc>
          <w:tcPr>
            <w:tcW w:w="990" w:type="dxa"/>
          </w:tcPr>
          <w:p w14:paraId="2F098950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1710" w:type="dxa"/>
          </w:tcPr>
          <w:p w14:paraId="1BE59A08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1.45; 1.59</w:t>
            </w:r>
          </w:p>
        </w:tc>
        <w:tc>
          <w:tcPr>
            <w:tcW w:w="1260" w:type="dxa"/>
          </w:tcPr>
          <w:p w14:paraId="5252E1D2" w14:textId="77777777" w:rsidR="0002142A" w:rsidRPr="00D8697E" w:rsidRDefault="0002142A" w:rsidP="006F3296">
            <w:pPr>
              <w:pStyle w:val="p1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2.92–3.02</w:t>
            </w:r>
          </w:p>
          <w:p w14:paraId="50AE28FA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66EA0B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EE0000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1.29; 1.57; 1.96</w:t>
            </w:r>
            <w:r w:rsidRPr="00D8697E">
              <w:rPr>
                <w:rStyle w:val="s2"/>
                <w:color w:val="000000" w:themeColor="text1"/>
                <w:sz w:val="20"/>
                <w:szCs w:val="20"/>
              </w:rPr>
              <w:t>–2.12</w:t>
            </w:r>
          </w:p>
        </w:tc>
        <w:tc>
          <w:tcPr>
            <w:tcW w:w="1265" w:type="dxa"/>
          </w:tcPr>
          <w:p w14:paraId="3B2D7F10" w14:textId="77777777" w:rsidR="0002142A" w:rsidRPr="00D8697E" w:rsidRDefault="0002142A" w:rsidP="006F3296">
            <w:pPr>
              <w:pStyle w:val="p1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1.95</w:t>
            </w:r>
            <w:r w:rsidRPr="00D8697E">
              <w:rPr>
                <w:color w:val="000000" w:themeColor="text1"/>
                <w:sz w:val="20"/>
                <w:szCs w:val="20"/>
                <w:vertAlign w:val="superscript"/>
              </w:rPr>
              <w:t>v</w:t>
            </w:r>
            <w:r w:rsidRPr="00D8697E">
              <w:rPr>
                <w:color w:val="000000" w:themeColor="text1"/>
                <w:sz w:val="20"/>
                <w:szCs w:val="20"/>
              </w:rPr>
              <w:t>; 2.13</w:t>
            </w:r>
            <w:r w:rsidRPr="00D8697E">
              <w:rPr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D8697E">
              <w:rPr>
                <w:color w:val="000000" w:themeColor="text1"/>
                <w:sz w:val="20"/>
                <w:szCs w:val="20"/>
              </w:rPr>
              <w:t xml:space="preserve">; </w:t>
            </w:r>
            <m:oMath>
              <m:r>
                <w:rPr>
                  <w:rStyle w:val="s1"/>
                  <w:rFonts w:ascii="Cambria Math" w:hAnsi="Cambria Math"/>
                  <w:color w:val="000000" w:themeColor="text1"/>
                  <w:sz w:val="20"/>
                  <w:szCs w:val="20"/>
                </w:rPr>
                <m:t>≥</m:t>
              </m:r>
            </m:oMath>
            <w:r w:rsidRPr="00D8697E">
              <w:rPr>
                <w:color w:val="000000" w:themeColor="text1"/>
                <w:sz w:val="20"/>
                <w:szCs w:val="20"/>
              </w:rPr>
              <w:t>2.21</w:t>
            </w:r>
            <w:r w:rsidRPr="00D8697E">
              <w:rPr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bookmarkEnd w:id="4"/>
      <w:tr w:rsidR="0002142A" w:rsidRPr="00D8697E" w14:paraId="1CDA5D48" w14:textId="77777777" w:rsidTr="00D8697E">
        <w:trPr>
          <w:trHeight w:val="287"/>
        </w:trPr>
        <w:tc>
          <w:tcPr>
            <w:tcW w:w="9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E72DF2" w14:textId="77777777" w:rsidR="0002142A" w:rsidRPr="00D8697E" w:rsidRDefault="0002142A" w:rsidP="006F329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MoSe</w:t>
            </w:r>
            <w:r w:rsidRPr="00D8697E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="0002142A" w:rsidRPr="00D8697E" w14:paraId="46DE0ECF" w14:textId="77777777" w:rsidTr="00D8697E">
        <w:tc>
          <w:tcPr>
            <w:tcW w:w="1426" w:type="dxa"/>
            <w:tcBorders>
              <w:top w:val="single" w:sz="4" w:space="0" w:color="auto"/>
            </w:tcBorders>
          </w:tcPr>
          <w:p w14:paraId="003947C3" w14:textId="77777777" w:rsidR="0002142A" w:rsidRPr="00D8697E" w:rsidRDefault="00000000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0"/>
                        <w:szCs w:val="20"/>
                      </w:rPr>
                      <m:t>1Se</m:t>
                    </m:r>
                  </m:sub>
                </m:sSub>
              </m:oMath>
            </m:oMathPara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3082BB96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226348BB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5E9EAA0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1.43–1.52; 1.55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1.56–1.65; 1.69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 xml:space="preserve">ii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9DADAEA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C0CEDDE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1.55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;1.69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1.72–2.25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070E3398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2.25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2.33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2.53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 xml:space="preserve">; </w:t>
            </w:r>
            <m:oMath>
              <m:r>
                <w:rPr>
                  <w:rStyle w:val="s1"/>
                  <w:rFonts w:ascii="Cambria Math" w:hAnsi="Cambria Math"/>
                  <w:color w:val="000000" w:themeColor="text1"/>
                  <w:sz w:val="20"/>
                  <w:szCs w:val="20"/>
                </w:rPr>
                <m:t>≥</m:t>
              </m:r>
            </m:oMath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2.51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02142A" w:rsidRPr="00D8697E" w14:paraId="57BEA30C" w14:textId="77777777" w:rsidTr="00D8697E">
        <w:tc>
          <w:tcPr>
            <w:tcW w:w="1426" w:type="dxa"/>
          </w:tcPr>
          <w:p w14:paraId="4FEAE4B4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999" w:type="dxa"/>
          </w:tcPr>
          <w:p w14:paraId="0154AE80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1.93</w:t>
            </w:r>
          </w:p>
        </w:tc>
        <w:tc>
          <w:tcPr>
            <w:tcW w:w="990" w:type="dxa"/>
          </w:tcPr>
          <w:p w14:paraId="28B72790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1710" w:type="dxa"/>
          </w:tcPr>
          <w:p w14:paraId="15758899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1.94; 2.04</w:t>
            </w:r>
          </w:p>
        </w:tc>
        <w:tc>
          <w:tcPr>
            <w:tcW w:w="1260" w:type="dxa"/>
          </w:tcPr>
          <w:p w14:paraId="590606EC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2.05; 2.41–2.42</w:t>
            </w:r>
          </w:p>
        </w:tc>
        <w:tc>
          <w:tcPr>
            <w:tcW w:w="1710" w:type="dxa"/>
          </w:tcPr>
          <w:p w14:paraId="574469CE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2"/>
                <w:color w:val="000000" w:themeColor="text1"/>
                <w:sz w:val="20"/>
                <w:szCs w:val="20"/>
              </w:rPr>
              <w:t xml:space="preserve">1.28–1.91; 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1.97–2.03; 2.06; 2.19; 2.23–2.24; 2.31</w:t>
            </w:r>
          </w:p>
        </w:tc>
        <w:tc>
          <w:tcPr>
            <w:tcW w:w="1265" w:type="dxa"/>
          </w:tcPr>
          <w:p w14:paraId="769BF2CD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2.05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 xml:space="preserve"> a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2.19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iii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2.26</w:t>
            </w:r>
            <w:r w:rsidRPr="00D8697E">
              <w:rPr>
                <w:rStyle w:val="s2"/>
                <w:color w:val="000000" w:themeColor="text1"/>
                <w:sz w:val="20"/>
                <w:szCs w:val="20"/>
              </w:rPr>
              <w:t>–2.66</w:t>
            </w:r>
            <w:r w:rsidRPr="00D8697E">
              <w:rPr>
                <w:rStyle w:val="s2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2.53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iv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2.67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</w:tr>
      <w:tr w:rsidR="0002142A" w:rsidRPr="00D8697E" w14:paraId="42AD1877" w14:textId="77777777" w:rsidTr="00D8697E">
        <w:tc>
          <w:tcPr>
            <w:tcW w:w="1426" w:type="dxa"/>
            <w:tcBorders>
              <w:bottom w:val="single" w:sz="4" w:space="0" w:color="auto"/>
            </w:tcBorders>
          </w:tcPr>
          <w:p w14:paraId="4781F7DF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o</m:t>
                    </m:r>
                  </m:sup>
                </m:sSubSup>
              </m:oMath>
            </m:oMathPara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600F1128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1.66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D1221FE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0.62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BAEEDC7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sz w:val="20"/>
                <w:szCs w:val="20"/>
              </w:rPr>
            </w:pPr>
            <w:r w:rsidRPr="00D8697E">
              <w:rPr>
                <w:rStyle w:val="s1"/>
                <w:sz w:val="20"/>
                <w:szCs w:val="20"/>
              </w:rPr>
              <w:t>1.04–1.44</w:t>
            </w:r>
          </w:p>
          <w:p w14:paraId="00E4E9B4" w14:textId="77777777" w:rsidR="0002142A" w:rsidRPr="00D8697E" w:rsidRDefault="0002142A" w:rsidP="006F3296">
            <w:pPr>
              <w:pStyle w:val="p1"/>
              <w:rPr>
                <w:color w:val="EE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8E63BFC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sz w:val="20"/>
                <w:szCs w:val="20"/>
              </w:rPr>
            </w:pPr>
            <w:r w:rsidRPr="00D8697E">
              <w:rPr>
                <w:rStyle w:val="s1"/>
                <w:sz w:val="20"/>
                <w:szCs w:val="20"/>
              </w:rPr>
              <w:t>2.09; 2.23–2.33; 2.63–2.78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3982915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sz w:val="20"/>
                <w:szCs w:val="20"/>
              </w:rPr>
            </w:pPr>
            <w:r w:rsidRPr="00D8697E">
              <w:rPr>
                <w:rStyle w:val="s1"/>
                <w:sz w:val="20"/>
                <w:szCs w:val="20"/>
              </w:rPr>
              <w:t>1.52–1.93</w:t>
            </w:r>
          </w:p>
          <w:p w14:paraId="5F6CFD91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rPr>
                <w:color w:val="EE0000"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734895F0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sz w:val="20"/>
                <w:szCs w:val="20"/>
              </w:rPr>
            </w:pPr>
            <w:r w:rsidRPr="00D8697E">
              <w:rPr>
                <w:rStyle w:val="s1"/>
                <w:sz w:val="20"/>
                <w:szCs w:val="20"/>
              </w:rPr>
              <w:t>1.92</w:t>
            </w:r>
            <w:r w:rsidRPr="00D8697E">
              <w:rPr>
                <w:rStyle w:val="s1"/>
                <w:sz w:val="20"/>
                <w:szCs w:val="20"/>
                <w:vertAlign w:val="superscript"/>
              </w:rPr>
              <w:t>a</w:t>
            </w:r>
            <w:r w:rsidRPr="00D8697E">
              <w:rPr>
                <w:rStyle w:val="s1"/>
                <w:sz w:val="20"/>
                <w:szCs w:val="20"/>
              </w:rPr>
              <w:t>;2.32</w:t>
            </w:r>
            <w:r w:rsidRPr="00D8697E">
              <w:rPr>
                <w:rStyle w:val="s1"/>
                <w:sz w:val="20"/>
                <w:szCs w:val="20"/>
                <w:vertAlign w:val="superscript"/>
              </w:rPr>
              <w:t>b</w:t>
            </w:r>
            <w:r w:rsidRPr="00D8697E">
              <w:rPr>
                <w:sz w:val="20"/>
                <w:szCs w:val="20"/>
              </w:rPr>
              <w:t>; 2.64</w:t>
            </w:r>
            <w:r w:rsidRPr="00D8697E">
              <w:rPr>
                <w:sz w:val="20"/>
                <w:szCs w:val="20"/>
                <w:vertAlign w:val="superscript"/>
              </w:rPr>
              <w:t>b</w:t>
            </w:r>
            <w:r w:rsidRPr="00D8697E">
              <w:rPr>
                <w:sz w:val="20"/>
                <w:szCs w:val="20"/>
              </w:rPr>
              <w:t>; 2.54–2.78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02142A" w:rsidRPr="00D8697E" w14:paraId="0FA0F149" w14:textId="77777777" w:rsidTr="00D8697E">
        <w:tc>
          <w:tcPr>
            <w:tcW w:w="93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9065E0" w14:textId="77777777" w:rsidR="0002142A" w:rsidRPr="00D8697E" w:rsidRDefault="0002142A" w:rsidP="006F3296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8697E">
              <w:rPr>
                <w:b/>
                <w:bCs/>
                <w:color w:val="000000" w:themeColor="text1"/>
                <w:sz w:val="20"/>
                <w:szCs w:val="20"/>
              </w:rPr>
              <w:t>WSe</w:t>
            </w:r>
            <w:r w:rsidRPr="00D8697E">
              <w:rPr>
                <w:b/>
                <w:bCs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="0002142A" w:rsidRPr="00D8697E" w14:paraId="225C90DC" w14:textId="77777777" w:rsidTr="00D8697E">
        <w:tc>
          <w:tcPr>
            <w:tcW w:w="1426" w:type="dxa"/>
            <w:tcBorders>
              <w:top w:val="single" w:sz="4" w:space="0" w:color="auto"/>
            </w:tcBorders>
          </w:tcPr>
          <w:p w14:paraId="2C5525C2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0000" w:themeColor="text1"/>
                        <w:sz w:val="20"/>
                        <w:szCs w:val="20"/>
                      </w:rPr>
                      <m:t>1Se</m:t>
                    </m:r>
                  </m:sub>
                </m:sSub>
              </m:oMath>
            </m:oMathPara>
          </w:p>
        </w:tc>
        <w:tc>
          <w:tcPr>
            <w:tcW w:w="999" w:type="dxa"/>
            <w:tcBorders>
              <w:top w:val="single" w:sz="4" w:space="0" w:color="auto"/>
            </w:tcBorders>
          </w:tcPr>
          <w:p w14:paraId="59964BB5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2.14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5E33C7C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9946A2B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1.63–1.96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DB9B688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2.81–2.84; 2.87–2.94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89C611E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2.04; 2.20; 2.39; 2.61; 2.69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424669FB" w14:textId="77777777" w:rsidR="0002142A" w:rsidRPr="00D8697E" w:rsidRDefault="0002142A" w:rsidP="006F3296">
            <w:pPr>
              <w:spacing w:before="100" w:beforeAutospacing="1" w:after="100" w:afterAutospacing="1"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2.04</w:t>
            </w:r>
            <w:r w:rsidRPr="00D8697E">
              <w:rPr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D8697E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2.16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 xml:space="preserve">; </w:t>
            </w:r>
            <w:r w:rsidRPr="00D8697E">
              <w:rPr>
                <w:color w:val="000000" w:themeColor="text1"/>
                <w:sz w:val="20"/>
                <w:szCs w:val="20"/>
              </w:rPr>
              <w:t>2.33–2.65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2.66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2.78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i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2.81–2.87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>; 2.88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d</w:t>
            </w:r>
            <w:r w:rsidRPr="00D8697E">
              <w:rPr>
                <w:rStyle w:val="s1"/>
                <w:color w:val="000000" w:themeColor="text1"/>
                <w:sz w:val="20"/>
                <w:szCs w:val="20"/>
              </w:rPr>
              <w:t xml:space="preserve">; </w:t>
            </w:r>
            <m:oMath>
              <m:r>
                <w:rPr>
                  <w:rStyle w:val="s1"/>
                  <w:rFonts w:ascii="Cambria Math" w:hAnsi="Cambria Math"/>
                  <w:color w:val="000000" w:themeColor="text1"/>
                  <w:sz w:val="20"/>
                  <w:szCs w:val="20"/>
                </w:rPr>
                <m:t>≥</m:t>
              </m:r>
            </m:oMath>
            <w:r w:rsidRPr="00D8697E">
              <w:rPr>
                <w:rStyle w:val="s1"/>
                <w:color w:val="000000" w:themeColor="text1"/>
                <w:sz w:val="20"/>
                <w:szCs w:val="20"/>
              </w:rPr>
              <w:t>2.90</w:t>
            </w:r>
            <w:r w:rsidRPr="00D8697E">
              <w:rPr>
                <w:rStyle w:val="s1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</w:tr>
      <w:tr w:rsidR="0002142A" w:rsidRPr="00D8697E" w14:paraId="77F23465" w14:textId="77777777" w:rsidTr="00D8697E">
        <w:tc>
          <w:tcPr>
            <w:tcW w:w="1426" w:type="dxa"/>
          </w:tcPr>
          <w:p w14:paraId="542E171F" w14:textId="77777777" w:rsidR="0002142A" w:rsidRPr="00D8697E" w:rsidRDefault="00000000" w:rsidP="006F3296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999" w:type="dxa"/>
          </w:tcPr>
          <w:p w14:paraId="0739D9E1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990" w:type="dxa"/>
          </w:tcPr>
          <w:p w14:paraId="51684981" w14:textId="77777777" w:rsidR="0002142A" w:rsidRPr="00D8697E" w:rsidRDefault="0002142A" w:rsidP="006F3296">
            <w:pPr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0.65</w:t>
            </w:r>
          </w:p>
        </w:tc>
        <w:tc>
          <w:tcPr>
            <w:tcW w:w="1710" w:type="dxa"/>
          </w:tcPr>
          <w:p w14:paraId="28D8BF9E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1.44–1.75; 1.96–1.99; 2.07; 2.11; 2.30</w:t>
            </w:r>
          </w:p>
        </w:tc>
        <w:tc>
          <w:tcPr>
            <w:tcW w:w="1260" w:type="dxa"/>
          </w:tcPr>
          <w:p w14:paraId="1E3BDD81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2.43–2.46; 2.52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iv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2.58; 2.76; 2.77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iv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2.83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iv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2.89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iv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2.94–2.96</w:t>
            </w:r>
          </w:p>
        </w:tc>
        <w:tc>
          <w:tcPr>
            <w:tcW w:w="1710" w:type="dxa"/>
          </w:tcPr>
          <w:p w14:paraId="79AD4DD0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1.88–1.95; 1.97; 2.00; 2.06; 2.08–2.10; 2.16–2.24; 2.31; 2.34; 2.49; 2.58;</w:t>
            </w:r>
          </w:p>
        </w:tc>
        <w:tc>
          <w:tcPr>
            <w:tcW w:w="1265" w:type="dxa"/>
          </w:tcPr>
          <w:p w14:paraId="088F2E5C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2.09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a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2.13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v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2.16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v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2.18; 2.24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b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2.27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a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2.42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a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2.46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a</w:t>
            </w:r>
            <w:r w:rsidRPr="00D8697E">
              <w:rPr>
                <w:rStyle w:val="HTMLCode"/>
                <w:rFonts w:ascii="Times New Roman" w:hAnsi="Times New Roman" w:cs="Times New Roman"/>
              </w:rPr>
              <w:t>; ≥2.41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02142A" w:rsidRPr="00D8697E" w14:paraId="5B6E3962" w14:textId="77777777" w:rsidTr="00D8697E">
        <w:tc>
          <w:tcPr>
            <w:tcW w:w="1426" w:type="dxa"/>
          </w:tcPr>
          <w:p w14:paraId="21D0F0A4" w14:textId="77777777" w:rsidR="0002142A" w:rsidRPr="00D8697E" w:rsidRDefault="00000000" w:rsidP="006F3296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2Se</m:t>
                    </m:r>
                  </m:sub>
                  <m:sup>
                    <m:r>
                      <w:rPr>
                        <w:rFonts w:ascii="Cambria Math" w:hAnsi="Cambria Math"/>
                        <w:color w:val="000000" w:themeColor="text1"/>
                        <w:sz w:val="20"/>
                        <w:szCs w:val="20"/>
                      </w:rPr>
                      <m:t>o</m:t>
                    </m:r>
                  </m:sup>
                </m:sSubSup>
              </m:oMath>
            </m:oMathPara>
          </w:p>
        </w:tc>
        <w:tc>
          <w:tcPr>
            <w:tcW w:w="999" w:type="dxa"/>
          </w:tcPr>
          <w:p w14:paraId="67AC9745" w14:textId="77777777" w:rsidR="0002142A" w:rsidRPr="00D8697E" w:rsidRDefault="0002142A" w:rsidP="006F3296">
            <w:pPr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990" w:type="dxa"/>
          </w:tcPr>
          <w:p w14:paraId="63342E25" w14:textId="77777777" w:rsidR="0002142A" w:rsidRPr="00D8697E" w:rsidRDefault="0002142A" w:rsidP="006F3296">
            <w:pPr>
              <w:spacing w:line="36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D8697E">
              <w:rPr>
                <w:color w:val="000000" w:themeColor="text1"/>
                <w:sz w:val="20"/>
                <w:szCs w:val="20"/>
              </w:rPr>
              <w:t>0.54</w:t>
            </w:r>
          </w:p>
        </w:tc>
        <w:tc>
          <w:tcPr>
            <w:tcW w:w="1710" w:type="dxa"/>
          </w:tcPr>
          <w:p w14:paraId="63DB39D9" w14:textId="77777777" w:rsidR="0002142A" w:rsidRPr="00D8697E" w:rsidRDefault="0002142A" w:rsidP="006F3296">
            <w:pPr>
              <w:spacing w:before="100" w:beforeAutospacing="1" w:after="100" w:afterAutospacing="1"/>
              <w:ind w:firstLine="0"/>
              <w:rPr>
                <w:sz w:val="20"/>
                <w:szCs w:val="20"/>
              </w:rPr>
            </w:pPr>
            <w:r w:rsidRPr="00D8697E">
              <w:rPr>
                <w:rStyle w:val="s1"/>
                <w:sz w:val="20"/>
                <w:szCs w:val="20"/>
              </w:rPr>
              <w:t>1.72–1.80</w:t>
            </w:r>
          </w:p>
        </w:tc>
        <w:tc>
          <w:tcPr>
            <w:tcW w:w="1260" w:type="dxa"/>
          </w:tcPr>
          <w:p w14:paraId="6C473610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2.77; 2.88–2.91; 2.96</w:t>
            </w:r>
          </w:p>
          <w:p w14:paraId="02F1E3CD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CD6D0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2.06–2.17; 2.27; 2.34; 2.40; 2.48–2.49; 2.55; 2.57; 2.59;</w:t>
            </w:r>
            <w:r w:rsidRPr="00D8697E">
              <w:rPr>
                <w:rStyle w:val="HTMLCode"/>
              </w:rPr>
              <w:t xml:space="preserve"> </w:t>
            </w:r>
            <w:r w:rsidRPr="00D8697E">
              <w:rPr>
                <w:rStyle w:val="HTMLCode"/>
                <w:rFonts w:ascii="Times New Roman" w:hAnsi="Times New Roman" w:cs="Times New Roman"/>
              </w:rPr>
              <w:t>2.69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i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2.71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iii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2.75</w:t>
            </w:r>
          </w:p>
        </w:tc>
        <w:tc>
          <w:tcPr>
            <w:tcW w:w="1265" w:type="dxa"/>
          </w:tcPr>
          <w:p w14:paraId="2B89AAE7" w14:textId="77777777" w:rsidR="0002142A" w:rsidRPr="00D8697E" w:rsidRDefault="0002142A" w:rsidP="006F3296">
            <w:pPr>
              <w:pStyle w:val="p1"/>
              <w:rPr>
                <w:sz w:val="20"/>
                <w:szCs w:val="20"/>
              </w:rPr>
            </w:pPr>
            <w:r w:rsidRPr="00D8697E">
              <w:rPr>
                <w:rStyle w:val="HTMLCode"/>
                <w:rFonts w:ascii="Times New Roman" w:hAnsi="Times New Roman" w:cs="Times New Roman"/>
              </w:rPr>
              <w:t>2.19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a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2.35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b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2.54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a</w:t>
            </w:r>
            <w:r w:rsidRPr="00D8697E">
              <w:rPr>
                <w:rStyle w:val="HTMLCode"/>
                <w:rFonts w:ascii="Times New Roman" w:hAnsi="Times New Roman" w:cs="Times New Roman"/>
              </w:rPr>
              <w:t>; 2.56–2.68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c</w:t>
            </w:r>
            <w:r w:rsidRPr="00D8697E">
              <w:rPr>
                <w:rStyle w:val="HTMLCode"/>
                <w:rFonts w:ascii="Times New Roman" w:hAnsi="Times New Roman" w:cs="Times New Roman"/>
              </w:rPr>
              <w:t>; ≥2.71</w:t>
            </w:r>
            <w:r w:rsidRPr="00D8697E">
              <w:rPr>
                <w:rStyle w:val="HTMLCode"/>
                <w:rFonts w:ascii="Times New Roman" w:hAnsi="Times New Roman" w:cs="Times New Roman"/>
                <w:vertAlign w:val="superscript"/>
              </w:rPr>
              <w:t>c</w:t>
            </w:r>
          </w:p>
        </w:tc>
      </w:tr>
    </w:tbl>
    <w:p w14:paraId="1D0CC6C3" w14:textId="5A2A1A0C" w:rsidR="000868DA" w:rsidRPr="00D836A5" w:rsidRDefault="000868DA" w:rsidP="00D8697E">
      <w:pPr>
        <w:spacing w:before="100" w:beforeAutospacing="1" w:after="100" w:afterAutospacing="1" w:line="240" w:lineRule="auto"/>
        <w:ind w:firstLine="0"/>
        <w:jc w:val="both"/>
        <w:rPr>
          <w:color w:val="000000" w:themeColor="text1"/>
        </w:rPr>
      </w:pPr>
      <w:r w:rsidRPr="00D836A5">
        <w:rPr>
          <w:color w:val="000000" w:themeColor="text1"/>
        </w:rPr>
        <w:t xml:space="preserve">Perturbed excitons are labeled as follows: </w:t>
      </w:r>
      <w:r w:rsidRPr="00DF2807">
        <w:rPr>
          <w:color w:val="000000" w:themeColor="text1"/>
          <w:vertAlign w:val="superscript"/>
        </w:rPr>
        <w:t>a</w:t>
      </w:r>
      <w:r w:rsidRPr="00D836A5">
        <w:rPr>
          <w:color w:val="000000" w:themeColor="text1"/>
          <w:vertAlign w:val="superscript"/>
        </w:rPr>
        <w:t xml:space="preserve"> </w:t>
      </w:r>
      <w:r w:rsidRPr="00D836A5">
        <w:rPr>
          <w:color w:val="000000" w:themeColor="text1"/>
        </w:rPr>
        <w:t xml:space="preserve">A-like; </w:t>
      </w:r>
      <w:r w:rsidRPr="00D836A5">
        <w:rPr>
          <w:color w:val="000000" w:themeColor="text1"/>
          <w:vertAlign w:val="superscript"/>
        </w:rPr>
        <w:t xml:space="preserve">b </w:t>
      </w:r>
      <w:r w:rsidRPr="00D836A5">
        <w:rPr>
          <w:color w:val="000000" w:themeColor="text1"/>
        </w:rPr>
        <w:t xml:space="preserve">A′-like; </w:t>
      </w:r>
      <w:r w:rsidRPr="00D836A5">
        <w:rPr>
          <w:color w:val="000000" w:themeColor="text1"/>
          <w:vertAlign w:val="superscript"/>
        </w:rPr>
        <w:t xml:space="preserve">c </w:t>
      </w:r>
      <w:r w:rsidRPr="00D836A5">
        <w:rPr>
          <w:color w:val="000000" w:themeColor="text1"/>
        </w:rPr>
        <w:t xml:space="preserve">higher-lying mixed/C-like; </w:t>
      </w:r>
      <w:r w:rsidRPr="00D836A5">
        <w:rPr>
          <w:color w:val="000000" w:themeColor="text1"/>
          <w:vertAlign w:val="superscript"/>
        </w:rPr>
        <w:t>d</w:t>
      </w:r>
      <w:r w:rsidRPr="00D836A5">
        <w:rPr>
          <w:color w:val="000000" w:themeColor="text1"/>
        </w:rPr>
        <w:t xml:space="preserve"> 3s/3p Rydberg state. Mixed excitons as follows: </w:t>
      </w:r>
      <w:proofErr w:type="spellStart"/>
      <w:r w:rsidRPr="00D836A5">
        <w:rPr>
          <w:color w:val="000000" w:themeColor="text1"/>
          <w:vertAlign w:val="superscript"/>
        </w:rPr>
        <w:t>i</w:t>
      </w:r>
      <w:proofErr w:type="spellEnd"/>
      <w:r w:rsidRPr="00D836A5">
        <w:rPr>
          <w:color w:val="000000" w:themeColor="text1"/>
          <w:vertAlign w:val="superscript"/>
        </w:rPr>
        <w:t xml:space="preserve"> </w:t>
      </w:r>
      <w:r w:rsidRPr="00D836A5">
        <w:rPr>
          <w:color w:val="000000" w:themeColor="text1"/>
        </w:rPr>
        <w:t>D</w:t>
      </w:r>
      <w:r w:rsidRPr="00D836A5">
        <w:rPr>
          <w:color w:val="000000" w:themeColor="text1"/>
          <w:vertAlign w:val="subscript"/>
        </w:rPr>
        <w:t>2</w:t>
      </w:r>
      <w:r w:rsidRPr="00D836A5">
        <w:rPr>
          <w:color w:val="000000" w:themeColor="text1"/>
        </w:rPr>
        <w:t>+A';</w:t>
      </w:r>
      <w:r w:rsidRPr="00D836A5">
        <w:rPr>
          <w:color w:val="000000" w:themeColor="text1"/>
          <w:vertAlign w:val="superscript"/>
        </w:rPr>
        <w:t xml:space="preserve"> ii</w:t>
      </w:r>
      <w:r w:rsidRPr="00D836A5">
        <w:rPr>
          <w:color w:val="000000" w:themeColor="text1"/>
        </w:rPr>
        <w:t xml:space="preserve"> D</w:t>
      </w:r>
      <w:r w:rsidRPr="00D836A5">
        <w:rPr>
          <w:color w:val="000000" w:themeColor="text1"/>
          <w:vertAlign w:val="subscript"/>
        </w:rPr>
        <w:t>1</w:t>
      </w:r>
      <w:r w:rsidRPr="00D836A5">
        <w:rPr>
          <w:color w:val="000000" w:themeColor="text1"/>
        </w:rPr>
        <w:t>+D</w:t>
      </w:r>
      <w:r w:rsidRPr="00D836A5">
        <w:rPr>
          <w:color w:val="000000" w:themeColor="text1"/>
          <w:vertAlign w:val="subscript"/>
        </w:rPr>
        <w:t>2</w:t>
      </w:r>
      <w:r w:rsidRPr="00D836A5">
        <w:rPr>
          <w:color w:val="000000" w:themeColor="text1"/>
        </w:rPr>
        <w:t xml:space="preserve">; </w:t>
      </w:r>
      <w:r w:rsidRPr="00D836A5">
        <w:rPr>
          <w:color w:val="000000" w:themeColor="text1"/>
          <w:vertAlign w:val="superscript"/>
        </w:rPr>
        <w:t>iii</w:t>
      </w:r>
      <w:r w:rsidRPr="00D836A5">
        <w:rPr>
          <w:color w:val="000000" w:themeColor="text1"/>
        </w:rPr>
        <w:t xml:space="preserve"> Deep D</w:t>
      </w:r>
      <w:r w:rsidRPr="00D836A5">
        <w:rPr>
          <w:color w:val="000000" w:themeColor="text1"/>
          <w:vertAlign w:val="subscript"/>
        </w:rPr>
        <w:t>2</w:t>
      </w:r>
      <w:r w:rsidRPr="00D836A5">
        <w:rPr>
          <w:color w:val="000000" w:themeColor="text1"/>
        </w:rPr>
        <w:t xml:space="preserve">+ higher-lying mixed/C-like; </w:t>
      </w:r>
      <w:r w:rsidRPr="00D836A5">
        <w:rPr>
          <w:color w:val="000000" w:themeColor="text1"/>
          <w:vertAlign w:val="superscript"/>
        </w:rPr>
        <w:t>iv</w:t>
      </w:r>
      <w:r w:rsidRPr="00D836A5">
        <w:rPr>
          <w:color w:val="000000" w:themeColor="text1"/>
        </w:rPr>
        <w:t xml:space="preserve"> Deep D</w:t>
      </w:r>
      <w:r w:rsidRPr="00D836A5">
        <w:rPr>
          <w:color w:val="000000" w:themeColor="text1"/>
          <w:vertAlign w:val="subscript"/>
        </w:rPr>
        <w:t>2</w:t>
      </w:r>
      <w:r w:rsidRPr="00D836A5">
        <w:rPr>
          <w:color w:val="000000" w:themeColor="text1"/>
        </w:rPr>
        <w:t>+A-like</w:t>
      </w:r>
      <w:r w:rsidR="00D8697E">
        <w:rPr>
          <w:color w:val="000000" w:themeColor="text1"/>
        </w:rPr>
        <w:t xml:space="preserve">; </w:t>
      </w:r>
      <w:r w:rsidRPr="00D836A5">
        <w:rPr>
          <w:color w:val="000000" w:themeColor="text1"/>
          <w:vertAlign w:val="superscript"/>
        </w:rPr>
        <w:t>v</w:t>
      </w:r>
      <w:r w:rsidRPr="00D836A5">
        <w:rPr>
          <w:color w:val="000000" w:themeColor="text1"/>
        </w:rPr>
        <w:t xml:space="preserve"> D</w:t>
      </w:r>
      <w:r w:rsidRPr="00D836A5">
        <w:rPr>
          <w:color w:val="000000" w:themeColor="text1"/>
          <w:vertAlign w:val="subscript"/>
        </w:rPr>
        <w:t>1</w:t>
      </w:r>
      <w:r w:rsidRPr="00D836A5">
        <w:rPr>
          <w:color w:val="000000" w:themeColor="text1"/>
        </w:rPr>
        <w:t>+A</w:t>
      </w:r>
      <w:r w:rsidR="00D8697E">
        <w:rPr>
          <w:color w:val="000000" w:themeColor="text1"/>
        </w:rPr>
        <w:t>-like.</w:t>
      </w:r>
    </w:p>
    <w:p w14:paraId="07332CD2" w14:textId="77777777" w:rsidR="00043E67" w:rsidRDefault="00043E67" w:rsidP="009B38DF">
      <w:pPr>
        <w:spacing w:line="360" w:lineRule="auto"/>
        <w:ind w:firstLine="0"/>
        <w:jc w:val="both"/>
        <w:rPr>
          <w:rFonts w:cs="Times New Roman"/>
          <w:b/>
          <w:bCs/>
          <w:color w:val="000000" w:themeColor="text1"/>
        </w:rPr>
      </w:pPr>
    </w:p>
    <w:p w14:paraId="7ACFF679" w14:textId="514B206C" w:rsidR="00043E67" w:rsidRPr="00043E67" w:rsidRDefault="009B38DF" w:rsidP="009B38DF">
      <w:pPr>
        <w:spacing w:line="360" w:lineRule="auto"/>
        <w:ind w:firstLine="0"/>
        <w:jc w:val="both"/>
        <w:rPr>
          <w:rFonts w:cs="Times New Roman"/>
          <w:b/>
          <w:bCs/>
          <w:color w:val="000000" w:themeColor="text1"/>
        </w:rPr>
      </w:pPr>
      <w:r w:rsidRPr="00BF7DB5">
        <w:rPr>
          <w:rFonts w:cs="Times New Roman"/>
          <w:b/>
          <w:bCs/>
          <w:color w:val="000000" w:themeColor="text1"/>
        </w:rPr>
        <w:t>References</w:t>
      </w:r>
    </w:p>
    <w:p w14:paraId="3DFD60A4" w14:textId="77777777" w:rsidR="00B0766C" w:rsidRPr="00B0766C" w:rsidRDefault="000F1D1C" w:rsidP="00B0766C">
      <w:pPr>
        <w:pStyle w:val="EndNoteBibliography"/>
        <w:framePr w:wrap="around"/>
        <w:spacing w:after="0"/>
        <w:ind w:firstLine="0"/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ADDIN EN.REFLIST </w:instrText>
      </w:r>
      <w:r>
        <w:rPr>
          <w:color w:val="000000" w:themeColor="text1"/>
        </w:rPr>
        <w:fldChar w:fldCharType="separate"/>
      </w:r>
      <w:r w:rsidR="00B0766C" w:rsidRPr="00B0766C">
        <w:t>[1] S. Ahmad, S. Mukherjee, A comparative study of electronic properties of bulk MoS2 and its monolayer using DFT technique: application of mechanical strain on MoS2 monolayer, Graphene, 3 (2014) 52–59.</w:t>
      </w:r>
    </w:p>
    <w:p w14:paraId="5CDE4250" w14:textId="77777777" w:rsidR="00B0766C" w:rsidRPr="00B0766C" w:rsidRDefault="00B0766C" w:rsidP="00B0766C">
      <w:pPr>
        <w:pStyle w:val="EndNoteBibliography"/>
        <w:framePr w:wrap="around"/>
        <w:spacing w:after="0"/>
        <w:ind w:firstLine="0"/>
      </w:pPr>
      <w:r w:rsidRPr="00B0766C">
        <w:t>[2] Y. Feng, H. Bai, M. An, Y. Wu, X. Wang, Density functional theory study of the electronic and optical properties of SnSe2/MoSe2 heterostructures under strain and electric field: implications for optoelectronic devices, ACS Applied Nano Materials, 6 (2023) 15795–15806.</w:t>
      </w:r>
    </w:p>
    <w:p w14:paraId="6289FB66" w14:textId="77777777" w:rsidR="00B0766C" w:rsidRPr="00B0766C" w:rsidRDefault="00B0766C" w:rsidP="00B0766C">
      <w:pPr>
        <w:pStyle w:val="EndNoteBibliography"/>
        <w:framePr w:wrap="around"/>
        <w:ind w:firstLine="0"/>
      </w:pPr>
      <w:r w:rsidRPr="00B0766C">
        <w:t>[3] Y. Wang, X. Zhang, On the role of crystal defects on the lattice thermal conductivity of monolayer WSe2 (P63/mmc) thermoelectric materials by DFT calculation, Superlattices and Microstructures, 160 (2021) 107057.</w:t>
      </w:r>
    </w:p>
    <w:p w14:paraId="09759D66" w14:textId="66B5ABBA" w:rsidR="00560667" w:rsidRDefault="000F1D1C" w:rsidP="00560667">
      <w:pPr>
        <w:spacing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fldChar w:fldCharType="end"/>
      </w:r>
    </w:p>
    <w:sectPr w:rsidR="0056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plied Surface 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0aze99790w9be2006vrwr3xszr0sw2s5zz&quot;&gt;My EndNote Library&lt;record-ids&gt;&lt;item&gt;10&lt;/item&gt;&lt;item&gt;11&lt;/item&gt;&lt;item&gt;12&lt;/item&gt;&lt;/record-ids&gt;&lt;/item&gt;&lt;/Libraries&gt;"/>
  </w:docVars>
  <w:rsids>
    <w:rsidRoot w:val="00E8325F"/>
    <w:rsid w:val="00000336"/>
    <w:rsid w:val="0000377F"/>
    <w:rsid w:val="0000609E"/>
    <w:rsid w:val="00012459"/>
    <w:rsid w:val="000145A4"/>
    <w:rsid w:val="00016368"/>
    <w:rsid w:val="00017E72"/>
    <w:rsid w:val="0002142A"/>
    <w:rsid w:val="0002321B"/>
    <w:rsid w:val="00034ACE"/>
    <w:rsid w:val="00035C5F"/>
    <w:rsid w:val="00041EB7"/>
    <w:rsid w:val="00041F19"/>
    <w:rsid w:val="00043E67"/>
    <w:rsid w:val="00045DAB"/>
    <w:rsid w:val="00050232"/>
    <w:rsid w:val="000517D9"/>
    <w:rsid w:val="000538C7"/>
    <w:rsid w:val="00055D84"/>
    <w:rsid w:val="00057C18"/>
    <w:rsid w:val="00061ED7"/>
    <w:rsid w:val="00072138"/>
    <w:rsid w:val="00075F84"/>
    <w:rsid w:val="00077775"/>
    <w:rsid w:val="00083C30"/>
    <w:rsid w:val="00083F6E"/>
    <w:rsid w:val="000856BD"/>
    <w:rsid w:val="000868DA"/>
    <w:rsid w:val="00090A2A"/>
    <w:rsid w:val="00096059"/>
    <w:rsid w:val="000972D8"/>
    <w:rsid w:val="0009761F"/>
    <w:rsid w:val="000A1CC9"/>
    <w:rsid w:val="000A3349"/>
    <w:rsid w:val="000A3595"/>
    <w:rsid w:val="000A3E10"/>
    <w:rsid w:val="000B25F5"/>
    <w:rsid w:val="000B2D12"/>
    <w:rsid w:val="000B63E8"/>
    <w:rsid w:val="000B7BD3"/>
    <w:rsid w:val="000C173B"/>
    <w:rsid w:val="000C1D5B"/>
    <w:rsid w:val="000C35DE"/>
    <w:rsid w:val="000D3582"/>
    <w:rsid w:val="000D3BE2"/>
    <w:rsid w:val="000E1809"/>
    <w:rsid w:val="000E2231"/>
    <w:rsid w:val="000E49F2"/>
    <w:rsid w:val="000F1D1C"/>
    <w:rsid w:val="000F2E9B"/>
    <w:rsid w:val="001133AE"/>
    <w:rsid w:val="001154A5"/>
    <w:rsid w:val="0011616A"/>
    <w:rsid w:val="0012531A"/>
    <w:rsid w:val="00127ADD"/>
    <w:rsid w:val="0013691E"/>
    <w:rsid w:val="00141F3D"/>
    <w:rsid w:val="00143972"/>
    <w:rsid w:val="001568FE"/>
    <w:rsid w:val="00163585"/>
    <w:rsid w:val="00165274"/>
    <w:rsid w:val="00167680"/>
    <w:rsid w:val="00172706"/>
    <w:rsid w:val="00175897"/>
    <w:rsid w:val="0018308A"/>
    <w:rsid w:val="001911FC"/>
    <w:rsid w:val="00191A52"/>
    <w:rsid w:val="001A5E0A"/>
    <w:rsid w:val="001B1920"/>
    <w:rsid w:val="001B1BAB"/>
    <w:rsid w:val="001B31FD"/>
    <w:rsid w:val="001B4F86"/>
    <w:rsid w:val="001C3D99"/>
    <w:rsid w:val="001C4856"/>
    <w:rsid w:val="001D0404"/>
    <w:rsid w:val="001D0E0E"/>
    <w:rsid w:val="001D3D64"/>
    <w:rsid w:val="001D54EA"/>
    <w:rsid w:val="001D71A0"/>
    <w:rsid w:val="001E289A"/>
    <w:rsid w:val="001E3C28"/>
    <w:rsid w:val="001F061E"/>
    <w:rsid w:val="001F764D"/>
    <w:rsid w:val="001F7EF0"/>
    <w:rsid w:val="002011F7"/>
    <w:rsid w:val="002149D4"/>
    <w:rsid w:val="00215E52"/>
    <w:rsid w:val="00217531"/>
    <w:rsid w:val="00222A54"/>
    <w:rsid w:val="00224B68"/>
    <w:rsid w:val="002267CA"/>
    <w:rsid w:val="00227BE6"/>
    <w:rsid w:val="002306D0"/>
    <w:rsid w:val="00233E44"/>
    <w:rsid w:val="002358BC"/>
    <w:rsid w:val="00236150"/>
    <w:rsid w:val="00242F66"/>
    <w:rsid w:val="00246B99"/>
    <w:rsid w:val="00246D4A"/>
    <w:rsid w:val="00253AFE"/>
    <w:rsid w:val="002549FD"/>
    <w:rsid w:val="00260B44"/>
    <w:rsid w:val="00266178"/>
    <w:rsid w:val="00271D2A"/>
    <w:rsid w:val="002749A8"/>
    <w:rsid w:val="00280AE8"/>
    <w:rsid w:val="00282A2E"/>
    <w:rsid w:val="00291564"/>
    <w:rsid w:val="00295064"/>
    <w:rsid w:val="00295228"/>
    <w:rsid w:val="00295BAC"/>
    <w:rsid w:val="002A29C1"/>
    <w:rsid w:val="002A76D0"/>
    <w:rsid w:val="002B240C"/>
    <w:rsid w:val="002C1441"/>
    <w:rsid w:val="002D7B58"/>
    <w:rsid w:val="002E2C89"/>
    <w:rsid w:val="002E550B"/>
    <w:rsid w:val="002E7FBE"/>
    <w:rsid w:val="002F0444"/>
    <w:rsid w:val="002F08AE"/>
    <w:rsid w:val="002F0C86"/>
    <w:rsid w:val="002F68D4"/>
    <w:rsid w:val="002F72D0"/>
    <w:rsid w:val="003001A1"/>
    <w:rsid w:val="00300BBC"/>
    <w:rsid w:val="003014EB"/>
    <w:rsid w:val="00302324"/>
    <w:rsid w:val="003071B4"/>
    <w:rsid w:val="003147E7"/>
    <w:rsid w:val="00315237"/>
    <w:rsid w:val="00315486"/>
    <w:rsid w:val="003156E8"/>
    <w:rsid w:val="003227C5"/>
    <w:rsid w:val="003270CC"/>
    <w:rsid w:val="00327E4F"/>
    <w:rsid w:val="00330DCF"/>
    <w:rsid w:val="00335739"/>
    <w:rsid w:val="00336819"/>
    <w:rsid w:val="0034658B"/>
    <w:rsid w:val="003607B7"/>
    <w:rsid w:val="0036230B"/>
    <w:rsid w:val="0036794E"/>
    <w:rsid w:val="0037585E"/>
    <w:rsid w:val="00376382"/>
    <w:rsid w:val="00385784"/>
    <w:rsid w:val="0038604D"/>
    <w:rsid w:val="0038721C"/>
    <w:rsid w:val="00390C41"/>
    <w:rsid w:val="00391858"/>
    <w:rsid w:val="00392583"/>
    <w:rsid w:val="003A2C47"/>
    <w:rsid w:val="003A67F6"/>
    <w:rsid w:val="003A75DF"/>
    <w:rsid w:val="003B01A4"/>
    <w:rsid w:val="003C42E3"/>
    <w:rsid w:val="003C606A"/>
    <w:rsid w:val="003C6D8F"/>
    <w:rsid w:val="003D01C2"/>
    <w:rsid w:val="003D04B6"/>
    <w:rsid w:val="003D1199"/>
    <w:rsid w:val="003D25E3"/>
    <w:rsid w:val="003D48F6"/>
    <w:rsid w:val="003E12BB"/>
    <w:rsid w:val="003F05E5"/>
    <w:rsid w:val="003F6021"/>
    <w:rsid w:val="003F6816"/>
    <w:rsid w:val="00403B09"/>
    <w:rsid w:val="004043F5"/>
    <w:rsid w:val="0041118D"/>
    <w:rsid w:val="00412D7A"/>
    <w:rsid w:val="00415C51"/>
    <w:rsid w:val="00416198"/>
    <w:rsid w:val="0042013C"/>
    <w:rsid w:val="00420878"/>
    <w:rsid w:val="00422739"/>
    <w:rsid w:val="00424A4C"/>
    <w:rsid w:val="00435CAD"/>
    <w:rsid w:val="0044405C"/>
    <w:rsid w:val="00453BC1"/>
    <w:rsid w:val="00453C5B"/>
    <w:rsid w:val="00460C96"/>
    <w:rsid w:val="00463B29"/>
    <w:rsid w:val="00464F47"/>
    <w:rsid w:val="00465482"/>
    <w:rsid w:val="00465D23"/>
    <w:rsid w:val="0047581E"/>
    <w:rsid w:val="004764F4"/>
    <w:rsid w:val="004769D6"/>
    <w:rsid w:val="004850AC"/>
    <w:rsid w:val="00486D18"/>
    <w:rsid w:val="00487A90"/>
    <w:rsid w:val="0049207E"/>
    <w:rsid w:val="00495A86"/>
    <w:rsid w:val="00496750"/>
    <w:rsid w:val="004A249A"/>
    <w:rsid w:val="004A6389"/>
    <w:rsid w:val="004B1213"/>
    <w:rsid w:val="004B2618"/>
    <w:rsid w:val="004B3865"/>
    <w:rsid w:val="004B4EB3"/>
    <w:rsid w:val="004B522A"/>
    <w:rsid w:val="004B7FBC"/>
    <w:rsid w:val="004C65F9"/>
    <w:rsid w:val="004D704C"/>
    <w:rsid w:val="004E24E4"/>
    <w:rsid w:val="004E389D"/>
    <w:rsid w:val="004E6A81"/>
    <w:rsid w:val="004F14DA"/>
    <w:rsid w:val="00501E86"/>
    <w:rsid w:val="00504052"/>
    <w:rsid w:val="005102EB"/>
    <w:rsid w:val="00512EAF"/>
    <w:rsid w:val="00513216"/>
    <w:rsid w:val="0051704D"/>
    <w:rsid w:val="00521751"/>
    <w:rsid w:val="005233DD"/>
    <w:rsid w:val="00523F88"/>
    <w:rsid w:val="00527E56"/>
    <w:rsid w:val="00531151"/>
    <w:rsid w:val="00533850"/>
    <w:rsid w:val="00554E4A"/>
    <w:rsid w:val="00560667"/>
    <w:rsid w:val="00561545"/>
    <w:rsid w:val="00561A63"/>
    <w:rsid w:val="00562B89"/>
    <w:rsid w:val="00565775"/>
    <w:rsid w:val="00567A34"/>
    <w:rsid w:val="0057797C"/>
    <w:rsid w:val="00584A27"/>
    <w:rsid w:val="005911E9"/>
    <w:rsid w:val="00591DC5"/>
    <w:rsid w:val="00593E78"/>
    <w:rsid w:val="005A10C2"/>
    <w:rsid w:val="005A122D"/>
    <w:rsid w:val="005A31B1"/>
    <w:rsid w:val="005A506B"/>
    <w:rsid w:val="005B0CBD"/>
    <w:rsid w:val="005C0323"/>
    <w:rsid w:val="005C1F5B"/>
    <w:rsid w:val="005C35B3"/>
    <w:rsid w:val="005C3644"/>
    <w:rsid w:val="005C7712"/>
    <w:rsid w:val="005D1CE3"/>
    <w:rsid w:val="005E420F"/>
    <w:rsid w:val="005F022E"/>
    <w:rsid w:val="005F0497"/>
    <w:rsid w:val="005F06A3"/>
    <w:rsid w:val="005F17E0"/>
    <w:rsid w:val="005F430B"/>
    <w:rsid w:val="006036E7"/>
    <w:rsid w:val="00605231"/>
    <w:rsid w:val="00605326"/>
    <w:rsid w:val="00606669"/>
    <w:rsid w:val="006121DA"/>
    <w:rsid w:val="00613E68"/>
    <w:rsid w:val="00614DA1"/>
    <w:rsid w:val="00621458"/>
    <w:rsid w:val="00622120"/>
    <w:rsid w:val="00623287"/>
    <w:rsid w:val="00623852"/>
    <w:rsid w:val="00630752"/>
    <w:rsid w:val="00632A09"/>
    <w:rsid w:val="00636ED2"/>
    <w:rsid w:val="00654800"/>
    <w:rsid w:val="00656330"/>
    <w:rsid w:val="00656E5E"/>
    <w:rsid w:val="006572D1"/>
    <w:rsid w:val="006574F6"/>
    <w:rsid w:val="006613FD"/>
    <w:rsid w:val="006717FB"/>
    <w:rsid w:val="00680D3D"/>
    <w:rsid w:val="00682645"/>
    <w:rsid w:val="00682837"/>
    <w:rsid w:val="00694A52"/>
    <w:rsid w:val="006B13FD"/>
    <w:rsid w:val="006B361D"/>
    <w:rsid w:val="006B3FC1"/>
    <w:rsid w:val="006B4AA2"/>
    <w:rsid w:val="006C1989"/>
    <w:rsid w:val="006C3B79"/>
    <w:rsid w:val="006C3D6B"/>
    <w:rsid w:val="006C72AB"/>
    <w:rsid w:val="006D654A"/>
    <w:rsid w:val="006E14BE"/>
    <w:rsid w:val="006E2E7A"/>
    <w:rsid w:val="006E6B00"/>
    <w:rsid w:val="006F4F9A"/>
    <w:rsid w:val="0070262D"/>
    <w:rsid w:val="007054BB"/>
    <w:rsid w:val="0071271A"/>
    <w:rsid w:val="00720B60"/>
    <w:rsid w:val="00730F90"/>
    <w:rsid w:val="00735226"/>
    <w:rsid w:val="00740B81"/>
    <w:rsid w:val="007425BC"/>
    <w:rsid w:val="007437CA"/>
    <w:rsid w:val="00743E87"/>
    <w:rsid w:val="007449FC"/>
    <w:rsid w:val="007503C1"/>
    <w:rsid w:val="007508AC"/>
    <w:rsid w:val="0076087F"/>
    <w:rsid w:val="0076303C"/>
    <w:rsid w:val="0077037E"/>
    <w:rsid w:val="00770BDA"/>
    <w:rsid w:val="007749FD"/>
    <w:rsid w:val="007773E5"/>
    <w:rsid w:val="00781EA8"/>
    <w:rsid w:val="00781F64"/>
    <w:rsid w:val="00784F34"/>
    <w:rsid w:val="00786503"/>
    <w:rsid w:val="007959EF"/>
    <w:rsid w:val="007A03FA"/>
    <w:rsid w:val="007A1287"/>
    <w:rsid w:val="007A249D"/>
    <w:rsid w:val="007A2D44"/>
    <w:rsid w:val="007A3117"/>
    <w:rsid w:val="007B107C"/>
    <w:rsid w:val="007B2DFF"/>
    <w:rsid w:val="007B7081"/>
    <w:rsid w:val="007C0511"/>
    <w:rsid w:val="007C6BE3"/>
    <w:rsid w:val="007D08A4"/>
    <w:rsid w:val="007D5795"/>
    <w:rsid w:val="007D6FAA"/>
    <w:rsid w:val="007E0BBE"/>
    <w:rsid w:val="007F0027"/>
    <w:rsid w:val="007F69E2"/>
    <w:rsid w:val="00803C5B"/>
    <w:rsid w:val="00804058"/>
    <w:rsid w:val="008043A7"/>
    <w:rsid w:val="00804C37"/>
    <w:rsid w:val="00805974"/>
    <w:rsid w:val="00806F4D"/>
    <w:rsid w:val="0081172E"/>
    <w:rsid w:val="008225C4"/>
    <w:rsid w:val="00823497"/>
    <w:rsid w:val="0082583D"/>
    <w:rsid w:val="00826D83"/>
    <w:rsid w:val="0083475E"/>
    <w:rsid w:val="00835786"/>
    <w:rsid w:val="00835881"/>
    <w:rsid w:val="00853FC3"/>
    <w:rsid w:val="008670E8"/>
    <w:rsid w:val="00876AE4"/>
    <w:rsid w:val="0088240F"/>
    <w:rsid w:val="0088253D"/>
    <w:rsid w:val="008839F7"/>
    <w:rsid w:val="00884A43"/>
    <w:rsid w:val="0089371A"/>
    <w:rsid w:val="00893B40"/>
    <w:rsid w:val="00896ED2"/>
    <w:rsid w:val="008A6D25"/>
    <w:rsid w:val="008A78FD"/>
    <w:rsid w:val="008B06FE"/>
    <w:rsid w:val="008C19D8"/>
    <w:rsid w:val="008C5E14"/>
    <w:rsid w:val="008D0E75"/>
    <w:rsid w:val="008D1C34"/>
    <w:rsid w:val="008D2CFA"/>
    <w:rsid w:val="008D7BB6"/>
    <w:rsid w:val="008E260A"/>
    <w:rsid w:val="008E4BFF"/>
    <w:rsid w:val="008E71F7"/>
    <w:rsid w:val="008F45B4"/>
    <w:rsid w:val="008F46DC"/>
    <w:rsid w:val="00900732"/>
    <w:rsid w:val="009012C5"/>
    <w:rsid w:val="00904C7A"/>
    <w:rsid w:val="00912C78"/>
    <w:rsid w:val="00914594"/>
    <w:rsid w:val="00914B4B"/>
    <w:rsid w:val="00917145"/>
    <w:rsid w:val="0092654A"/>
    <w:rsid w:val="0093175A"/>
    <w:rsid w:val="00932062"/>
    <w:rsid w:val="009326DE"/>
    <w:rsid w:val="009341BB"/>
    <w:rsid w:val="009369FF"/>
    <w:rsid w:val="009374D9"/>
    <w:rsid w:val="0094477E"/>
    <w:rsid w:val="00945BB1"/>
    <w:rsid w:val="0094681D"/>
    <w:rsid w:val="00947E48"/>
    <w:rsid w:val="00950370"/>
    <w:rsid w:val="009512CB"/>
    <w:rsid w:val="009565EF"/>
    <w:rsid w:val="00961C98"/>
    <w:rsid w:val="0096262D"/>
    <w:rsid w:val="00965309"/>
    <w:rsid w:val="00971AE8"/>
    <w:rsid w:val="00975539"/>
    <w:rsid w:val="00977BFE"/>
    <w:rsid w:val="0099134B"/>
    <w:rsid w:val="0099166D"/>
    <w:rsid w:val="00992735"/>
    <w:rsid w:val="00992B99"/>
    <w:rsid w:val="00992FA7"/>
    <w:rsid w:val="009A322D"/>
    <w:rsid w:val="009A5895"/>
    <w:rsid w:val="009B38DF"/>
    <w:rsid w:val="009B6493"/>
    <w:rsid w:val="009B726E"/>
    <w:rsid w:val="009B74D8"/>
    <w:rsid w:val="009B7DB4"/>
    <w:rsid w:val="009C3D1E"/>
    <w:rsid w:val="009C6673"/>
    <w:rsid w:val="009D02CF"/>
    <w:rsid w:val="009D1C9F"/>
    <w:rsid w:val="009D262C"/>
    <w:rsid w:val="009D4BF2"/>
    <w:rsid w:val="009D4DFE"/>
    <w:rsid w:val="009D6DBF"/>
    <w:rsid w:val="009E17E8"/>
    <w:rsid w:val="009E34AD"/>
    <w:rsid w:val="009E3F86"/>
    <w:rsid w:val="009E4B59"/>
    <w:rsid w:val="009F00C0"/>
    <w:rsid w:val="009F348B"/>
    <w:rsid w:val="00A00991"/>
    <w:rsid w:val="00A06060"/>
    <w:rsid w:val="00A102B6"/>
    <w:rsid w:val="00A1606E"/>
    <w:rsid w:val="00A16D0D"/>
    <w:rsid w:val="00A24596"/>
    <w:rsid w:val="00A24F55"/>
    <w:rsid w:val="00A25BC2"/>
    <w:rsid w:val="00A2775C"/>
    <w:rsid w:val="00A31259"/>
    <w:rsid w:val="00A35590"/>
    <w:rsid w:val="00A40CEE"/>
    <w:rsid w:val="00A47C8A"/>
    <w:rsid w:val="00A525AF"/>
    <w:rsid w:val="00A53520"/>
    <w:rsid w:val="00A554D2"/>
    <w:rsid w:val="00A564DB"/>
    <w:rsid w:val="00A600C0"/>
    <w:rsid w:val="00A62C6B"/>
    <w:rsid w:val="00A65ADD"/>
    <w:rsid w:val="00A66E2B"/>
    <w:rsid w:val="00A70DE3"/>
    <w:rsid w:val="00A7197F"/>
    <w:rsid w:val="00A724A6"/>
    <w:rsid w:val="00A86C52"/>
    <w:rsid w:val="00A92194"/>
    <w:rsid w:val="00A940F7"/>
    <w:rsid w:val="00A95016"/>
    <w:rsid w:val="00AA070E"/>
    <w:rsid w:val="00AB2A44"/>
    <w:rsid w:val="00AB45A3"/>
    <w:rsid w:val="00AC33D9"/>
    <w:rsid w:val="00AC7392"/>
    <w:rsid w:val="00AE3AA4"/>
    <w:rsid w:val="00AE4F30"/>
    <w:rsid w:val="00AF6F32"/>
    <w:rsid w:val="00AF7348"/>
    <w:rsid w:val="00B038CE"/>
    <w:rsid w:val="00B043FD"/>
    <w:rsid w:val="00B0632C"/>
    <w:rsid w:val="00B064C0"/>
    <w:rsid w:val="00B0707D"/>
    <w:rsid w:val="00B0766C"/>
    <w:rsid w:val="00B112CF"/>
    <w:rsid w:val="00B13C33"/>
    <w:rsid w:val="00B14AD2"/>
    <w:rsid w:val="00B15EFE"/>
    <w:rsid w:val="00B2400F"/>
    <w:rsid w:val="00B2588A"/>
    <w:rsid w:val="00B37F09"/>
    <w:rsid w:val="00B407D7"/>
    <w:rsid w:val="00B446BA"/>
    <w:rsid w:val="00B47464"/>
    <w:rsid w:val="00B52664"/>
    <w:rsid w:val="00B549EE"/>
    <w:rsid w:val="00B553DD"/>
    <w:rsid w:val="00B55B09"/>
    <w:rsid w:val="00B55F3E"/>
    <w:rsid w:val="00B5618C"/>
    <w:rsid w:val="00B57A28"/>
    <w:rsid w:val="00B6048D"/>
    <w:rsid w:val="00B60A87"/>
    <w:rsid w:val="00B61B88"/>
    <w:rsid w:val="00B642AA"/>
    <w:rsid w:val="00B66737"/>
    <w:rsid w:val="00B74B4D"/>
    <w:rsid w:val="00B764AD"/>
    <w:rsid w:val="00B776CE"/>
    <w:rsid w:val="00B84BF4"/>
    <w:rsid w:val="00B86AD1"/>
    <w:rsid w:val="00BA16F4"/>
    <w:rsid w:val="00BB1B79"/>
    <w:rsid w:val="00BC524C"/>
    <w:rsid w:val="00BE0142"/>
    <w:rsid w:val="00BE3B3C"/>
    <w:rsid w:val="00BE48AB"/>
    <w:rsid w:val="00BF0183"/>
    <w:rsid w:val="00BF362C"/>
    <w:rsid w:val="00BF4B3B"/>
    <w:rsid w:val="00C0410B"/>
    <w:rsid w:val="00C05DEA"/>
    <w:rsid w:val="00C114F2"/>
    <w:rsid w:val="00C1318E"/>
    <w:rsid w:val="00C14D4E"/>
    <w:rsid w:val="00C17481"/>
    <w:rsid w:val="00C17E85"/>
    <w:rsid w:val="00C20A92"/>
    <w:rsid w:val="00C241FC"/>
    <w:rsid w:val="00C24736"/>
    <w:rsid w:val="00C25BDC"/>
    <w:rsid w:val="00C27E99"/>
    <w:rsid w:val="00C30029"/>
    <w:rsid w:val="00C348FF"/>
    <w:rsid w:val="00C375C9"/>
    <w:rsid w:val="00C43819"/>
    <w:rsid w:val="00C44BDC"/>
    <w:rsid w:val="00C45825"/>
    <w:rsid w:val="00C468BE"/>
    <w:rsid w:val="00C50DDF"/>
    <w:rsid w:val="00C56536"/>
    <w:rsid w:val="00C56FD5"/>
    <w:rsid w:val="00C63CCB"/>
    <w:rsid w:val="00C67C78"/>
    <w:rsid w:val="00C70003"/>
    <w:rsid w:val="00C728C1"/>
    <w:rsid w:val="00C75025"/>
    <w:rsid w:val="00C8044F"/>
    <w:rsid w:val="00C856FF"/>
    <w:rsid w:val="00C87D97"/>
    <w:rsid w:val="00C91308"/>
    <w:rsid w:val="00C91C6F"/>
    <w:rsid w:val="00C924AD"/>
    <w:rsid w:val="00C9262B"/>
    <w:rsid w:val="00CA0B84"/>
    <w:rsid w:val="00CA1062"/>
    <w:rsid w:val="00CA1366"/>
    <w:rsid w:val="00CA18FA"/>
    <w:rsid w:val="00CA5E4F"/>
    <w:rsid w:val="00CB209F"/>
    <w:rsid w:val="00CB247C"/>
    <w:rsid w:val="00CB2CD6"/>
    <w:rsid w:val="00CC22C2"/>
    <w:rsid w:val="00CC2D4A"/>
    <w:rsid w:val="00CC2FE9"/>
    <w:rsid w:val="00CC3B2D"/>
    <w:rsid w:val="00CC43A5"/>
    <w:rsid w:val="00CC6E38"/>
    <w:rsid w:val="00CC75DD"/>
    <w:rsid w:val="00CE4C2C"/>
    <w:rsid w:val="00CF0663"/>
    <w:rsid w:val="00CF083C"/>
    <w:rsid w:val="00CF0D1E"/>
    <w:rsid w:val="00CF6501"/>
    <w:rsid w:val="00CF717D"/>
    <w:rsid w:val="00D0037D"/>
    <w:rsid w:val="00D01D2E"/>
    <w:rsid w:val="00D049A7"/>
    <w:rsid w:val="00D05458"/>
    <w:rsid w:val="00D14A04"/>
    <w:rsid w:val="00D17078"/>
    <w:rsid w:val="00D17EA6"/>
    <w:rsid w:val="00D26AE3"/>
    <w:rsid w:val="00D3084B"/>
    <w:rsid w:val="00D36314"/>
    <w:rsid w:val="00D36A7F"/>
    <w:rsid w:val="00D40F7E"/>
    <w:rsid w:val="00D42DBF"/>
    <w:rsid w:val="00D42E25"/>
    <w:rsid w:val="00D4389C"/>
    <w:rsid w:val="00D44508"/>
    <w:rsid w:val="00D4779A"/>
    <w:rsid w:val="00D47D3B"/>
    <w:rsid w:val="00D51BA5"/>
    <w:rsid w:val="00D5236D"/>
    <w:rsid w:val="00D52B3A"/>
    <w:rsid w:val="00D52C34"/>
    <w:rsid w:val="00D56B7C"/>
    <w:rsid w:val="00D57417"/>
    <w:rsid w:val="00D57579"/>
    <w:rsid w:val="00D617A0"/>
    <w:rsid w:val="00D668DC"/>
    <w:rsid w:val="00D7252B"/>
    <w:rsid w:val="00D73120"/>
    <w:rsid w:val="00D779D6"/>
    <w:rsid w:val="00D835C2"/>
    <w:rsid w:val="00D852FC"/>
    <w:rsid w:val="00D86880"/>
    <w:rsid w:val="00D8697E"/>
    <w:rsid w:val="00D944B2"/>
    <w:rsid w:val="00D9786B"/>
    <w:rsid w:val="00D978C1"/>
    <w:rsid w:val="00DA3245"/>
    <w:rsid w:val="00DA373D"/>
    <w:rsid w:val="00DB7BE5"/>
    <w:rsid w:val="00DC2FD9"/>
    <w:rsid w:val="00DC3C79"/>
    <w:rsid w:val="00DC4C8E"/>
    <w:rsid w:val="00DC5F9E"/>
    <w:rsid w:val="00DD1744"/>
    <w:rsid w:val="00DD5F30"/>
    <w:rsid w:val="00DD7F8E"/>
    <w:rsid w:val="00DE6498"/>
    <w:rsid w:val="00DE68A6"/>
    <w:rsid w:val="00E01ACD"/>
    <w:rsid w:val="00E0518C"/>
    <w:rsid w:val="00E05267"/>
    <w:rsid w:val="00E06E22"/>
    <w:rsid w:val="00E1109D"/>
    <w:rsid w:val="00E12996"/>
    <w:rsid w:val="00E200E2"/>
    <w:rsid w:val="00E20AA2"/>
    <w:rsid w:val="00E24A12"/>
    <w:rsid w:val="00E26263"/>
    <w:rsid w:val="00E444D1"/>
    <w:rsid w:val="00E44FEA"/>
    <w:rsid w:val="00E45F92"/>
    <w:rsid w:val="00E4710D"/>
    <w:rsid w:val="00E55AC2"/>
    <w:rsid w:val="00E56ACC"/>
    <w:rsid w:val="00E56E54"/>
    <w:rsid w:val="00E61684"/>
    <w:rsid w:val="00E72294"/>
    <w:rsid w:val="00E81155"/>
    <w:rsid w:val="00E8325F"/>
    <w:rsid w:val="00E852CA"/>
    <w:rsid w:val="00E922B4"/>
    <w:rsid w:val="00EA2370"/>
    <w:rsid w:val="00EA2C3F"/>
    <w:rsid w:val="00EB006E"/>
    <w:rsid w:val="00EB03DE"/>
    <w:rsid w:val="00EB1254"/>
    <w:rsid w:val="00EB4535"/>
    <w:rsid w:val="00EB512C"/>
    <w:rsid w:val="00EB518E"/>
    <w:rsid w:val="00EB5A7D"/>
    <w:rsid w:val="00EC1C8B"/>
    <w:rsid w:val="00EC3D1D"/>
    <w:rsid w:val="00EC53AF"/>
    <w:rsid w:val="00ED07B3"/>
    <w:rsid w:val="00ED0C51"/>
    <w:rsid w:val="00ED0EB3"/>
    <w:rsid w:val="00ED13C8"/>
    <w:rsid w:val="00ED5848"/>
    <w:rsid w:val="00EE008D"/>
    <w:rsid w:val="00EE2217"/>
    <w:rsid w:val="00EE36CD"/>
    <w:rsid w:val="00EF191B"/>
    <w:rsid w:val="00EF6958"/>
    <w:rsid w:val="00EF6EB7"/>
    <w:rsid w:val="00EF7E40"/>
    <w:rsid w:val="00F003FE"/>
    <w:rsid w:val="00F0335D"/>
    <w:rsid w:val="00F0582D"/>
    <w:rsid w:val="00F1482D"/>
    <w:rsid w:val="00F14AC7"/>
    <w:rsid w:val="00F234D6"/>
    <w:rsid w:val="00F267FB"/>
    <w:rsid w:val="00F3093B"/>
    <w:rsid w:val="00F31A9E"/>
    <w:rsid w:val="00F3320A"/>
    <w:rsid w:val="00F333D4"/>
    <w:rsid w:val="00F40060"/>
    <w:rsid w:val="00F46C68"/>
    <w:rsid w:val="00F51A0B"/>
    <w:rsid w:val="00F55710"/>
    <w:rsid w:val="00F55AAD"/>
    <w:rsid w:val="00F567AB"/>
    <w:rsid w:val="00F64D22"/>
    <w:rsid w:val="00F66686"/>
    <w:rsid w:val="00F7520A"/>
    <w:rsid w:val="00F803B7"/>
    <w:rsid w:val="00F82887"/>
    <w:rsid w:val="00F83C15"/>
    <w:rsid w:val="00F84416"/>
    <w:rsid w:val="00F8522D"/>
    <w:rsid w:val="00F871FD"/>
    <w:rsid w:val="00F94181"/>
    <w:rsid w:val="00FA1BE4"/>
    <w:rsid w:val="00FA3DF3"/>
    <w:rsid w:val="00FA65B1"/>
    <w:rsid w:val="00FB07BB"/>
    <w:rsid w:val="00FB0DF8"/>
    <w:rsid w:val="00FC3F52"/>
    <w:rsid w:val="00FC5A34"/>
    <w:rsid w:val="00FE0E4D"/>
    <w:rsid w:val="00FE2D3D"/>
    <w:rsid w:val="00FE4E0E"/>
    <w:rsid w:val="00FE75BC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FD2F"/>
  <w15:chartTrackingRefBased/>
  <w15:docId w15:val="{2024F018-FB48-4449-B064-A32937EB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C1"/>
    <w:pPr>
      <w:spacing w:line="480" w:lineRule="auto"/>
      <w:ind w:firstLine="720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25F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5F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5F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5F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5F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5F"/>
    <w:pPr>
      <w:keepNext/>
      <w:keepLines/>
      <w:spacing w:before="40" w:after="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5F"/>
    <w:pPr>
      <w:keepNext/>
      <w:keepLines/>
      <w:spacing w:before="40" w:after="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5F"/>
    <w:pPr>
      <w:keepNext/>
      <w:keepLines/>
      <w:spacing w:after="0"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5F"/>
    <w:pPr>
      <w:keepNext/>
      <w:keepLines/>
      <w:spacing w:after="0"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5F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5F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5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83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24B68"/>
    <w:rPr>
      <w:rFonts w:ascii="Times New Roman" w:hAnsi="Times New Roman"/>
      <w:kern w:val="0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0F1D1C"/>
    <w:pPr>
      <w:framePr w:hSpace="180" w:wrap="around" w:vAnchor="text" w:hAnchor="margin" w:xAlign="center" w:y="177"/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F1D1C"/>
    <w:rPr>
      <w:rFonts w:ascii="Times New Roman" w:hAnsi="Times New Roman" w:cs="Times New Roman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F1D1C"/>
    <w:pPr>
      <w:framePr w:hSpace="180" w:wrap="around" w:vAnchor="text" w:hAnchor="margin" w:xAlign="center" w:y="177"/>
      <w:spacing w:line="240" w:lineRule="auto"/>
      <w:jc w:val="both"/>
    </w:pPr>
    <w:rPr>
      <w:rFonts w:cs="Times New Roman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0F1D1C"/>
    <w:rPr>
      <w:rFonts w:ascii="Times New Roman" w:hAnsi="Times New Roman" w:cs="Times New Roman"/>
      <w:noProof/>
      <w:kern w:val="0"/>
      <w14:ligatures w14:val="none"/>
    </w:rPr>
  </w:style>
  <w:style w:type="paragraph" w:customStyle="1" w:styleId="p1">
    <w:name w:val="p1"/>
    <w:basedOn w:val="Normal"/>
    <w:link w:val="p1Char"/>
    <w:rsid w:val="0099134B"/>
    <w:pPr>
      <w:spacing w:before="100" w:beforeAutospacing="1" w:after="100" w:afterAutospacing="1" w:line="240" w:lineRule="auto"/>
      <w:ind w:firstLine="0"/>
    </w:pPr>
    <w:rPr>
      <w:rFonts w:eastAsia="Times New Roman" w:cs="Times New Roman"/>
    </w:rPr>
  </w:style>
  <w:style w:type="character" w:customStyle="1" w:styleId="p1Char">
    <w:name w:val="p1 Char"/>
    <w:basedOn w:val="DefaultParagraphFont"/>
    <w:link w:val="p1"/>
    <w:rsid w:val="0099134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C0511"/>
  </w:style>
  <w:style w:type="character" w:customStyle="1" w:styleId="apple-converted-space">
    <w:name w:val="apple-converted-space"/>
    <w:basedOn w:val="DefaultParagraphFont"/>
    <w:rsid w:val="0013691E"/>
  </w:style>
  <w:style w:type="paragraph" w:styleId="NormalWeb">
    <w:name w:val="Normal (Web)"/>
    <w:basedOn w:val="Normal"/>
    <w:link w:val="NormalWebChar"/>
    <w:uiPriority w:val="99"/>
    <w:unhideWhenUsed/>
    <w:rsid w:val="00554E4A"/>
    <w:pPr>
      <w:spacing w:before="100" w:beforeAutospacing="1" w:after="100" w:afterAutospacing="1" w:line="240" w:lineRule="auto"/>
      <w:ind w:firstLine="0"/>
    </w:pPr>
    <w:rPr>
      <w:rFonts w:eastAsia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554E4A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043E67"/>
    <w:pPr>
      <w:spacing w:after="200" w:line="240" w:lineRule="auto"/>
      <w:ind w:firstLine="0"/>
    </w:pPr>
    <w:rPr>
      <w:rFonts w:eastAsia="Times New Roman" w:cs="Times New Roman"/>
      <w:i/>
      <w:iCs/>
      <w:color w:val="0E2841" w:themeColor="text2"/>
      <w:sz w:val="18"/>
      <w:szCs w:val="18"/>
    </w:rPr>
  </w:style>
  <w:style w:type="character" w:styleId="HTMLCode">
    <w:name w:val="HTML Code"/>
    <w:basedOn w:val="DefaultParagraphFont"/>
    <w:uiPriority w:val="99"/>
    <w:semiHidden/>
    <w:unhideWhenUsed/>
    <w:rsid w:val="00043E67"/>
    <w:rPr>
      <w:rFonts w:ascii="Courier New" w:eastAsia="Times New Roman" w:hAnsi="Courier New" w:cs="Courier New"/>
      <w:sz w:val="20"/>
      <w:szCs w:val="20"/>
    </w:rPr>
  </w:style>
  <w:style w:type="table" w:styleId="TableGridLight">
    <w:name w:val="Grid Table Light"/>
    <w:basedOn w:val="TableNormal"/>
    <w:uiPriority w:val="40"/>
    <w:rsid w:val="004967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2">
    <w:name w:val="s2"/>
    <w:basedOn w:val="DefaultParagraphFont"/>
    <w:rsid w:val="0008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387A4-5B04-4313-BA3F-EB1BD211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Shishir Timilsena</dc:creator>
  <cp:keywords/>
  <dc:description/>
  <cp:lastModifiedBy>Nicholas Dimakis</cp:lastModifiedBy>
  <cp:revision>2</cp:revision>
  <dcterms:created xsi:type="dcterms:W3CDTF">2026-06-22T16:15:00Z</dcterms:created>
  <dcterms:modified xsi:type="dcterms:W3CDTF">2026-06-22T16:15:00Z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066384bbf906c0207ccddb79f9e931054836ff933ad1f2f2bfc182dd91098a2c</vt:lpwstr>
  </property>
</Properties>
</file>