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6EAA9" w14:textId="15672374" w:rsidR="00003896" w:rsidRPr="00003896" w:rsidRDefault="00003896" w:rsidP="00003896">
      <w:pPr>
        <w:pStyle w:val="Caption"/>
        <w:keepNext/>
        <w:spacing w:after="0"/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</w:pPr>
      <w:r w:rsidRPr="00AD48DA">
        <w:rPr>
          <w:rFonts w:ascii="Calibri" w:hAnsi="Calibri" w:cs="Calibri"/>
          <w:b/>
          <w:bCs/>
          <w:color w:val="auto"/>
          <w:sz w:val="24"/>
          <w:szCs w:val="24"/>
        </w:rPr>
        <w:t xml:space="preserve">Supplementary Table </w:t>
      </w:r>
      <w:r w:rsidR="00AD48DA">
        <w:rPr>
          <w:rFonts w:ascii="Calibri" w:hAnsi="Calibri" w:cs="Calibri"/>
          <w:b/>
          <w:bCs/>
          <w:color w:val="auto"/>
          <w:sz w:val="24"/>
          <w:szCs w:val="24"/>
        </w:rPr>
        <w:t>5</w:t>
      </w:r>
      <w:r w:rsidR="00D04DDA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.</w:t>
      </w:r>
      <w:r w:rsidRPr="00003896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Predictors </w:t>
      </w:r>
      <w:r w:rsidR="00D04DDA" w:rsidRPr="00003896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Of Inpatient Readmission: Logistic Regression Analysis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5395"/>
        <w:gridCol w:w="2610"/>
        <w:gridCol w:w="1260"/>
        <w:gridCol w:w="2520"/>
        <w:gridCol w:w="1350"/>
      </w:tblGrid>
      <w:tr w:rsidR="00003896" w:rsidRPr="00003896" w14:paraId="0189AEDB" w14:textId="50B7A0F1" w:rsidTr="006058D4">
        <w:trPr>
          <w:trHeight w:val="281"/>
        </w:trPr>
        <w:tc>
          <w:tcPr>
            <w:tcW w:w="5395" w:type="dxa"/>
          </w:tcPr>
          <w:p w14:paraId="2447F199" w14:textId="670FEB06" w:rsidR="00003896" w:rsidRPr="00003896" w:rsidRDefault="00003896" w:rsidP="006F3A3B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870" w:type="dxa"/>
            <w:gridSpan w:val="2"/>
          </w:tcPr>
          <w:p w14:paraId="2E54AD50" w14:textId="35041EB5" w:rsidR="00003896" w:rsidRPr="00003896" w:rsidRDefault="00003896" w:rsidP="006F3A3B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Unadjusted</w:t>
            </w:r>
          </w:p>
        </w:tc>
        <w:tc>
          <w:tcPr>
            <w:tcW w:w="3870" w:type="dxa"/>
            <w:gridSpan w:val="2"/>
          </w:tcPr>
          <w:p w14:paraId="2FA630CB" w14:textId="3B64D599" w:rsidR="00003896" w:rsidRPr="00003896" w:rsidRDefault="00003896" w:rsidP="006F3A3B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Adjusted</w:t>
            </w:r>
          </w:p>
        </w:tc>
      </w:tr>
      <w:tr w:rsidR="006258D4" w:rsidRPr="00003896" w14:paraId="04D0503D" w14:textId="15AA9D29" w:rsidTr="006258D4">
        <w:trPr>
          <w:trHeight w:val="281"/>
        </w:trPr>
        <w:tc>
          <w:tcPr>
            <w:tcW w:w="5395" w:type="dxa"/>
          </w:tcPr>
          <w:p w14:paraId="1A05C467" w14:textId="77777777" w:rsidR="006258D4" w:rsidRPr="00003896" w:rsidRDefault="006258D4" w:rsidP="006258D4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610" w:type="dxa"/>
          </w:tcPr>
          <w:p w14:paraId="6A4C69C6" w14:textId="77777777" w:rsidR="006258D4" w:rsidRPr="00003896" w:rsidRDefault="006258D4" w:rsidP="006258D4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Odds ratio (95% CI)</w:t>
            </w:r>
          </w:p>
        </w:tc>
        <w:tc>
          <w:tcPr>
            <w:tcW w:w="1260" w:type="dxa"/>
          </w:tcPr>
          <w:p w14:paraId="1082CBC7" w14:textId="77777777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P value</w:t>
            </w:r>
          </w:p>
        </w:tc>
        <w:tc>
          <w:tcPr>
            <w:tcW w:w="2520" w:type="dxa"/>
          </w:tcPr>
          <w:p w14:paraId="03A9B847" w14:textId="25A4929E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Odds ratio (95% CI)</w:t>
            </w:r>
          </w:p>
        </w:tc>
        <w:tc>
          <w:tcPr>
            <w:tcW w:w="1350" w:type="dxa"/>
          </w:tcPr>
          <w:p w14:paraId="4D5BF753" w14:textId="35997DC2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P value</w:t>
            </w:r>
          </w:p>
        </w:tc>
      </w:tr>
      <w:tr w:rsidR="006258D4" w:rsidRPr="00003896" w14:paraId="08AF6AC2" w14:textId="1CAFA5DE" w:rsidTr="006258D4">
        <w:trPr>
          <w:trHeight w:val="281"/>
        </w:trPr>
        <w:tc>
          <w:tcPr>
            <w:tcW w:w="5395" w:type="dxa"/>
          </w:tcPr>
          <w:p w14:paraId="4CB327F0" w14:textId="77777777" w:rsidR="006258D4" w:rsidRPr="00003896" w:rsidRDefault="006258D4" w:rsidP="006258D4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Comorbidities</w:t>
            </w:r>
          </w:p>
        </w:tc>
        <w:tc>
          <w:tcPr>
            <w:tcW w:w="2610" w:type="dxa"/>
          </w:tcPr>
          <w:p w14:paraId="10101102" w14:textId="03ED5B90" w:rsidR="006258D4" w:rsidRPr="00003896" w:rsidRDefault="006258D4" w:rsidP="006258D4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1.875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(1.093-3.218)</w:t>
            </w:r>
          </w:p>
        </w:tc>
        <w:tc>
          <w:tcPr>
            <w:tcW w:w="1260" w:type="dxa"/>
          </w:tcPr>
          <w:p w14:paraId="53694601" w14:textId="77777777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0.023</w:t>
            </w:r>
          </w:p>
        </w:tc>
        <w:tc>
          <w:tcPr>
            <w:tcW w:w="2520" w:type="dxa"/>
          </w:tcPr>
          <w:p w14:paraId="31D9D262" w14:textId="3ED52F1D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1.584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(0.896-2.798)</w:t>
            </w:r>
          </w:p>
        </w:tc>
        <w:tc>
          <w:tcPr>
            <w:tcW w:w="1350" w:type="dxa"/>
          </w:tcPr>
          <w:p w14:paraId="197B0560" w14:textId="76F66210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0.113</w:t>
            </w:r>
          </w:p>
        </w:tc>
      </w:tr>
      <w:tr w:rsidR="006258D4" w:rsidRPr="00003896" w14:paraId="23A47E22" w14:textId="77777777" w:rsidTr="006258D4">
        <w:trPr>
          <w:trHeight w:val="281"/>
        </w:trPr>
        <w:tc>
          <w:tcPr>
            <w:tcW w:w="5395" w:type="dxa"/>
          </w:tcPr>
          <w:p w14:paraId="50B41A49" w14:textId="51245B90" w:rsidR="006258D4" w:rsidRPr="00003896" w:rsidRDefault="006258D4" w:rsidP="006258D4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Cyst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Perforation</w:t>
            </w:r>
          </w:p>
        </w:tc>
        <w:tc>
          <w:tcPr>
            <w:tcW w:w="2610" w:type="dxa"/>
          </w:tcPr>
          <w:p w14:paraId="28614B0C" w14:textId="591F7784" w:rsidR="006258D4" w:rsidRPr="00003896" w:rsidRDefault="006258D4" w:rsidP="006258D4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5.243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(1.438-19.120)</w:t>
            </w:r>
          </w:p>
        </w:tc>
        <w:tc>
          <w:tcPr>
            <w:tcW w:w="1260" w:type="dxa"/>
          </w:tcPr>
          <w:p w14:paraId="3788CDBF" w14:textId="4624525B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0.012</w:t>
            </w:r>
          </w:p>
        </w:tc>
        <w:tc>
          <w:tcPr>
            <w:tcW w:w="2520" w:type="dxa"/>
          </w:tcPr>
          <w:p w14:paraId="1649EFAE" w14:textId="5FBAF6A5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4.892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(1.281-18.687)</w:t>
            </w:r>
          </w:p>
        </w:tc>
        <w:tc>
          <w:tcPr>
            <w:tcW w:w="1350" w:type="dxa"/>
          </w:tcPr>
          <w:p w14:paraId="2D7CB124" w14:textId="75A05C11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0.020</w:t>
            </w:r>
          </w:p>
        </w:tc>
      </w:tr>
      <w:tr w:rsidR="006258D4" w:rsidRPr="00003896" w14:paraId="36085BAC" w14:textId="77777777" w:rsidTr="006258D4">
        <w:trPr>
          <w:trHeight w:val="281"/>
        </w:trPr>
        <w:tc>
          <w:tcPr>
            <w:tcW w:w="5395" w:type="dxa"/>
          </w:tcPr>
          <w:p w14:paraId="662BA97E" w14:textId="6FF0D6B7" w:rsidR="006258D4" w:rsidRPr="00003896" w:rsidRDefault="006258D4" w:rsidP="006258D4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Cholangitis</w:t>
            </w:r>
          </w:p>
        </w:tc>
        <w:tc>
          <w:tcPr>
            <w:tcW w:w="2610" w:type="dxa"/>
          </w:tcPr>
          <w:p w14:paraId="34122F99" w14:textId="59A1F80B" w:rsidR="006258D4" w:rsidRPr="00003896" w:rsidRDefault="006258D4" w:rsidP="006258D4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1.923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(0.912-4.056)</w:t>
            </w:r>
          </w:p>
        </w:tc>
        <w:tc>
          <w:tcPr>
            <w:tcW w:w="1260" w:type="dxa"/>
          </w:tcPr>
          <w:p w14:paraId="38B8DED8" w14:textId="527909FA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0.086</w:t>
            </w:r>
          </w:p>
        </w:tc>
        <w:tc>
          <w:tcPr>
            <w:tcW w:w="2520" w:type="dxa"/>
          </w:tcPr>
          <w:p w14:paraId="2749CB47" w14:textId="78C69CAB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1.573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(0.704-3.514)</w:t>
            </w:r>
          </w:p>
        </w:tc>
        <w:tc>
          <w:tcPr>
            <w:tcW w:w="1350" w:type="dxa"/>
          </w:tcPr>
          <w:p w14:paraId="55082F38" w14:textId="48815FFD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0.270</w:t>
            </w:r>
          </w:p>
        </w:tc>
      </w:tr>
      <w:tr w:rsidR="006258D4" w:rsidRPr="00003896" w14:paraId="75DB5A4D" w14:textId="77777777" w:rsidTr="006258D4">
        <w:trPr>
          <w:trHeight w:val="281"/>
        </w:trPr>
        <w:tc>
          <w:tcPr>
            <w:tcW w:w="5395" w:type="dxa"/>
          </w:tcPr>
          <w:p w14:paraId="28A98BAA" w14:textId="204B2E51" w:rsidR="006258D4" w:rsidRPr="00003896" w:rsidRDefault="006258D4" w:rsidP="006258D4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Liver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Fibrosis/Cirrhosis at Index Admission</w:t>
            </w:r>
          </w:p>
        </w:tc>
        <w:tc>
          <w:tcPr>
            <w:tcW w:w="2610" w:type="dxa"/>
          </w:tcPr>
          <w:p w14:paraId="0B5FBFDE" w14:textId="75753CEE" w:rsidR="006258D4" w:rsidRPr="00003896" w:rsidRDefault="006258D4" w:rsidP="006258D4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3.700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(1.353-10.117)</w:t>
            </w:r>
          </w:p>
        </w:tc>
        <w:tc>
          <w:tcPr>
            <w:tcW w:w="1260" w:type="dxa"/>
          </w:tcPr>
          <w:p w14:paraId="73506995" w14:textId="6F6066D7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0.011</w:t>
            </w:r>
          </w:p>
        </w:tc>
        <w:tc>
          <w:tcPr>
            <w:tcW w:w="2520" w:type="dxa"/>
          </w:tcPr>
          <w:p w14:paraId="6EEF7356" w14:textId="6C5E5C0A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3.200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(1.102-9.292)</w:t>
            </w:r>
          </w:p>
        </w:tc>
        <w:tc>
          <w:tcPr>
            <w:tcW w:w="1350" w:type="dxa"/>
          </w:tcPr>
          <w:p w14:paraId="73288DF8" w14:textId="683E9D2B" w:rsidR="006258D4" w:rsidRPr="00003896" w:rsidRDefault="006258D4" w:rsidP="006258D4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0.032</w:t>
            </w:r>
          </w:p>
        </w:tc>
      </w:tr>
      <w:tr w:rsidR="00003896" w:rsidRPr="00003896" w14:paraId="48C1FE8B" w14:textId="77777777" w:rsidTr="006258D4">
        <w:trPr>
          <w:trHeight w:val="281"/>
        </w:trPr>
        <w:tc>
          <w:tcPr>
            <w:tcW w:w="5395" w:type="dxa"/>
          </w:tcPr>
          <w:p w14:paraId="3602D29D" w14:textId="593987AE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Age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At Surgery</w:t>
            </w:r>
          </w:p>
        </w:tc>
        <w:tc>
          <w:tcPr>
            <w:tcW w:w="2610" w:type="dxa"/>
          </w:tcPr>
          <w:p w14:paraId="2556924D" w14:textId="2C0FF50E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0.983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(0.969-0.997)</w:t>
            </w:r>
          </w:p>
        </w:tc>
        <w:tc>
          <w:tcPr>
            <w:tcW w:w="1260" w:type="dxa"/>
          </w:tcPr>
          <w:p w14:paraId="05374F78" w14:textId="495826B1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0.016</w:t>
            </w:r>
          </w:p>
        </w:tc>
        <w:tc>
          <w:tcPr>
            <w:tcW w:w="2520" w:type="dxa"/>
          </w:tcPr>
          <w:p w14:paraId="35F06A9D" w14:textId="6F5F9F3F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0.985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(0.971-1.000)</w:t>
            </w:r>
          </w:p>
        </w:tc>
        <w:tc>
          <w:tcPr>
            <w:tcW w:w="1350" w:type="dxa"/>
          </w:tcPr>
          <w:p w14:paraId="6336CF77" w14:textId="5337A005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0.049</w:t>
            </w:r>
          </w:p>
        </w:tc>
      </w:tr>
      <w:tr w:rsidR="00003896" w:rsidRPr="00003896" w14:paraId="6CD4D467" w14:textId="77777777" w:rsidTr="006258D4">
        <w:trPr>
          <w:trHeight w:val="281"/>
        </w:trPr>
        <w:tc>
          <w:tcPr>
            <w:tcW w:w="5395" w:type="dxa"/>
          </w:tcPr>
          <w:p w14:paraId="4C97F6B2" w14:textId="4AF59C3D" w:rsidR="00003896" w:rsidRPr="00003896" w:rsidRDefault="00D04DDA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Ls (Ref. O</w:t>
            </w:r>
            <w:r>
              <w:rPr>
                <w:rFonts w:ascii="Calibri" w:eastAsia="Aptos" w:hAnsi="Calibri" w:cs="Calibri"/>
                <w:sz w:val="22"/>
                <w:szCs w:val="22"/>
              </w:rPr>
              <w:t>S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)</w:t>
            </w:r>
          </w:p>
        </w:tc>
        <w:tc>
          <w:tcPr>
            <w:tcW w:w="2610" w:type="dxa"/>
          </w:tcPr>
          <w:p w14:paraId="7CDFF5A9" w14:textId="2D788744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0.565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(0.326-0.977)</w:t>
            </w:r>
          </w:p>
        </w:tc>
        <w:tc>
          <w:tcPr>
            <w:tcW w:w="1260" w:type="dxa"/>
          </w:tcPr>
          <w:p w14:paraId="36E03CEC" w14:textId="348E1C1C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0.041</w:t>
            </w:r>
          </w:p>
        </w:tc>
        <w:tc>
          <w:tcPr>
            <w:tcW w:w="2520" w:type="dxa"/>
          </w:tcPr>
          <w:p w14:paraId="538DEC32" w14:textId="6F5386A2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0.766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(0.428-1.371)</w:t>
            </w:r>
          </w:p>
        </w:tc>
        <w:tc>
          <w:tcPr>
            <w:tcW w:w="1350" w:type="dxa"/>
          </w:tcPr>
          <w:p w14:paraId="06AB186D" w14:textId="085DF2C0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0.369</w:t>
            </w:r>
          </w:p>
        </w:tc>
      </w:tr>
      <w:tr w:rsidR="00003896" w:rsidRPr="00003896" w14:paraId="32EB3936" w14:textId="77777777" w:rsidTr="006258D4">
        <w:trPr>
          <w:trHeight w:val="281"/>
        </w:trPr>
        <w:tc>
          <w:tcPr>
            <w:tcW w:w="5395" w:type="dxa"/>
          </w:tcPr>
          <w:p w14:paraId="2A21DDCD" w14:textId="349FDECA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Surgical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Complication Flag at Index Admission</w:t>
            </w:r>
          </w:p>
        </w:tc>
        <w:tc>
          <w:tcPr>
            <w:tcW w:w="2610" w:type="dxa"/>
          </w:tcPr>
          <w:p w14:paraId="7046CC8C" w14:textId="3CAE7386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3.026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(1.568-5.840)</w:t>
            </w:r>
          </w:p>
        </w:tc>
        <w:tc>
          <w:tcPr>
            <w:tcW w:w="1260" w:type="dxa"/>
          </w:tcPr>
          <w:p w14:paraId="67221736" w14:textId="2D68FE5D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&lt;0.001</w:t>
            </w:r>
          </w:p>
        </w:tc>
        <w:tc>
          <w:tcPr>
            <w:tcW w:w="2520" w:type="dxa"/>
          </w:tcPr>
          <w:p w14:paraId="21E1524E" w14:textId="52D866C9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2.446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(1.219-4.907)</w:t>
            </w:r>
          </w:p>
        </w:tc>
        <w:tc>
          <w:tcPr>
            <w:tcW w:w="1350" w:type="dxa"/>
          </w:tcPr>
          <w:p w14:paraId="5C1F2C16" w14:textId="15BA77B4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0.012</w:t>
            </w:r>
          </w:p>
        </w:tc>
      </w:tr>
      <w:tr w:rsidR="00003896" w:rsidRPr="00003896" w14:paraId="5CE39F6F" w14:textId="77777777" w:rsidTr="006258D4">
        <w:trPr>
          <w:trHeight w:val="281"/>
        </w:trPr>
        <w:tc>
          <w:tcPr>
            <w:tcW w:w="5395" w:type="dxa"/>
          </w:tcPr>
          <w:p w14:paraId="79D1F75D" w14:textId="2BA89DDD" w:rsidR="00003896" w:rsidRPr="00003896" w:rsidRDefault="00D04DDA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Urgent/Emergent Admission (Ref. Elective)</w:t>
            </w:r>
          </w:p>
        </w:tc>
        <w:tc>
          <w:tcPr>
            <w:tcW w:w="2610" w:type="dxa"/>
          </w:tcPr>
          <w:p w14:paraId="070BA2D3" w14:textId="1D29B9E1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0.767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(0.416-1.417</w:t>
            </w:r>
          </w:p>
        </w:tc>
        <w:tc>
          <w:tcPr>
            <w:tcW w:w="1260" w:type="dxa"/>
          </w:tcPr>
          <w:p w14:paraId="64722BD4" w14:textId="2B7BBFBE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0.397</w:t>
            </w:r>
          </w:p>
        </w:tc>
        <w:tc>
          <w:tcPr>
            <w:tcW w:w="2520" w:type="dxa"/>
          </w:tcPr>
          <w:p w14:paraId="0B08402E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692E838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5C7D802D" w14:textId="1F89F18B" w:rsidTr="006258D4">
        <w:trPr>
          <w:trHeight w:val="296"/>
        </w:trPr>
        <w:tc>
          <w:tcPr>
            <w:tcW w:w="5395" w:type="dxa"/>
          </w:tcPr>
          <w:p w14:paraId="4C9F5883" w14:textId="4E99D04D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Symptomatic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 xml:space="preserve">Of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BD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Obstruction</w:t>
            </w:r>
          </w:p>
        </w:tc>
        <w:tc>
          <w:tcPr>
            <w:tcW w:w="2610" w:type="dxa"/>
          </w:tcPr>
          <w:p w14:paraId="181370BC" w14:textId="509BB87E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1.322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(0.754-2.318)</w:t>
            </w:r>
          </w:p>
        </w:tc>
        <w:tc>
          <w:tcPr>
            <w:tcW w:w="1260" w:type="dxa"/>
          </w:tcPr>
          <w:p w14:paraId="3CD8994A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0.330</w:t>
            </w:r>
          </w:p>
        </w:tc>
        <w:tc>
          <w:tcPr>
            <w:tcW w:w="2520" w:type="dxa"/>
          </w:tcPr>
          <w:p w14:paraId="29D286C3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A0427C8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24BDA86E" w14:textId="5C76E5AB" w:rsidTr="006258D4">
        <w:trPr>
          <w:trHeight w:val="281"/>
        </w:trPr>
        <w:tc>
          <w:tcPr>
            <w:tcW w:w="5395" w:type="dxa"/>
          </w:tcPr>
          <w:p w14:paraId="55AB2573" w14:textId="6734F865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Malnutrition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/Failure to Thrive</w:t>
            </w:r>
          </w:p>
        </w:tc>
        <w:tc>
          <w:tcPr>
            <w:tcW w:w="2610" w:type="dxa"/>
          </w:tcPr>
          <w:p w14:paraId="21C88439" w14:textId="61042F01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1.536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(0.712-3.313)</w:t>
            </w:r>
          </w:p>
        </w:tc>
        <w:tc>
          <w:tcPr>
            <w:tcW w:w="1260" w:type="dxa"/>
          </w:tcPr>
          <w:p w14:paraId="24853136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0.274</w:t>
            </w:r>
          </w:p>
        </w:tc>
        <w:tc>
          <w:tcPr>
            <w:tcW w:w="2520" w:type="dxa"/>
          </w:tcPr>
          <w:p w14:paraId="74017424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855ABEF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5B4688BC" w14:textId="69B1CF5B" w:rsidTr="006258D4">
        <w:trPr>
          <w:trHeight w:val="281"/>
        </w:trPr>
        <w:tc>
          <w:tcPr>
            <w:tcW w:w="5395" w:type="dxa"/>
          </w:tcPr>
          <w:p w14:paraId="1AF34633" w14:textId="33B260C0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Feeding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Difficulty</w:t>
            </w:r>
          </w:p>
        </w:tc>
        <w:tc>
          <w:tcPr>
            <w:tcW w:w="2610" w:type="dxa"/>
          </w:tcPr>
          <w:p w14:paraId="01D8DBE3" w14:textId="64C3833E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1.901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(0.796-4.541)</w:t>
            </w:r>
          </w:p>
        </w:tc>
        <w:tc>
          <w:tcPr>
            <w:tcW w:w="1260" w:type="dxa"/>
          </w:tcPr>
          <w:p w14:paraId="77784045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0.148</w:t>
            </w:r>
          </w:p>
        </w:tc>
        <w:tc>
          <w:tcPr>
            <w:tcW w:w="2520" w:type="dxa"/>
          </w:tcPr>
          <w:p w14:paraId="5D9DF725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56CC699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7D9389B1" w14:textId="190BD50B" w:rsidTr="006258D4">
        <w:trPr>
          <w:trHeight w:val="281"/>
        </w:trPr>
        <w:tc>
          <w:tcPr>
            <w:tcW w:w="5395" w:type="dxa"/>
          </w:tcPr>
          <w:p w14:paraId="3BF873D5" w14:textId="77777777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Sepsis</w:t>
            </w:r>
          </w:p>
        </w:tc>
        <w:tc>
          <w:tcPr>
            <w:tcW w:w="2610" w:type="dxa"/>
          </w:tcPr>
          <w:p w14:paraId="45807C8F" w14:textId="3D8F6454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3.049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(0.579-16.059)</w:t>
            </w:r>
          </w:p>
        </w:tc>
        <w:tc>
          <w:tcPr>
            <w:tcW w:w="1260" w:type="dxa"/>
          </w:tcPr>
          <w:p w14:paraId="6D374D0B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0.188</w:t>
            </w:r>
          </w:p>
        </w:tc>
        <w:tc>
          <w:tcPr>
            <w:tcW w:w="2520" w:type="dxa"/>
          </w:tcPr>
          <w:p w14:paraId="18E090E5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5F8CB54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26DF0BAE" w14:textId="3987C575" w:rsidTr="006258D4">
        <w:trPr>
          <w:trHeight w:val="296"/>
        </w:trPr>
        <w:tc>
          <w:tcPr>
            <w:tcW w:w="5395" w:type="dxa"/>
          </w:tcPr>
          <w:p w14:paraId="08411947" w14:textId="0CE98B21" w:rsidR="00003896" w:rsidRPr="00003896" w:rsidRDefault="00D04DDA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Acute Pancreatitis</w:t>
            </w:r>
          </w:p>
        </w:tc>
        <w:tc>
          <w:tcPr>
            <w:tcW w:w="2610" w:type="dxa"/>
          </w:tcPr>
          <w:p w14:paraId="44736F44" w14:textId="3194F6F1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0.845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(0.463-1.541)</w:t>
            </w:r>
          </w:p>
        </w:tc>
        <w:tc>
          <w:tcPr>
            <w:tcW w:w="1260" w:type="dxa"/>
          </w:tcPr>
          <w:p w14:paraId="1B805F91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0.582</w:t>
            </w:r>
          </w:p>
        </w:tc>
        <w:tc>
          <w:tcPr>
            <w:tcW w:w="2520" w:type="dxa"/>
          </w:tcPr>
          <w:p w14:paraId="43707C99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8AEEE67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3F0A6A96" w14:textId="0FA55836" w:rsidTr="006258D4">
        <w:trPr>
          <w:trHeight w:val="281"/>
        </w:trPr>
        <w:tc>
          <w:tcPr>
            <w:tcW w:w="5395" w:type="dxa"/>
          </w:tcPr>
          <w:p w14:paraId="7FC45F10" w14:textId="3D3D28EB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Protein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Plug/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Calculi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 xml:space="preserve">Without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BD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Obstruction</w:t>
            </w:r>
          </w:p>
        </w:tc>
        <w:tc>
          <w:tcPr>
            <w:tcW w:w="2610" w:type="dxa"/>
          </w:tcPr>
          <w:p w14:paraId="2B7FDB9B" w14:textId="25A676C7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0.704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(0.335-1.478)</w:t>
            </w:r>
          </w:p>
        </w:tc>
        <w:tc>
          <w:tcPr>
            <w:tcW w:w="1260" w:type="dxa"/>
          </w:tcPr>
          <w:p w14:paraId="63188746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0.353</w:t>
            </w:r>
          </w:p>
        </w:tc>
        <w:tc>
          <w:tcPr>
            <w:tcW w:w="2520" w:type="dxa"/>
          </w:tcPr>
          <w:p w14:paraId="2AA105AC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535CA36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0835AE11" w14:textId="0B9B551C" w:rsidTr="006258D4">
        <w:trPr>
          <w:trHeight w:val="281"/>
        </w:trPr>
        <w:tc>
          <w:tcPr>
            <w:tcW w:w="5395" w:type="dxa"/>
          </w:tcPr>
          <w:p w14:paraId="0DA7D463" w14:textId="77777777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Cholecystitis</w:t>
            </w:r>
          </w:p>
        </w:tc>
        <w:tc>
          <w:tcPr>
            <w:tcW w:w="2610" w:type="dxa"/>
          </w:tcPr>
          <w:p w14:paraId="7A8B8FE9" w14:textId="2B11F3E2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1.260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(0.422-3.758)</w:t>
            </w:r>
          </w:p>
        </w:tc>
        <w:tc>
          <w:tcPr>
            <w:tcW w:w="1260" w:type="dxa"/>
          </w:tcPr>
          <w:p w14:paraId="571CD574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0.679</w:t>
            </w:r>
          </w:p>
        </w:tc>
        <w:tc>
          <w:tcPr>
            <w:tcW w:w="2520" w:type="dxa"/>
          </w:tcPr>
          <w:p w14:paraId="42C3CB17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11CBE54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726244BE" w14:textId="26BE8E55" w:rsidTr="006258D4">
        <w:trPr>
          <w:trHeight w:val="281"/>
        </w:trPr>
        <w:tc>
          <w:tcPr>
            <w:tcW w:w="5395" w:type="dxa"/>
          </w:tcPr>
          <w:p w14:paraId="0E637D5F" w14:textId="77777777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Ascites</w:t>
            </w:r>
          </w:p>
        </w:tc>
        <w:tc>
          <w:tcPr>
            <w:tcW w:w="2610" w:type="dxa"/>
          </w:tcPr>
          <w:p w14:paraId="19CD6C06" w14:textId="10FDFC7E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1.450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(0.481-4.368)</w:t>
            </w:r>
          </w:p>
        </w:tc>
        <w:tc>
          <w:tcPr>
            <w:tcW w:w="1260" w:type="dxa"/>
          </w:tcPr>
          <w:p w14:paraId="78B5D2BB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0.510</w:t>
            </w:r>
          </w:p>
        </w:tc>
        <w:tc>
          <w:tcPr>
            <w:tcW w:w="2520" w:type="dxa"/>
          </w:tcPr>
          <w:p w14:paraId="49264BBB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7672958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39A3AE65" w14:textId="2D61A1F1" w:rsidTr="006258D4">
        <w:trPr>
          <w:trHeight w:val="296"/>
        </w:trPr>
        <w:tc>
          <w:tcPr>
            <w:tcW w:w="5395" w:type="dxa"/>
          </w:tcPr>
          <w:p w14:paraId="5D394733" w14:textId="6240C7D9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Portal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Hypertension at Index Admission</w:t>
            </w:r>
          </w:p>
        </w:tc>
        <w:tc>
          <w:tcPr>
            <w:tcW w:w="2610" w:type="dxa"/>
          </w:tcPr>
          <w:p w14:paraId="796D4E75" w14:textId="3CCF2BEA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1.879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(0.207-17.082)</w:t>
            </w:r>
          </w:p>
        </w:tc>
        <w:tc>
          <w:tcPr>
            <w:tcW w:w="1260" w:type="dxa"/>
          </w:tcPr>
          <w:p w14:paraId="7167E406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0.575</w:t>
            </w:r>
          </w:p>
        </w:tc>
        <w:tc>
          <w:tcPr>
            <w:tcW w:w="2520" w:type="dxa"/>
          </w:tcPr>
          <w:p w14:paraId="40A0F074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58E6735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1B029BDF" w14:textId="131A08C4" w:rsidTr="006258D4">
        <w:trPr>
          <w:trHeight w:val="296"/>
        </w:trPr>
        <w:tc>
          <w:tcPr>
            <w:tcW w:w="5395" w:type="dxa"/>
          </w:tcPr>
          <w:p w14:paraId="5766280A" w14:textId="05BE2822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Metabolic </w:t>
            </w:r>
            <w:r w:rsidR="00D04DDA" w:rsidRPr="00003896">
              <w:rPr>
                <w:rFonts w:ascii="Calibri" w:eastAsia="Aptos" w:hAnsi="Calibri" w:cs="Calibri"/>
                <w:sz w:val="22"/>
                <w:szCs w:val="22"/>
              </w:rPr>
              <w:t>Flag</w:t>
            </w:r>
          </w:p>
        </w:tc>
        <w:tc>
          <w:tcPr>
            <w:tcW w:w="2610" w:type="dxa"/>
          </w:tcPr>
          <w:p w14:paraId="051AEF30" w14:textId="03CE6263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1.973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(0.824-4.727)</w:t>
            </w:r>
          </w:p>
        </w:tc>
        <w:tc>
          <w:tcPr>
            <w:tcW w:w="1260" w:type="dxa"/>
          </w:tcPr>
          <w:p w14:paraId="7556B8F6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0.127</w:t>
            </w:r>
          </w:p>
        </w:tc>
        <w:tc>
          <w:tcPr>
            <w:tcW w:w="2520" w:type="dxa"/>
          </w:tcPr>
          <w:p w14:paraId="1279427A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8CEF6A1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4C210ED9" w14:textId="2FC3B325" w:rsidTr="006258D4">
        <w:trPr>
          <w:trHeight w:val="281"/>
        </w:trPr>
        <w:tc>
          <w:tcPr>
            <w:tcW w:w="5395" w:type="dxa"/>
          </w:tcPr>
          <w:p w14:paraId="6B86B5E6" w14:textId="666557A4" w:rsidR="00003896" w:rsidRPr="00003896" w:rsidRDefault="00D04DDA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H</w:t>
            </w:r>
            <w:r>
              <w:rPr>
                <w:rFonts w:ascii="Calibri" w:eastAsia="Aptos" w:hAnsi="Calibri" w:cs="Calibri"/>
                <w:sz w:val="22"/>
                <w:szCs w:val="22"/>
              </w:rPr>
              <w:t>D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 xml:space="preserve"> (Ref. RNYHJ)</w:t>
            </w:r>
          </w:p>
        </w:tc>
        <w:tc>
          <w:tcPr>
            <w:tcW w:w="2610" w:type="dxa"/>
          </w:tcPr>
          <w:p w14:paraId="29FD2700" w14:textId="0ECC0A4B" w:rsidR="00003896" w:rsidRPr="00003896" w:rsidRDefault="00003896" w:rsidP="0000389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0.961</w:t>
            </w:r>
            <w:r w:rsidR="00D04DDA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003896">
              <w:rPr>
                <w:rFonts w:ascii="Calibri" w:eastAsia="Aptos" w:hAnsi="Calibri" w:cs="Calibri"/>
                <w:sz w:val="22"/>
                <w:szCs w:val="22"/>
              </w:rPr>
              <w:t>(0.568-1.625)</w:t>
            </w:r>
          </w:p>
        </w:tc>
        <w:tc>
          <w:tcPr>
            <w:tcW w:w="1260" w:type="dxa"/>
          </w:tcPr>
          <w:p w14:paraId="6FCDFAF2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003896">
              <w:rPr>
                <w:rFonts w:ascii="Calibri" w:eastAsia="Aptos" w:hAnsi="Calibri" w:cs="Calibri"/>
                <w:sz w:val="22"/>
                <w:szCs w:val="22"/>
              </w:rPr>
              <w:t>0.881</w:t>
            </w:r>
          </w:p>
        </w:tc>
        <w:tc>
          <w:tcPr>
            <w:tcW w:w="2520" w:type="dxa"/>
          </w:tcPr>
          <w:p w14:paraId="5654750A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1BC5AE7" w14:textId="77777777" w:rsidR="00003896" w:rsidRPr="00003896" w:rsidRDefault="00003896" w:rsidP="0000389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03896" w:rsidRPr="00003896" w14:paraId="3DA474CE" w14:textId="31F7F5D5" w:rsidTr="003E6F6F">
        <w:trPr>
          <w:trHeight w:val="281"/>
        </w:trPr>
        <w:tc>
          <w:tcPr>
            <w:tcW w:w="13135" w:type="dxa"/>
            <w:gridSpan w:val="5"/>
          </w:tcPr>
          <w:p w14:paraId="69BD7CCB" w14:textId="77777777" w:rsidR="00B15DBD" w:rsidRDefault="00D9417F" w:rsidP="00B15DBD">
            <w:pPr>
              <w:rPr>
                <w:rFonts w:ascii="Calibri" w:eastAsia="Aptos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BD: Biliary Duct; LS: Laparoscopic Surgery; OS: Open Surgery; HD: </w:t>
            </w:r>
            <w:proofErr w:type="spellStart"/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Hepaticoduodenostomy</w:t>
            </w:r>
            <w:proofErr w:type="spellEnd"/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; HJ: Roux-en-Y Hepaticojejunostomy. </w:t>
            </w:r>
          </w:p>
          <w:p w14:paraId="109EC2C7" w14:textId="5B1D8302" w:rsidR="00003896" w:rsidRPr="00267415" w:rsidRDefault="00B15DBD" w:rsidP="00C10F5C">
            <w:pPr>
              <w:rPr>
                <w:rFonts w:ascii="Calibri" w:eastAsia="Aptos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Final model covariates were chosen based on clinical relevance and a purposeful selection threshold of </w:t>
            </w:r>
            <w:r w:rsidR="00346DEF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p&lt;0.15.</w:t>
            </w:r>
            <w:r w:rsidR="00267415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 </w:t>
            </w:r>
            <w:r w:rsidR="00346DEF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The model </w:t>
            </w:r>
            <w:r w:rsidR="00267415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demonstrates strong calibration as indicated by the </w:t>
            </w:r>
            <w:r w:rsidR="00D9417F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Hosmer-</w:t>
            </w:r>
            <w:proofErr w:type="spellStart"/>
            <w:r w:rsidR="00D9417F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Lemeshow</w:t>
            </w:r>
            <w:proofErr w:type="spellEnd"/>
            <w:r w:rsidR="00D9417F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 goodness-of-fit </w:t>
            </w:r>
            <w:r w:rsidR="00267415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>test</w:t>
            </w:r>
            <w:r w:rsidR="00D9417F">
              <w:rPr>
                <w:rFonts w:ascii="Calibri" w:eastAsia="Aptos" w:hAnsi="Calibri" w:cs="Calibri"/>
                <w:i/>
                <w:iCs/>
                <w:sz w:val="22"/>
                <w:szCs w:val="22"/>
              </w:rPr>
              <w:t xml:space="preserve"> (χ2=3.714; p=0.882).</w:t>
            </w:r>
          </w:p>
        </w:tc>
      </w:tr>
    </w:tbl>
    <w:p w14:paraId="73C80556" w14:textId="65D4718C" w:rsidR="000601A5" w:rsidRDefault="000601A5" w:rsidP="00003896"/>
    <w:sectPr w:rsidR="000601A5" w:rsidSect="006258D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D4"/>
    <w:rsid w:val="00003896"/>
    <w:rsid w:val="000601A5"/>
    <w:rsid w:val="000E586D"/>
    <w:rsid w:val="001B20E7"/>
    <w:rsid w:val="001D7F70"/>
    <w:rsid w:val="00267415"/>
    <w:rsid w:val="00274300"/>
    <w:rsid w:val="003028A9"/>
    <w:rsid w:val="00320C8D"/>
    <w:rsid w:val="0033353F"/>
    <w:rsid w:val="00346DEF"/>
    <w:rsid w:val="00565013"/>
    <w:rsid w:val="005F2085"/>
    <w:rsid w:val="006258D4"/>
    <w:rsid w:val="00794530"/>
    <w:rsid w:val="007E5258"/>
    <w:rsid w:val="007E5CC0"/>
    <w:rsid w:val="0083354A"/>
    <w:rsid w:val="008E4350"/>
    <w:rsid w:val="008E5C37"/>
    <w:rsid w:val="009167FE"/>
    <w:rsid w:val="0094628B"/>
    <w:rsid w:val="00977508"/>
    <w:rsid w:val="00A57BD3"/>
    <w:rsid w:val="00AD48DA"/>
    <w:rsid w:val="00B15DBD"/>
    <w:rsid w:val="00BA4582"/>
    <w:rsid w:val="00C10F5C"/>
    <w:rsid w:val="00C77542"/>
    <w:rsid w:val="00C83DE7"/>
    <w:rsid w:val="00D04DDA"/>
    <w:rsid w:val="00D9417F"/>
    <w:rsid w:val="00E858E1"/>
    <w:rsid w:val="00EF1894"/>
    <w:rsid w:val="00F8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68CD"/>
  <w15:chartTrackingRefBased/>
  <w15:docId w15:val="{179BE47A-46DC-476D-949A-F84CCE64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8D4"/>
  </w:style>
  <w:style w:type="paragraph" w:styleId="Heading1">
    <w:name w:val="heading 1"/>
    <w:basedOn w:val="Normal"/>
    <w:next w:val="Normal"/>
    <w:link w:val="Heading1Char"/>
    <w:uiPriority w:val="9"/>
    <w:qFormat/>
    <w:rsid w:val="0062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8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8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8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8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8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8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5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0389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D04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cdc7058-dd48-4a81-90b6-281159ae72e0}" enabled="0" method="" siteId="{fcdc7058-dd48-4a81-90b6-281159ae72e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Sacco Casamassima, Maria Grazia</dc:creator>
  <cp:keywords/>
  <dc:description/>
  <cp:lastModifiedBy>Sacco Casamassima, Maria Grazia</cp:lastModifiedBy>
  <cp:revision>2</cp:revision>
  <dcterms:created xsi:type="dcterms:W3CDTF">2026-03-23T19:35:00Z</dcterms:created>
  <dcterms:modified xsi:type="dcterms:W3CDTF">2026-03-23T19:35:00Z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ec72aafe-f396-454e-a0ec-537b0dc7530b</vt:lpwstr>
  </property>
</Properties>
</file>