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63788" w14:textId="699E91EB" w:rsidR="007754E3" w:rsidRDefault="00DA0E0B">
      <w:pPr>
        <w:rPr>
          <w:rFonts w:ascii="Times New Roman" w:hAnsi="Times New Roman" w:cs="Times New Roman"/>
          <w:b/>
          <w:bCs/>
          <w:sz w:val="32"/>
          <w:szCs w:val="28"/>
        </w:rPr>
      </w:pPr>
      <w:r w:rsidRPr="00DA0E0B">
        <w:rPr>
          <w:rFonts w:ascii="Times New Roman" w:hAnsi="Times New Roman" w:cs="Times New Roman"/>
          <w:b/>
          <w:bCs/>
          <w:sz w:val="32"/>
          <w:szCs w:val="28"/>
        </w:rPr>
        <w:t xml:space="preserve">Supplementary </w:t>
      </w:r>
      <w:r>
        <w:rPr>
          <w:rFonts w:ascii="Times New Roman" w:hAnsi="Times New Roman" w:cs="Times New Roman"/>
          <w:b/>
          <w:bCs/>
          <w:sz w:val="32"/>
          <w:szCs w:val="28"/>
        </w:rPr>
        <w:t xml:space="preserve">figure </w:t>
      </w:r>
      <w:r w:rsidRPr="00DA0E0B">
        <w:rPr>
          <w:rFonts w:ascii="Times New Roman" w:hAnsi="Times New Roman" w:cs="Times New Roman"/>
          <w:b/>
          <w:bCs/>
          <w:sz w:val="32"/>
          <w:szCs w:val="28"/>
        </w:rPr>
        <w:t>legends</w:t>
      </w:r>
    </w:p>
    <w:tbl>
      <w:tblPr>
        <w:tblpPr w:leftFromText="180" w:rightFromText="180" w:vertAnchor="text" w:tblpY="531"/>
        <w:tblW w:w="9360" w:type="dxa"/>
        <w:tblLook w:val="04A0" w:firstRow="1" w:lastRow="0" w:firstColumn="1" w:lastColumn="0" w:noHBand="0" w:noVBand="1"/>
      </w:tblPr>
      <w:tblGrid>
        <w:gridCol w:w="3150"/>
        <w:gridCol w:w="2790"/>
        <w:gridCol w:w="1980"/>
        <w:gridCol w:w="1440"/>
      </w:tblGrid>
      <w:tr w:rsidR="00DA0E0B" w:rsidRPr="00DA0E0B" w14:paraId="09FE443C" w14:textId="77777777" w:rsidTr="00DA0E0B">
        <w:trPr>
          <w:trHeight w:val="288"/>
        </w:trPr>
        <w:tc>
          <w:tcPr>
            <w:tcW w:w="3150" w:type="dxa"/>
            <w:tcBorders>
              <w:top w:val="nil"/>
              <w:left w:val="nil"/>
              <w:bottom w:val="single" w:sz="12" w:space="0" w:color="FFFFFF"/>
              <w:right w:val="single" w:sz="4" w:space="0" w:color="FFFFFF"/>
            </w:tcBorders>
            <w:shd w:val="clear" w:color="4472C4" w:fill="4472C4"/>
            <w:noWrap/>
            <w:vAlign w:val="center"/>
            <w:hideMark/>
          </w:tcPr>
          <w:p w14:paraId="15C4E28B" w14:textId="77777777" w:rsidR="00DA0E0B" w:rsidRPr="00DA0E0B" w:rsidRDefault="00DA0E0B" w:rsidP="00DA0E0B">
            <w:pPr>
              <w:spacing w:after="0" w:line="240" w:lineRule="auto"/>
              <w:jc w:val="center"/>
              <w:rPr>
                <w:rFonts w:ascii="Calibri" w:eastAsia="Times New Roman" w:hAnsi="Calibri" w:cs="Calibri"/>
                <w:b/>
                <w:bCs/>
                <w:color w:val="FFFFFF"/>
                <w:sz w:val="22"/>
              </w:rPr>
            </w:pPr>
            <w:r w:rsidRPr="00DA0E0B">
              <w:rPr>
                <w:rFonts w:ascii="Calibri" w:eastAsia="Times New Roman" w:hAnsi="Calibri" w:cs="Calibri"/>
                <w:b/>
                <w:bCs/>
                <w:color w:val="FFFFFF"/>
                <w:sz w:val="22"/>
              </w:rPr>
              <w:t>Antibody</w:t>
            </w:r>
          </w:p>
        </w:tc>
        <w:tc>
          <w:tcPr>
            <w:tcW w:w="2790" w:type="dxa"/>
            <w:tcBorders>
              <w:top w:val="nil"/>
              <w:left w:val="single" w:sz="4" w:space="0" w:color="FFFFFF"/>
              <w:bottom w:val="single" w:sz="12" w:space="0" w:color="FFFFFF"/>
              <w:right w:val="single" w:sz="4" w:space="0" w:color="FFFFFF"/>
            </w:tcBorders>
            <w:shd w:val="clear" w:color="4472C4" w:fill="4472C4"/>
            <w:noWrap/>
            <w:vAlign w:val="center"/>
            <w:hideMark/>
          </w:tcPr>
          <w:p w14:paraId="3D33BC1F" w14:textId="77777777" w:rsidR="00DA0E0B" w:rsidRPr="00DA0E0B" w:rsidRDefault="00DA0E0B" w:rsidP="00DA0E0B">
            <w:pPr>
              <w:spacing w:after="0" w:line="240" w:lineRule="auto"/>
              <w:jc w:val="center"/>
              <w:rPr>
                <w:rFonts w:ascii="Calibri" w:eastAsia="Times New Roman" w:hAnsi="Calibri" w:cs="Calibri"/>
                <w:b/>
                <w:bCs/>
                <w:color w:val="FFFFFF"/>
                <w:sz w:val="22"/>
              </w:rPr>
            </w:pPr>
            <w:r w:rsidRPr="00DA0E0B">
              <w:rPr>
                <w:rFonts w:ascii="Calibri" w:eastAsia="Times New Roman" w:hAnsi="Calibri" w:cs="Calibri"/>
                <w:b/>
                <w:bCs/>
                <w:color w:val="FFFFFF"/>
                <w:sz w:val="22"/>
              </w:rPr>
              <w:t>Source</w:t>
            </w:r>
          </w:p>
        </w:tc>
        <w:tc>
          <w:tcPr>
            <w:tcW w:w="1980" w:type="dxa"/>
            <w:tcBorders>
              <w:top w:val="nil"/>
              <w:left w:val="single" w:sz="4" w:space="0" w:color="FFFFFF"/>
              <w:bottom w:val="single" w:sz="12" w:space="0" w:color="FFFFFF"/>
              <w:right w:val="single" w:sz="4" w:space="0" w:color="FFFFFF"/>
            </w:tcBorders>
            <w:shd w:val="clear" w:color="4472C4" w:fill="4472C4"/>
            <w:noWrap/>
            <w:vAlign w:val="center"/>
            <w:hideMark/>
          </w:tcPr>
          <w:p w14:paraId="04C4D200" w14:textId="77777777" w:rsidR="00DA0E0B" w:rsidRPr="00DA0E0B" w:rsidRDefault="00DA0E0B" w:rsidP="00DA0E0B">
            <w:pPr>
              <w:spacing w:after="0" w:line="240" w:lineRule="auto"/>
              <w:jc w:val="center"/>
              <w:rPr>
                <w:rFonts w:ascii="Calibri" w:eastAsia="Times New Roman" w:hAnsi="Calibri" w:cs="Calibri"/>
                <w:b/>
                <w:bCs/>
                <w:color w:val="FFFFFF"/>
                <w:sz w:val="22"/>
              </w:rPr>
            </w:pPr>
            <w:r w:rsidRPr="00DA0E0B">
              <w:rPr>
                <w:rFonts w:ascii="Calibri" w:eastAsia="Times New Roman" w:hAnsi="Calibri" w:cs="Calibri"/>
                <w:b/>
                <w:bCs/>
                <w:color w:val="FFFFFF"/>
                <w:sz w:val="22"/>
              </w:rPr>
              <w:t>Clone</w:t>
            </w:r>
          </w:p>
        </w:tc>
        <w:tc>
          <w:tcPr>
            <w:tcW w:w="1440" w:type="dxa"/>
            <w:tcBorders>
              <w:top w:val="nil"/>
              <w:left w:val="single" w:sz="4" w:space="0" w:color="FFFFFF"/>
              <w:bottom w:val="single" w:sz="12" w:space="0" w:color="FFFFFF"/>
              <w:right w:val="nil"/>
            </w:tcBorders>
            <w:shd w:val="clear" w:color="4472C4" w:fill="4472C4"/>
            <w:noWrap/>
            <w:vAlign w:val="center"/>
            <w:hideMark/>
          </w:tcPr>
          <w:p w14:paraId="0DB8EA39" w14:textId="77777777" w:rsidR="00DA0E0B" w:rsidRPr="00DA0E0B" w:rsidRDefault="00DA0E0B" w:rsidP="00DA0E0B">
            <w:pPr>
              <w:spacing w:after="0" w:line="240" w:lineRule="auto"/>
              <w:jc w:val="center"/>
              <w:rPr>
                <w:rFonts w:ascii="Calibri" w:eastAsia="Times New Roman" w:hAnsi="Calibri" w:cs="Calibri"/>
                <w:b/>
                <w:bCs/>
                <w:color w:val="FFFFFF"/>
                <w:sz w:val="22"/>
              </w:rPr>
            </w:pPr>
            <w:r w:rsidRPr="00DA0E0B">
              <w:rPr>
                <w:rFonts w:ascii="Calibri" w:eastAsia="Times New Roman" w:hAnsi="Calibri" w:cs="Calibri"/>
                <w:b/>
                <w:bCs/>
                <w:color w:val="FFFFFF"/>
                <w:sz w:val="22"/>
              </w:rPr>
              <w:t>Dilution</w:t>
            </w:r>
          </w:p>
        </w:tc>
      </w:tr>
      <w:tr w:rsidR="00DA0E0B" w:rsidRPr="00DA0E0B" w14:paraId="17AD4B4E"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7A8C55C2"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CD45-Brilliant Violet 605</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4C2FADE"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proofErr w:type="spellStart"/>
            <w:r w:rsidRPr="00DA0E0B">
              <w:rPr>
                <w:rFonts w:ascii="Times New Roman" w:eastAsia="Times New Roman" w:hAnsi="Times New Roman" w:cs="Times New Roman"/>
                <w:color w:val="000000"/>
                <w:szCs w:val="24"/>
              </w:rPr>
              <w:t>BioLegend</w:t>
            </w:r>
            <w:proofErr w:type="spellEnd"/>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71F1F8A"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30-F11</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0009EBF2"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1:200</w:t>
            </w:r>
          </w:p>
        </w:tc>
      </w:tr>
      <w:tr w:rsidR="00DA0E0B" w:rsidRPr="00DA0E0B" w14:paraId="0F2F03B2"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6E2E9F24"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CD3-eFluor 450</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D9C0B3B"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eBioscience</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6678E1B"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eBio500A2</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3DC37A13"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w:t>
            </w:r>
          </w:p>
        </w:tc>
      </w:tr>
      <w:tr w:rsidR="00DA0E0B" w:rsidRPr="00DA0E0B" w14:paraId="74EB3836"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19AD8082"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CD19-PE</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027C196"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eBioscience</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03A607A"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eBio1D3</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5A93D8A6"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1:400</w:t>
            </w:r>
          </w:p>
        </w:tc>
      </w:tr>
      <w:tr w:rsidR="00DA0E0B" w:rsidRPr="00DA0E0B" w14:paraId="20A1F9A0"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7ED86B05"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CD11b-PE Dazzle 594</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F8EA550"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proofErr w:type="spellStart"/>
            <w:r w:rsidRPr="00DA0E0B">
              <w:rPr>
                <w:rFonts w:ascii="Times New Roman" w:eastAsia="Times New Roman" w:hAnsi="Times New Roman" w:cs="Times New Roman"/>
                <w:color w:val="000000"/>
                <w:szCs w:val="24"/>
              </w:rPr>
              <w:t>BioLegend</w:t>
            </w:r>
            <w:proofErr w:type="spellEnd"/>
            <w:r w:rsidRPr="00DA0E0B">
              <w:rPr>
                <w:rFonts w:ascii="Times New Roman" w:eastAsia="Times New Roman" w:hAnsi="Times New Roman" w:cs="Times New Roman"/>
                <w:color w:val="000000"/>
                <w:szCs w:val="24"/>
              </w:rPr>
              <w:t xml:space="preserve"> </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E68C9B4"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M1/70</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050EB77D"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w:t>
            </w:r>
          </w:p>
        </w:tc>
      </w:tr>
      <w:tr w:rsidR="00DA0E0B" w:rsidRPr="00DA0E0B" w14:paraId="7BE8DEB8"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00F21FFC"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Ly6-G-APC-eFluor 780</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3C1A424"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Invitrogen</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6C2EF9E"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RB6-8C5</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4F6F4CF9"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w:t>
            </w:r>
          </w:p>
        </w:tc>
      </w:tr>
      <w:tr w:rsidR="00DA0E0B" w:rsidRPr="00DA0E0B" w14:paraId="4B5C8CDD"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2FB5391F"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Ly6-C-Brilliant Violet 510</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65D32E7"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proofErr w:type="spellStart"/>
            <w:r w:rsidRPr="00DA0E0B">
              <w:rPr>
                <w:rFonts w:ascii="Times New Roman" w:eastAsia="Times New Roman" w:hAnsi="Times New Roman" w:cs="Times New Roman"/>
                <w:color w:val="000000"/>
                <w:szCs w:val="24"/>
              </w:rPr>
              <w:t>BioLegend</w:t>
            </w:r>
            <w:proofErr w:type="spellEnd"/>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0769D30"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HK1.4</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71790909"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w:t>
            </w:r>
          </w:p>
        </w:tc>
      </w:tr>
      <w:tr w:rsidR="00DA0E0B" w:rsidRPr="00DA0E0B" w14:paraId="1FDA1C03"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3894D805"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Rab7-unconjugated</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41301A92"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Cell Signaling Technology</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6D783C50"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D95F2</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38AEAAC5"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1:200</w:t>
            </w:r>
          </w:p>
        </w:tc>
      </w:tr>
      <w:tr w:rsidR="00DA0E0B" w:rsidRPr="00DA0E0B" w14:paraId="4AC27106"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0D716DC5"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Rabbit IgG-Alexa fluor 647</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38CC767"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Invitrogen</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ACA9408"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Polyclonal, cat #: A-31573</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289DDA0A"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w:t>
            </w:r>
          </w:p>
        </w:tc>
      </w:tr>
      <w:tr w:rsidR="00DA0E0B" w:rsidRPr="00DA0E0B" w14:paraId="221FAE0E"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2076C048"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CD63-FITC</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06BB607A"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Biolegend</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5D70E563"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NVG-2</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4F1CE23A"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w:t>
            </w:r>
          </w:p>
        </w:tc>
      </w:tr>
      <w:tr w:rsidR="00DA0E0B" w:rsidRPr="00DA0E0B" w14:paraId="71DC9F4B"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3465008A"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CD81-FITC</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1D2837A"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Invitrogen</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240AB4E4"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Eat2</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49CA52F0"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w:t>
            </w:r>
          </w:p>
        </w:tc>
      </w:tr>
      <w:tr w:rsidR="00DA0E0B" w:rsidRPr="00DA0E0B" w14:paraId="10499419" w14:textId="77777777" w:rsidTr="00DA0E0B">
        <w:trPr>
          <w:trHeight w:val="312"/>
        </w:trPr>
        <w:tc>
          <w:tcPr>
            <w:tcW w:w="3150" w:type="dxa"/>
            <w:tcBorders>
              <w:top w:val="single" w:sz="4" w:space="0" w:color="FFFFFF"/>
              <w:left w:val="nil"/>
              <w:bottom w:val="single" w:sz="4" w:space="0" w:color="FFFFFF"/>
              <w:right w:val="single" w:sz="4" w:space="0" w:color="FFFFFF"/>
            </w:tcBorders>
            <w:shd w:val="clear" w:color="D9E1F2" w:fill="D9E1F2"/>
            <w:noWrap/>
            <w:vAlign w:val="center"/>
            <w:hideMark/>
          </w:tcPr>
          <w:p w14:paraId="37D805D8"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CD3e-unconjugated</w:t>
            </w:r>
          </w:p>
        </w:tc>
        <w:tc>
          <w:tcPr>
            <w:tcW w:w="279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75650436"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Invitrogen</w:t>
            </w:r>
          </w:p>
        </w:tc>
        <w:tc>
          <w:tcPr>
            <w:tcW w:w="1980"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3F5F762A"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145-2C11</w:t>
            </w:r>
          </w:p>
        </w:tc>
        <w:tc>
          <w:tcPr>
            <w:tcW w:w="1440" w:type="dxa"/>
            <w:tcBorders>
              <w:top w:val="single" w:sz="4" w:space="0" w:color="FFFFFF"/>
              <w:left w:val="single" w:sz="4" w:space="0" w:color="FFFFFF"/>
              <w:bottom w:val="single" w:sz="4" w:space="0" w:color="FFFFFF"/>
              <w:right w:val="nil"/>
            </w:tcBorders>
            <w:shd w:val="clear" w:color="D9E1F2" w:fill="D9E1F2"/>
            <w:noWrap/>
            <w:vAlign w:val="center"/>
            <w:hideMark/>
          </w:tcPr>
          <w:p w14:paraId="4C450E7C"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1:1000</w:t>
            </w:r>
          </w:p>
        </w:tc>
      </w:tr>
      <w:tr w:rsidR="00DA0E0B" w:rsidRPr="00DA0E0B" w14:paraId="4D669D09" w14:textId="77777777" w:rsidTr="00DA0E0B">
        <w:trPr>
          <w:trHeight w:val="312"/>
        </w:trPr>
        <w:tc>
          <w:tcPr>
            <w:tcW w:w="3150" w:type="dxa"/>
            <w:tcBorders>
              <w:top w:val="single" w:sz="4" w:space="0" w:color="FFFFFF"/>
              <w:left w:val="nil"/>
              <w:bottom w:val="nil"/>
              <w:right w:val="single" w:sz="4" w:space="0" w:color="FFFFFF"/>
            </w:tcBorders>
            <w:shd w:val="clear" w:color="D9E1F2" w:fill="D9E1F2"/>
            <w:noWrap/>
            <w:vAlign w:val="center"/>
            <w:hideMark/>
          </w:tcPr>
          <w:p w14:paraId="71C34FE1"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CD28-unconjugated</w:t>
            </w:r>
          </w:p>
        </w:tc>
        <w:tc>
          <w:tcPr>
            <w:tcW w:w="2790" w:type="dxa"/>
            <w:tcBorders>
              <w:top w:val="single" w:sz="4" w:space="0" w:color="FFFFFF"/>
              <w:left w:val="single" w:sz="4" w:space="0" w:color="FFFFFF"/>
              <w:bottom w:val="nil"/>
              <w:right w:val="single" w:sz="4" w:space="0" w:color="FFFFFF"/>
            </w:tcBorders>
            <w:shd w:val="clear" w:color="D9E1F2" w:fill="D9E1F2"/>
            <w:noWrap/>
            <w:vAlign w:val="center"/>
            <w:hideMark/>
          </w:tcPr>
          <w:p w14:paraId="6CDC71E8"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Invitrogen</w:t>
            </w:r>
          </w:p>
        </w:tc>
        <w:tc>
          <w:tcPr>
            <w:tcW w:w="1980" w:type="dxa"/>
            <w:tcBorders>
              <w:top w:val="single" w:sz="4" w:space="0" w:color="FFFFFF"/>
              <w:left w:val="single" w:sz="4" w:space="0" w:color="FFFFFF"/>
              <w:bottom w:val="nil"/>
              <w:right w:val="single" w:sz="4" w:space="0" w:color="FFFFFF"/>
            </w:tcBorders>
            <w:shd w:val="clear" w:color="D9E1F2" w:fill="D9E1F2"/>
            <w:noWrap/>
            <w:vAlign w:val="center"/>
            <w:hideMark/>
          </w:tcPr>
          <w:p w14:paraId="600AC532" w14:textId="77777777" w:rsidR="00DA0E0B" w:rsidRPr="00DA0E0B" w:rsidRDefault="00DA0E0B" w:rsidP="00DA0E0B">
            <w:pPr>
              <w:spacing w:after="0" w:line="240" w:lineRule="auto"/>
              <w:jc w:val="center"/>
              <w:rPr>
                <w:rFonts w:ascii="Times New Roman" w:eastAsia="Times New Roman" w:hAnsi="Times New Roman" w:cs="Times New Roman"/>
                <w:color w:val="000000"/>
                <w:szCs w:val="24"/>
              </w:rPr>
            </w:pPr>
            <w:r w:rsidRPr="00DA0E0B">
              <w:rPr>
                <w:rFonts w:ascii="Times New Roman" w:eastAsia="Times New Roman" w:hAnsi="Times New Roman" w:cs="Times New Roman"/>
                <w:color w:val="000000"/>
                <w:szCs w:val="24"/>
              </w:rPr>
              <w:t>37.51</w:t>
            </w:r>
          </w:p>
        </w:tc>
        <w:tc>
          <w:tcPr>
            <w:tcW w:w="1440" w:type="dxa"/>
            <w:tcBorders>
              <w:top w:val="single" w:sz="4" w:space="0" w:color="FFFFFF"/>
              <w:left w:val="single" w:sz="4" w:space="0" w:color="FFFFFF"/>
              <w:bottom w:val="nil"/>
              <w:right w:val="nil"/>
            </w:tcBorders>
            <w:shd w:val="clear" w:color="D9E1F2" w:fill="D9E1F2"/>
            <w:noWrap/>
            <w:vAlign w:val="center"/>
            <w:hideMark/>
          </w:tcPr>
          <w:p w14:paraId="183BE901" w14:textId="77777777" w:rsidR="00DA0E0B" w:rsidRPr="00DA0E0B" w:rsidRDefault="00DA0E0B" w:rsidP="00DA0E0B">
            <w:pPr>
              <w:spacing w:after="0" w:line="240" w:lineRule="auto"/>
              <w:jc w:val="center"/>
              <w:rPr>
                <w:rFonts w:ascii="Calibri" w:eastAsia="Times New Roman" w:hAnsi="Calibri" w:cs="Calibri"/>
                <w:color w:val="000000"/>
                <w:sz w:val="22"/>
              </w:rPr>
            </w:pPr>
            <w:r w:rsidRPr="00DA0E0B">
              <w:rPr>
                <w:rFonts w:ascii="Calibri" w:eastAsia="Times New Roman" w:hAnsi="Calibri" w:cs="Calibri"/>
                <w:color w:val="000000"/>
                <w:sz w:val="22"/>
              </w:rPr>
              <w:t>1:1000</w:t>
            </w:r>
          </w:p>
        </w:tc>
      </w:tr>
    </w:tbl>
    <w:p w14:paraId="4BFFAAE4" w14:textId="77777777" w:rsidR="00DA0E0B" w:rsidRDefault="00DA0E0B" w:rsidP="00DA0E0B">
      <w:pPr>
        <w:rPr>
          <w:rFonts w:ascii="Times New Roman" w:hAnsi="Times New Roman" w:cs="Times New Roman"/>
          <w:b/>
          <w:bCs/>
        </w:rPr>
      </w:pPr>
      <w:r>
        <w:rPr>
          <w:rFonts w:ascii="Times New Roman" w:hAnsi="Times New Roman" w:cs="Times New Roman"/>
          <w:b/>
          <w:bCs/>
        </w:rPr>
        <w:t>Additional file 1: Table S1.</w:t>
      </w:r>
      <w:r w:rsidRPr="00F4297A">
        <w:rPr>
          <w:rFonts w:ascii="Times New Roman" w:hAnsi="Times New Roman" w:cs="Times New Roman"/>
          <w:b/>
          <w:bCs/>
        </w:rPr>
        <w:t xml:space="preserve"> List of antibodies used in this study.</w:t>
      </w:r>
    </w:p>
    <w:p w14:paraId="23BCF943" w14:textId="77777777" w:rsidR="00DA0E0B" w:rsidRPr="00DA0E0B" w:rsidRDefault="00DA0E0B" w:rsidP="00DA0E0B">
      <w:pPr>
        <w:spacing w:after="0"/>
        <w:rPr>
          <w:rFonts w:asciiTheme="minorHAnsi" w:hAnsiTheme="minorHAnsi"/>
          <w:kern w:val="2"/>
          <w:szCs w:val="24"/>
          <w14:ligatures w14:val="standardContextual"/>
        </w:rPr>
      </w:pPr>
      <w:r w:rsidRPr="00DA0E0B">
        <w:rPr>
          <w:rFonts w:asciiTheme="minorHAnsi" w:hAnsiTheme="minorHAnsi"/>
          <w:kern w:val="2"/>
          <w:szCs w:val="24"/>
          <w14:ligatures w14:val="standardContextual"/>
        </w:rPr>
        <w:fldChar w:fldCharType="begin"/>
      </w:r>
      <w:r w:rsidRPr="00DA0E0B">
        <w:rPr>
          <w:rFonts w:asciiTheme="minorHAnsi" w:hAnsiTheme="minorHAnsi"/>
          <w:kern w:val="2"/>
          <w:szCs w:val="24"/>
          <w14:ligatures w14:val="standardContextual"/>
        </w:rPr>
        <w:instrText xml:space="preserve"> LINK Excel.Sheet.12 "C:\\Users\\dylan\\Desktop\\ev paper drafts\\Table 1.xlsx" Sheet1!R7C1:R19C4 \a \f 4 \h  \* MERGEFORMAT </w:instrText>
      </w:r>
      <w:r w:rsidRPr="00DA0E0B">
        <w:rPr>
          <w:rFonts w:asciiTheme="minorHAnsi" w:hAnsiTheme="minorHAnsi"/>
          <w:kern w:val="2"/>
          <w:szCs w:val="24"/>
          <w14:ligatures w14:val="standardContextual"/>
        </w:rPr>
        <w:fldChar w:fldCharType="separate"/>
      </w:r>
    </w:p>
    <w:p w14:paraId="7BF59B29" w14:textId="6E9ACE61" w:rsidR="00DA0E0B" w:rsidRDefault="00DA0E0B" w:rsidP="00DA0E0B">
      <w:pPr>
        <w:rPr>
          <w:rFonts w:ascii="Times New Roman" w:hAnsi="Times New Roman" w:cs="Times New Roman"/>
        </w:rPr>
      </w:pPr>
      <w:r w:rsidRPr="00DA0E0B">
        <w:rPr>
          <w:rFonts w:ascii="Times New Roman" w:hAnsi="Times New Roman" w:cs="Times New Roman"/>
          <w:kern w:val="2"/>
          <w:szCs w:val="24"/>
          <w14:ligatures w14:val="standardContextual"/>
        </w:rPr>
        <w:fldChar w:fldCharType="end"/>
      </w:r>
      <w:r w:rsidRPr="00DA0E0B">
        <w:rPr>
          <w:rFonts w:ascii="Times New Roman" w:hAnsi="Times New Roman" w:cs="Times New Roman"/>
          <w:b/>
          <w:bCs/>
        </w:rPr>
        <w:t xml:space="preserve"> </w:t>
      </w:r>
      <w:r>
        <w:rPr>
          <w:rFonts w:ascii="Times New Roman" w:hAnsi="Times New Roman" w:cs="Times New Roman"/>
          <w:b/>
          <w:bCs/>
        </w:rPr>
        <w:t xml:space="preserve">Additional file 2 Fig. S1. Diffusion of BMEC EVs across a bare transwell filter. </w:t>
      </w:r>
      <w:r>
        <w:rPr>
          <w:rFonts w:ascii="Times New Roman" w:hAnsi="Times New Roman" w:cs="Times New Roman"/>
        </w:rPr>
        <w:t xml:space="preserve">Conditioned media was taken separately from the apical and basolateral conditioned media from BMEC grown and labeled as described in Fig.1 and applied to the respective compartments of a separate dual-chamber insert left devoid of cells before overnight incubation and isolation for analysis by flow cytometry. </w:t>
      </w:r>
      <w:r>
        <w:rPr>
          <w:rFonts w:ascii="Times New Roman" w:hAnsi="Times New Roman" w:cs="Times New Roman"/>
          <w:b/>
          <w:bCs/>
        </w:rPr>
        <w:t xml:space="preserve">(a) </w:t>
      </w:r>
      <w:r>
        <w:rPr>
          <w:rFonts w:ascii="Times New Roman" w:hAnsi="Times New Roman" w:cs="Times New Roman"/>
        </w:rPr>
        <w:t>Distribution of CellBrite</w:t>
      </w:r>
      <w:r w:rsidRPr="00D27684">
        <w:rPr>
          <w:rFonts w:ascii="Times New Roman" w:hAnsi="Times New Roman" w:cs="Times New Roman"/>
          <w:vertAlign w:val="superscript"/>
        </w:rPr>
        <w:sym w:font="Symbol" w:char="F0E2"/>
      </w:r>
      <w:r>
        <w:rPr>
          <w:rFonts w:ascii="Times New Roman" w:hAnsi="Times New Roman" w:cs="Times New Roman"/>
        </w:rPr>
        <w:t xml:space="preserve"> Cytoplasmic Orange/555</w:t>
      </w:r>
      <w:r w:rsidRPr="00ED1EF8">
        <w:rPr>
          <w:rFonts w:ascii="Times New Roman" w:hAnsi="Times New Roman" w:cs="Times New Roman"/>
          <w:vertAlign w:val="superscript"/>
        </w:rPr>
        <w:t>+</w:t>
      </w:r>
      <w:r>
        <w:rPr>
          <w:rFonts w:ascii="Times New Roman" w:hAnsi="Times New Roman" w:cs="Times New Roman"/>
          <w:vertAlign w:val="superscript"/>
        </w:rPr>
        <w:t xml:space="preserve"> </w:t>
      </w:r>
      <w:r>
        <w:rPr>
          <w:rFonts w:ascii="Times New Roman" w:hAnsi="Times New Roman" w:cs="Times New Roman"/>
        </w:rPr>
        <w:t xml:space="preserve">EVs. </w:t>
      </w:r>
      <w:r>
        <w:rPr>
          <w:rFonts w:ascii="Times New Roman" w:hAnsi="Times New Roman" w:cs="Times New Roman"/>
          <w:b/>
          <w:bCs/>
        </w:rPr>
        <w:t xml:space="preserve">(b) </w:t>
      </w:r>
      <w:r>
        <w:rPr>
          <w:rFonts w:ascii="Times New Roman" w:hAnsi="Times New Roman" w:cs="Times New Roman"/>
        </w:rPr>
        <w:t>Distribution of CellBrite</w:t>
      </w:r>
      <w:r w:rsidRPr="00170298">
        <w:rPr>
          <w:rFonts w:ascii="Times New Roman" w:hAnsi="Times New Roman" w:cs="Times New Roman"/>
          <w:vertAlign w:val="superscript"/>
        </w:rPr>
        <w:sym w:font="Symbol" w:char="F0E2"/>
      </w:r>
      <w:r>
        <w:rPr>
          <w:rFonts w:ascii="Times New Roman" w:hAnsi="Times New Roman" w:cs="Times New Roman"/>
        </w:rPr>
        <w:t xml:space="preserve"> Cytoplasmic Green/488</w:t>
      </w:r>
      <w:r w:rsidRPr="00651C98">
        <w:rPr>
          <w:rFonts w:ascii="Times New Roman" w:hAnsi="Times New Roman" w:cs="Times New Roman"/>
          <w:vertAlign w:val="superscript"/>
        </w:rPr>
        <w:t>+</w:t>
      </w:r>
      <w:r>
        <w:rPr>
          <w:rFonts w:ascii="Times New Roman" w:hAnsi="Times New Roman" w:cs="Times New Roman"/>
          <w:vertAlign w:val="superscript"/>
        </w:rPr>
        <w:t xml:space="preserve"> </w:t>
      </w:r>
      <w:r>
        <w:rPr>
          <w:rFonts w:ascii="Times New Roman" w:hAnsi="Times New Roman" w:cs="Times New Roman"/>
        </w:rPr>
        <w:t xml:space="preserve">EVs. Bar graphs depict the mean ±SEM. All significance values were determined using paired, two-tailed t tests. </w:t>
      </w:r>
      <w:r w:rsidRPr="00DC05BC">
        <w:rPr>
          <w:rFonts w:ascii="Times New Roman" w:hAnsi="Times New Roman" w:cs="Times New Roman"/>
        </w:rPr>
        <w:t>**</w:t>
      </w:r>
      <w:r>
        <w:rPr>
          <w:rFonts w:ascii="Times New Roman" w:hAnsi="Times New Roman" w:cs="Times New Roman"/>
        </w:rPr>
        <w:t>*</w:t>
      </w:r>
      <w:r w:rsidRPr="00DC05BC">
        <w:rPr>
          <w:rFonts w:ascii="Times New Roman" w:hAnsi="Times New Roman" w:cs="Times New Roman"/>
          <w:i/>
          <w:iCs/>
        </w:rPr>
        <w:t>p</w:t>
      </w:r>
      <w:r w:rsidRPr="00DC05BC">
        <w:rPr>
          <w:rFonts w:ascii="Times New Roman" w:hAnsi="Times New Roman" w:cs="Times New Roman"/>
        </w:rPr>
        <w:t xml:space="preserve"> &lt;0.0</w:t>
      </w:r>
      <w:r>
        <w:rPr>
          <w:rFonts w:ascii="Times New Roman" w:hAnsi="Times New Roman" w:cs="Times New Roman"/>
        </w:rPr>
        <w:t>0</w:t>
      </w:r>
      <w:r w:rsidRPr="00DC05BC">
        <w:rPr>
          <w:rFonts w:ascii="Times New Roman" w:hAnsi="Times New Roman" w:cs="Times New Roman"/>
        </w:rPr>
        <w:t>1</w:t>
      </w:r>
      <w:r>
        <w:rPr>
          <w:rFonts w:ascii="Times New Roman" w:hAnsi="Times New Roman" w:cs="Times New Roman"/>
        </w:rPr>
        <w:t>; ns=</w:t>
      </w:r>
      <w:r>
        <w:rPr>
          <w:rFonts w:ascii="Times New Roman" w:hAnsi="Times New Roman" w:cs="Times New Roman"/>
          <w:i/>
          <w:iCs/>
        </w:rPr>
        <w:t>p</w:t>
      </w:r>
      <w:r w:rsidRPr="00ED1EF8">
        <w:rPr>
          <w:rFonts w:ascii="Times New Roman" w:hAnsi="Times New Roman" w:cs="Times New Roman"/>
        </w:rPr>
        <w:t>&gt;0.05</w:t>
      </w:r>
      <w:r>
        <w:rPr>
          <w:rFonts w:ascii="Times New Roman" w:hAnsi="Times New Roman" w:cs="Times New Roman"/>
        </w:rPr>
        <w:t>.</w:t>
      </w:r>
    </w:p>
    <w:p w14:paraId="184E626B" w14:textId="77777777" w:rsidR="00DA0E0B" w:rsidRDefault="00DA0E0B" w:rsidP="00DA0E0B">
      <w:pPr>
        <w:rPr>
          <w:rFonts w:ascii="Times New Roman" w:hAnsi="Times New Roman" w:cs="Times New Roman"/>
        </w:rPr>
      </w:pPr>
    </w:p>
    <w:p w14:paraId="1222535A" w14:textId="77777777" w:rsidR="00DA0E0B" w:rsidRDefault="00DA0E0B" w:rsidP="00DA0E0B">
      <w:pPr>
        <w:rPr>
          <w:rFonts w:ascii="Times New Roman" w:hAnsi="Times New Roman" w:cs="Times New Roman"/>
        </w:rPr>
      </w:pPr>
      <w:r>
        <w:rPr>
          <w:rFonts w:ascii="Times New Roman" w:hAnsi="Times New Roman" w:cs="Times New Roman"/>
          <w:b/>
          <w:bCs/>
        </w:rPr>
        <w:t xml:space="preserve">Additional file 3: Fig. S2. Differential centrifugation pellets distinct BMEC EV populations. </w:t>
      </w:r>
      <w:r>
        <w:rPr>
          <w:rFonts w:ascii="Times New Roman" w:hAnsi="Times New Roman" w:cs="Times New Roman"/>
        </w:rPr>
        <w:t xml:space="preserve">Conditioned media was taken from BMEC cultures and sequentially spun at 8,000 x g to pellet cellular debris, 15,000 x g to pellet large EVs, 60,000 x g to pellet intermediate sized EVs and </w:t>
      </w:r>
      <w:r>
        <w:rPr>
          <w:rFonts w:ascii="Times New Roman" w:hAnsi="Times New Roman" w:cs="Times New Roman"/>
        </w:rPr>
        <w:lastRenderedPageBreak/>
        <w:t>100,000 x g to pellet small EVs. To observe differences between centrifugation conditions the large and small EV pellets were resuspended in 1mL and analyzed via nanoparticle tracking analysis.</w:t>
      </w:r>
    </w:p>
    <w:p w14:paraId="49E46B2D" w14:textId="77777777" w:rsidR="00DA0E0B" w:rsidRDefault="00DA0E0B" w:rsidP="00DA0E0B">
      <w:pPr>
        <w:rPr>
          <w:rFonts w:ascii="Times New Roman" w:hAnsi="Times New Roman" w:cs="Times New Roman"/>
        </w:rPr>
      </w:pPr>
    </w:p>
    <w:p w14:paraId="5AF08220" w14:textId="77777777" w:rsidR="00DA0E0B" w:rsidRDefault="00DA0E0B" w:rsidP="00DA0E0B">
      <w:pPr>
        <w:rPr>
          <w:rFonts w:ascii="Times New Roman" w:hAnsi="Times New Roman" w:cs="Times New Roman"/>
        </w:rPr>
      </w:pPr>
      <w:r>
        <w:rPr>
          <w:rFonts w:ascii="Times New Roman" w:hAnsi="Times New Roman" w:cs="Times New Roman"/>
          <w:b/>
          <w:bCs/>
        </w:rPr>
        <w:t>Additional file 4:</w:t>
      </w:r>
      <w:r w:rsidRPr="00DC05BC">
        <w:rPr>
          <w:rFonts w:ascii="Times New Roman" w:hAnsi="Times New Roman" w:cs="Times New Roman"/>
          <w:b/>
          <w:bCs/>
        </w:rPr>
        <w:t xml:space="preserve"> Fig. </w:t>
      </w:r>
      <w:r>
        <w:rPr>
          <w:rFonts w:ascii="Times New Roman" w:hAnsi="Times New Roman" w:cs="Times New Roman"/>
          <w:b/>
          <w:bCs/>
        </w:rPr>
        <w:t>S3</w:t>
      </w:r>
      <w:r w:rsidRPr="00DC05BC">
        <w:rPr>
          <w:rFonts w:ascii="Times New Roman" w:hAnsi="Times New Roman" w:cs="Times New Roman"/>
          <w:b/>
          <w:bCs/>
        </w:rPr>
        <w:t>. Representative flow p</w:t>
      </w:r>
      <w:r>
        <w:rPr>
          <w:rFonts w:ascii="Times New Roman" w:hAnsi="Times New Roman" w:cs="Times New Roman"/>
          <w:b/>
          <w:bCs/>
        </w:rPr>
        <w:t>l</w:t>
      </w:r>
      <w:r w:rsidRPr="00DC05BC">
        <w:rPr>
          <w:rFonts w:ascii="Times New Roman" w:hAnsi="Times New Roman" w:cs="Times New Roman"/>
          <w:b/>
          <w:bCs/>
        </w:rPr>
        <w:t xml:space="preserve">ots of BMEC EV signal on splenocytes. </w:t>
      </w:r>
      <w:r w:rsidRPr="00DC05BC">
        <w:rPr>
          <w:rFonts w:ascii="Times New Roman" w:hAnsi="Times New Roman" w:cs="Times New Roman"/>
        </w:rPr>
        <w:t xml:space="preserve">After 16 hours of coculture with dual-labeled BMEC, leukocytes were separated from </w:t>
      </w:r>
      <w:r w:rsidRPr="00DC05BC">
        <w:rPr>
          <w:rFonts w:ascii="Times New Roman" w:hAnsi="Times New Roman" w:cs="Times New Roman"/>
          <w:b/>
          <w:bCs/>
        </w:rPr>
        <w:t>(a)</w:t>
      </w:r>
      <w:r w:rsidRPr="00DC05BC">
        <w:rPr>
          <w:rFonts w:ascii="Times New Roman" w:hAnsi="Times New Roman" w:cs="Times New Roman"/>
        </w:rPr>
        <w:t xml:space="preserve"> conditioned media in the apical chamber, representing those which have not yet undergone transmigration, and </w:t>
      </w:r>
      <w:r w:rsidRPr="00DC05BC">
        <w:rPr>
          <w:rFonts w:ascii="Times New Roman" w:hAnsi="Times New Roman" w:cs="Times New Roman"/>
          <w:b/>
          <w:bCs/>
        </w:rPr>
        <w:t>(b)</w:t>
      </w:r>
      <w:r w:rsidRPr="00DC05BC">
        <w:rPr>
          <w:rFonts w:ascii="Times New Roman" w:hAnsi="Times New Roman" w:cs="Times New Roman"/>
        </w:rPr>
        <w:t xml:space="preserve"> conditioned media in the basolateral chamber,</w:t>
      </w:r>
      <w:r w:rsidRPr="00DC05BC">
        <w:rPr>
          <w:rFonts w:cs="Arial"/>
        </w:rPr>
        <w:t xml:space="preserve"> </w:t>
      </w:r>
      <w:r w:rsidRPr="00DC05BC">
        <w:rPr>
          <w:rFonts w:ascii="Times New Roman" w:hAnsi="Times New Roman" w:cs="Times New Roman"/>
        </w:rPr>
        <w:t>representing those which have undergone transmigration. Cells from both groups were then immunophenotyped and analyzed for the presence of apically (C</w:t>
      </w:r>
      <w:r>
        <w:rPr>
          <w:rFonts w:ascii="Times New Roman" w:hAnsi="Times New Roman" w:cs="Times New Roman"/>
        </w:rPr>
        <w:t>ell</w:t>
      </w:r>
      <w:r w:rsidRPr="00DC05BC">
        <w:rPr>
          <w:rFonts w:ascii="Times New Roman" w:hAnsi="Times New Roman" w:cs="Times New Roman"/>
        </w:rPr>
        <w:t>B</w:t>
      </w:r>
      <w:r>
        <w:rPr>
          <w:rFonts w:ascii="Times New Roman" w:hAnsi="Times New Roman" w:cs="Times New Roman"/>
        </w:rPr>
        <w:t>rite</w:t>
      </w:r>
      <w:r w:rsidRPr="00693645">
        <w:rPr>
          <w:rFonts w:ascii="Times New Roman" w:hAnsi="Times New Roman" w:cs="Times New Roman"/>
          <w:vertAlign w:val="superscript"/>
        </w:rPr>
        <w:sym w:font="Symbol" w:char="F0E2"/>
      </w:r>
      <w:r w:rsidRPr="00DC05BC">
        <w:rPr>
          <w:rFonts w:ascii="Times New Roman" w:hAnsi="Times New Roman" w:cs="Times New Roman"/>
        </w:rPr>
        <w:t xml:space="preserve"> Fix 640</w:t>
      </w:r>
      <w:r w:rsidRPr="00DC05BC">
        <w:rPr>
          <w:rFonts w:ascii="Times New Roman" w:hAnsi="Times New Roman" w:cs="Times New Roman"/>
          <w:vertAlign w:val="superscript"/>
        </w:rPr>
        <w:t>+</w:t>
      </w:r>
      <w:r w:rsidRPr="00DC05BC">
        <w:rPr>
          <w:rFonts w:ascii="Times New Roman" w:hAnsi="Times New Roman" w:cs="Times New Roman"/>
        </w:rPr>
        <w:t>) and basolaterally (C</w:t>
      </w:r>
      <w:r>
        <w:rPr>
          <w:rFonts w:ascii="Times New Roman" w:hAnsi="Times New Roman" w:cs="Times New Roman"/>
        </w:rPr>
        <w:t>ell</w:t>
      </w:r>
      <w:r w:rsidRPr="00DC05BC">
        <w:rPr>
          <w:rFonts w:ascii="Times New Roman" w:hAnsi="Times New Roman" w:cs="Times New Roman"/>
        </w:rPr>
        <w:t>B</w:t>
      </w:r>
      <w:r>
        <w:rPr>
          <w:rFonts w:ascii="Times New Roman" w:hAnsi="Times New Roman" w:cs="Times New Roman"/>
        </w:rPr>
        <w:t>rite</w:t>
      </w:r>
      <w:r w:rsidRPr="00693645">
        <w:rPr>
          <w:rFonts w:ascii="Times New Roman" w:hAnsi="Times New Roman" w:cs="Times New Roman"/>
          <w:vertAlign w:val="superscript"/>
        </w:rPr>
        <w:sym w:font="Symbol" w:char="F0E2"/>
      </w:r>
      <w:r w:rsidRPr="00DC05BC">
        <w:rPr>
          <w:rFonts w:ascii="Times New Roman" w:hAnsi="Times New Roman" w:cs="Times New Roman"/>
        </w:rPr>
        <w:t xml:space="preserve">  Fix 488</w:t>
      </w:r>
      <w:r w:rsidRPr="00DC05BC">
        <w:rPr>
          <w:rFonts w:ascii="Times New Roman" w:hAnsi="Times New Roman" w:cs="Times New Roman"/>
          <w:vertAlign w:val="superscript"/>
        </w:rPr>
        <w:t>+</w:t>
      </w:r>
      <w:r w:rsidRPr="00DC05BC">
        <w:rPr>
          <w:rFonts w:ascii="Times New Roman" w:hAnsi="Times New Roman" w:cs="Times New Roman"/>
        </w:rPr>
        <w:t>) released BMEC EVs. Gates were created based on unstained controls.</w:t>
      </w:r>
    </w:p>
    <w:p w14:paraId="57BCEB3A" w14:textId="77777777" w:rsidR="00DA0E0B" w:rsidRDefault="00DA0E0B" w:rsidP="00DA0E0B">
      <w:pPr>
        <w:rPr>
          <w:rFonts w:ascii="Times New Roman" w:hAnsi="Times New Roman" w:cs="Times New Roman"/>
        </w:rPr>
      </w:pPr>
    </w:p>
    <w:p w14:paraId="0598F59A" w14:textId="77777777" w:rsidR="00DA0E0B" w:rsidRDefault="00DA0E0B" w:rsidP="00DA0E0B">
      <w:pPr>
        <w:rPr>
          <w:rFonts w:ascii="Times New Roman" w:hAnsi="Times New Roman" w:cs="Times New Roman"/>
        </w:rPr>
      </w:pPr>
      <w:r>
        <w:rPr>
          <w:rFonts w:ascii="Times New Roman" w:hAnsi="Times New Roman" w:cs="Times New Roman"/>
          <w:b/>
          <w:bCs/>
        </w:rPr>
        <w:t>Additional file 5:</w:t>
      </w:r>
      <w:r w:rsidRPr="00ED1EF8">
        <w:rPr>
          <w:rFonts w:ascii="Times New Roman" w:hAnsi="Times New Roman" w:cs="Times New Roman"/>
          <w:b/>
          <w:bCs/>
        </w:rPr>
        <w:t xml:space="preserve"> Fig. </w:t>
      </w:r>
      <w:r>
        <w:rPr>
          <w:rFonts w:ascii="Times New Roman" w:hAnsi="Times New Roman" w:cs="Times New Roman"/>
          <w:b/>
          <w:bCs/>
        </w:rPr>
        <w:t>S4</w:t>
      </w:r>
      <w:r w:rsidRPr="00ED1EF8">
        <w:rPr>
          <w:rFonts w:ascii="Times New Roman" w:hAnsi="Times New Roman" w:cs="Times New Roman"/>
          <w:b/>
          <w:bCs/>
        </w:rPr>
        <w:t xml:space="preserve">. Gating strategy for immunophenotyping of splenocytes. </w:t>
      </w:r>
      <w:r w:rsidRPr="00ED1EF8">
        <w:rPr>
          <w:rFonts w:ascii="Times New Roman" w:hAnsi="Times New Roman" w:cs="Times New Roman"/>
        </w:rPr>
        <w:t>Following overnight incubation with BMEC or BMEC conditioned media, splenocytes were stained and prepared for flow cytometry. Briefly, live leukocytes were gated upon by their side scatter properties and exclusion of the amine reactive dye Live-or-Dye 330/410, then highly autofluorescent cells were excluded to avoid a false CellBrite</w:t>
      </w:r>
      <w:r w:rsidRPr="00170298">
        <w:rPr>
          <w:rFonts w:ascii="Times New Roman" w:hAnsi="Times New Roman" w:cs="Times New Roman"/>
          <w:vertAlign w:val="superscript"/>
        </w:rPr>
        <w:sym w:font="Symbol" w:char="F0E2"/>
      </w:r>
      <w:r w:rsidRPr="00ED1EF8">
        <w:rPr>
          <w:rFonts w:ascii="Times New Roman" w:hAnsi="Times New Roman" w:cs="Times New Roman"/>
        </w:rPr>
        <w:t xml:space="preserve"> Fix 488 signal. Subsequently, CD45</w:t>
      </w:r>
      <w:r w:rsidRPr="00ED1EF8">
        <w:rPr>
          <w:rFonts w:ascii="Times New Roman" w:hAnsi="Times New Roman" w:cs="Times New Roman"/>
          <w:vertAlign w:val="superscript"/>
        </w:rPr>
        <w:t xml:space="preserve">+ </w:t>
      </w:r>
      <w:r w:rsidRPr="00ED1EF8">
        <w:rPr>
          <w:rFonts w:ascii="Times New Roman" w:hAnsi="Times New Roman" w:cs="Times New Roman"/>
        </w:rPr>
        <w:t>cells were divided into high (containing neutrophils and monocytes) and low (containing T cells and B cells) SSC-A populations and gated based on the presence of immunophenotyping markers compared to unstained controls.</w:t>
      </w:r>
    </w:p>
    <w:p w14:paraId="5812CD24" w14:textId="77777777" w:rsidR="00DA0E0B" w:rsidRDefault="00DA0E0B" w:rsidP="00DA0E0B">
      <w:pPr>
        <w:rPr>
          <w:rFonts w:ascii="Times New Roman" w:hAnsi="Times New Roman" w:cs="Times New Roman"/>
        </w:rPr>
      </w:pPr>
    </w:p>
    <w:p w14:paraId="6454C0C2" w14:textId="77777777" w:rsidR="00DA0E0B" w:rsidRDefault="00DA0E0B" w:rsidP="00DA0E0B">
      <w:pPr>
        <w:rPr>
          <w:rFonts w:ascii="Times New Roman" w:hAnsi="Times New Roman" w:cs="Times New Roman"/>
        </w:rPr>
      </w:pPr>
      <w:r>
        <w:rPr>
          <w:rFonts w:ascii="Times New Roman" w:hAnsi="Times New Roman" w:cs="Times New Roman"/>
          <w:b/>
          <w:bCs/>
        </w:rPr>
        <w:lastRenderedPageBreak/>
        <w:t xml:space="preserve">Additional file 6: Fig. S5. Chemokine exposure does not alter BMEC EV release. </w:t>
      </w:r>
      <w:r>
        <w:rPr>
          <w:rFonts w:ascii="Times New Roman" w:hAnsi="Times New Roman" w:cs="Times New Roman"/>
        </w:rPr>
        <w:t xml:space="preserve">BMECs were cultured and labeled on dual chamber inserts as described in Fig. 1 with or without the addition of a chemokine cocktail containing CCL2, CCL5, CXCL1 and CXCL13 in the basolateral chamber after labeling. EVs were harvested from conditioned media the next day for analysis by flow cytometry. </w:t>
      </w:r>
      <w:r>
        <w:rPr>
          <w:rFonts w:ascii="Times New Roman" w:hAnsi="Times New Roman" w:cs="Times New Roman"/>
          <w:b/>
          <w:bCs/>
        </w:rPr>
        <w:t>(a)</w:t>
      </w:r>
      <w:r>
        <w:rPr>
          <w:rFonts w:ascii="Times New Roman" w:hAnsi="Times New Roman" w:cs="Times New Roman"/>
        </w:rPr>
        <w:t xml:space="preserve"> % polarity of EVs positive for each membrane dye in their respective chambers was calculated. </w:t>
      </w:r>
      <w:r>
        <w:rPr>
          <w:rFonts w:ascii="Times New Roman" w:hAnsi="Times New Roman" w:cs="Times New Roman"/>
          <w:b/>
          <w:bCs/>
        </w:rPr>
        <w:t>(b)</w:t>
      </w:r>
      <w:r>
        <w:rPr>
          <w:rFonts w:ascii="Times New Roman" w:hAnsi="Times New Roman" w:cs="Times New Roman"/>
        </w:rPr>
        <w:t xml:space="preserve"> Total number of EVs of each color are reported in their respective chambers. Bar graphs depict the mean ±SEM. All significance values were determined using a two-tailed Student’s t test. ns=</w:t>
      </w:r>
      <w:r>
        <w:rPr>
          <w:rFonts w:ascii="Times New Roman" w:hAnsi="Times New Roman" w:cs="Times New Roman"/>
          <w:i/>
          <w:iCs/>
        </w:rPr>
        <w:t>p</w:t>
      </w:r>
      <w:r w:rsidRPr="00651C98">
        <w:rPr>
          <w:rFonts w:ascii="Times New Roman" w:hAnsi="Times New Roman" w:cs="Times New Roman"/>
        </w:rPr>
        <w:t>&gt;0.05</w:t>
      </w:r>
      <w:r>
        <w:rPr>
          <w:rFonts w:ascii="Times New Roman" w:hAnsi="Times New Roman" w:cs="Times New Roman"/>
        </w:rPr>
        <w:t>.</w:t>
      </w:r>
    </w:p>
    <w:p w14:paraId="2273B4C9" w14:textId="77777777" w:rsidR="00DA0E0B" w:rsidRDefault="00DA0E0B" w:rsidP="00DA0E0B">
      <w:pPr>
        <w:rPr>
          <w:rFonts w:ascii="Times New Roman" w:hAnsi="Times New Roman" w:cs="Times New Roman"/>
        </w:rPr>
      </w:pPr>
    </w:p>
    <w:p w14:paraId="4BEB427C" w14:textId="77777777" w:rsidR="00DA0E0B" w:rsidRDefault="00DA0E0B" w:rsidP="00DA0E0B">
      <w:pPr>
        <w:rPr>
          <w:rFonts w:ascii="Times New Roman" w:hAnsi="Times New Roman" w:cs="Times New Roman"/>
        </w:rPr>
      </w:pPr>
      <w:r>
        <w:rPr>
          <w:rFonts w:ascii="Times New Roman" w:hAnsi="Times New Roman" w:cs="Times New Roman"/>
          <w:b/>
          <w:bCs/>
        </w:rPr>
        <w:t xml:space="preserve">Additional file 7: Fig. S6. Viability determination and quantification of EV release from GW4869 treated cells. </w:t>
      </w:r>
      <w:r w:rsidRPr="00ED1EF8">
        <w:rPr>
          <w:rFonts w:ascii="Times New Roman" w:hAnsi="Times New Roman" w:cs="Times New Roman"/>
          <w:b/>
          <w:bCs/>
        </w:rPr>
        <w:t>(a)</w:t>
      </w:r>
      <w:r>
        <w:rPr>
          <w:rFonts w:ascii="Times New Roman" w:hAnsi="Times New Roman" w:cs="Times New Roman"/>
          <w:b/>
          <w:bCs/>
        </w:rPr>
        <w:t xml:space="preserve"> </w:t>
      </w:r>
      <w:r>
        <w:rPr>
          <w:rFonts w:ascii="Times New Roman" w:hAnsi="Times New Roman" w:cs="Times New Roman"/>
        </w:rPr>
        <w:t xml:space="preserve">Viability of BMEC after treatment with a range of GW4869 concentrations or a vehicle control as determined by MTS assay. Data are reported as O.D values minus blank. Significance values were determined by ordinary one-way ANOVA followed by Tukey’s multiple comparisons test. </w:t>
      </w:r>
      <w:r>
        <w:rPr>
          <w:rFonts w:ascii="Times New Roman" w:hAnsi="Times New Roman" w:cs="Times New Roman"/>
          <w:b/>
          <w:bCs/>
        </w:rPr>
        <w:t xml:space="preserve">(b) </w:t>
      </w:r>
      <w:r>
        <w:rPr>
          <w:rFonts w:ascii="Times New Roman" w:hAnsi="Times New Roman" w:cs="Times New Roman"/>
        </w:rPr>
        <w:t xml:space="preserve">Viability of leukocytes after treatment with 5 µM GW4869 or a vehicle control as determined by MTS assay. Data are reported as O.D. values minus blank. Significance values were determined using a two-tailed Student’s t test. </w:t>
      </w:r>
      <w:r>
        <w:rPr>
          <w:rFonts w:ascii="Times New Roman" w:hAnsi="Times New Roman" w:cs="Times New Roman"/>
          <w:b/>
          <w:bCs/>
        </w:rPr>
        <w:t xml:space="preserve">(c) </w:t>
      </w:r>
      <w:r>
        <w:rPr>
          <w:rFonts w:ascii="Times New Roman" w:hAnsi="Times New Roman" w:cs="Times New Roman"/>
        </w:rPr>
        <w:t>Quantification of total</w:t>
      </w:r>
      <w:r>
        <w:rPr>
          <w:rFonts w:ascii="Times New Roman" w:hAnsi="Times New Roman" w:cs="Times New Roman"/>
          <w:vertAlign w:val="subscript"/>
        </w:rPr>
        <w:t xml:space="preserve"> </w:t>
      </w:r>
      <w:r>
        <w:rPr>
          <w:rFonts w:ascii="Times New Roman" w:hAnsi="Times New Roman" w:cs="Times New Roman"/>
        </w:rPr>
        <w:t xml:space="preserve">EVs isolated from BMEC by nanoparticle tracking analysis after treatment with 5 µM GW4869 or a vehicle control. Significance values were determined using a two-tailed Student’s t test. </w:t>
      </w:r>
      <w:r>
        <w:rPr>
          <w:rFonts w:ascii="Times New Roman" w:hAnsi="Times New Roman" w:cs="Times New Roman"/>
          <w:b/>
          <w:bCs/>
        </w:rPr>
        <w:t xml:space="preserve">(d) </w:t>
      </w:r>
      <w:r>
        <w:rPr>
          <w:rFonts w:ascii="Times New Roman" w:hAnsi="Times New Roman" w:cs="Times New Roman"/>
        </w:rPr>
        <w:t>Quantification of tetraspanin</w:t>
      </w:r>
      <w:r>
        <w:rPr>
          <w:rFonts w:ascii="Times New Roman" w:hAnsi="Times New Roman" w:cs="Times New Roman"/>
          <w:vertAlign w:val="superscript"/>
        </w:rPr>
        <w:t xml:space="preserve">+ </w:t>
      </w:r>
      <w:r>
        <w:rPr>
          <w:rFonts w:ascii="Times New Roman" w:hAnsi="Times New Roman" w:cs="Times New Roman"/>
        </w:rPr>
        <w:t>CellBrite</w:t>
      </w:r>
      <w:r w:rsidRPr="00170298">
        <w:rPr>
          <w:rFonts w:ascii="Times New Roman" w:hAnsi="Times New Roman" w:cs="Times New Roman"/>
          <w:vertAlign w:val="superscript"/>
        </w:rPr>
        <w:sym w:font="Symbol" w:char="F0E2"/>
      </w:r>
      <w:r>
        <w:rPr>
          <w:rFonts w:ascii="Times New Roman" w:hAnsi="Times New Roman" w:cs="Times New Roman"/>
        </w:rPr>
        <w:t xml:space="preserve"> Cytoplasmic Orange/555</w:t>
      </w:r>
      <w:r>
        <w:rPr>
          <w:rFonts w:ascii="Times New Roman" w:hAnsi="Times New Roman" w:cs="Times New Roman"/>
          <w:vertAlign w:val="superscript"/>
        </w:rPr>
        <w:t>+</w:t>
      </w:r>
      <w:r>
        <w:rPr>
          <w:rFonts w:ascii="Times New Roman" w:hAnsi="Times New Roman" w:cs="Times New Roman"/>
          <w:vertAlign w:val="subscript"/>
        </w:rPr>
        <w:t xml:space="preserve"> </w:t>
      </w:r>
      <w:r>
        <w:rPr>
          <w:rFonts w:ascii="Times New Roman" w:hAnsi="Times New Roman" w:cs="Times New Roman"/>
        </w:rPr>
        <w:t xml:space="preserve">EVs isolated from BMEC by flow cytometry after treatment with 5 µM GW4869 or a vehicle control. Significance values were determined using a two-tailed Student’s t test. Bar graphs depict the mean ±SEM.  </w:t>
      </w:r>
      <w:r w:rsidRPr="00DC05BC">
        <w:rPr>
          <w:rFonts w:ascii="Times New Roman" w:hAnsi="Times New Roman" w:cs="Times New Roman"/>
        </w:rPr>
        <w:t>**</w:t>
      </w:r>
      <w:r w:rsidRPr="00DC05BC">
        <w:rPr>
          <w:rFonts w:ascii="Times New Roman" w:hAnsi="Times New Roman" w:cs="Times New Roman"/>
          <w:i/>
          <w:iCs/>
        </w:rPr>
        <w:t>p</w:t>
      </w:r>
      <w:r w:rsidRPr="00DC05BC">
        <w:rPr>
          <w:rFonts w:ascii="Times New Roman" w:hAnsi="Times New Roman" w:cs="Times New Roman"/>
        </w:rPr>
        <w:t xml:space="preserve"> &lt;0.01</w:t>
      </w:r>
      <w:r>
        <w:rPr>
          <w:rFonts w:ascii="Times New Roman" w:hAnsi="Times New Roman" w:cs="Times New Roman"/>
        </w:rPr>
        <w:t>.</w:t>
      </w:r>
    </w:p>
    <w:p w14:paraId="1B62631E" w14:textId="77777777" w:rsidR="00DA0E0B" w:rsidRDefault="00DA0E0B" w:rsidP="00DA0E0B">
      <w:pPr>
        <w:rPr>
          <w:rFonts w:ascii="Times New Roman" w:hAnsi="Times New Roman" w:cs="Times New Roman"/>
        </w:rPr>
      </w:pPr>
    </w:p>
    <w:p w14:paraId="28814819" w14:textId="77777777" w:rsidR="00DA0E0B" w:rsidRDefault="00DA0E0B" w:rsidP="00DA0E0B">
      <w:pPr>
        <w:rPr>
          <w:rFonts w:ascii="Times New Roman" w:hAnsi="Times New Roman" w:cs="Times New Roman"/>
        </w:rPr>
      </w:pPr>
      <w:r>
        <w:rPr>
          <w:rFonts w:ascii="Times New Roman" w:hAnsi="Times New Roman" w:cs="Times New Roman"/>
          <w:b/>
          <w:bCs/>
        </w:rPr>
        <w:lastRenderedPageBreak/>
        <w:t xml:space="preserve">Additional file 8: Supplementary Video 1. Leukocytes undergoing TEM can be imaged under phase contrast. </w:t>
      </w:r>
      <w:r>
        <w:rPr>
          <w:rFonts w:ascii="Times New Roman" w:hAnsi="Times New Roman" w:cs="Times New Roman"/>
        </w:rPr>
        <w:t>Time-lapse video of leukocytes undergoing TEM</w:t>
      </w:r>
      <w:r>
        <w:rPr>
          <w:rFonts w:ascii="Times New Roman" w:hAnsi="Times New Roman" w:cs="Times New Roman"/>
          <w:b/>
          <w:bCs/>
        </w:rPr>
        <w:t xml:space="preserve"> </w:t>
      </w:r>
      <w:r>
        <w:rPr>
          <w:rFonts w:ascii="Times New Roman" w:hAnsi="Times New Roman" w:cs="Times New Roman"/>
        </w:rPr>
        <w:t>on the µSIM platform after chemokine addition. Leukocytes can be seen going phase dark after migrating under BMEC.</w:t>
      </w:r>
    </w:p>
    <w:p w14:paraId="02B7A487" w14:textId="77777777" w:rsidR="00DA0E0B" w:rsidRDefault="00DA0E0B" w:rsidP="00DA0E0B">
      <w:pPr>
        <w:rPr>
          <w:rFonts w:ascii="Times New Roman" w:hAnsi="Times New Roman" w:cs="Times New Roman"/>
        </w:rPr>
      </w:pPr>
    </w:p>
    <w:p w14:paraId="5A2F806B" w14:textId="77777777" w:rsidR="00DA0E0B" w:rsidRDefault="00DA0E0B" w:rsidP="00DA0E0B">
      <w:pPr>
        <w:rPr>
          <w:rFonts w:ascii="Times New Roman" w:hAnsi="Times New Roman" w:cs="Times New Roman"/>
        </w:rPr>
      </w:pPr>
      <w:r>
        <w:rPr>
          <w:rFonts w:ascii="Times New Roman" w:hAnsi="Times New Roman" w:cs="Times New Roman"/>
          <w:b/>
          <w:bCs/>
        </w:rPr>
        <w:t xml:space="preserve">Additional file 9: Supplementary Video 2. Leukocytes undergoing TEM can be imaged by fluorescence. </w:t>
      </w:r>
      <w:r>
        <w:rPr>
          <w:rFonts w:ascii="Times New Roman" w:hAnsi="Times New Roman" w:cs="Times New Roman"/>
        </w:rPr>
        <w:t>Time-lapse video of leukocytes undergoing TEM</w:t>
      </w:r>
      <w:r>
        <w:rPr>
          <w:rFonts w:ascii="Times New Roman" w:hAnsi="Times New Roman" w:cs="Times New Roman"/>
          <w:b/>
          <w:bCs/>
        </w:rPr>
        <w:t xml:space="preserve"> </w:t>
      </w:r>
      <w:r>
        <w:rPr>
          <w:rFonts w:ascii="Times New Roman" w:hAnsi="Times New Roman" w:cs="Times New Roman"/>
        </w:rPr>
        <w:t>on the µSIM platform after chemokine addition. Leukocyte (</w:t>
      </w:r>
      <w:r>
        <w:rPr>
          <w:rFonts w:ascii="Times New Roman" w:hAnsi="Times New Roman" w:cs="Times New Roman"/>
          <w:color w:val="FF0000"/>
        </w:rPr>
        <w:t>red</w:t>
      </w:r>
      <w:r w:rsidRPr="00ED1EF8">
        <w:rPr>
          <w:rFonts w:ascii="Times New Roman" w:hAnsi="Times New Roman" w:cs="Times New Roman"/>
        </w:rPr>
        <w:t>)</w:t>
      </w:r>
      <w:r>
        <w:rPr>
          <w:rFonts w:ascii="Times New Roman" w:hAnsi="Times New Roman" w:cs="Times New Roman"/>
        </w:rPr>
        <w:t xml:space="preserve"> can be seen disappearing from the focal plane as it migrates beneath BMEC (</w:t>
      </w:r>
      <w:r>
        <w:rPr>
          <w:rFonts w:ascii="Times New Roman" w:hAnsi="Times New Roman" w:cs="Times New Roman"/>
          <w:color w:val="70AD47" w:themeColor="accent6"/>
        </w:rPr>
        <w:t>green</w:t>
      </w:r>
      <w:r>
        <w:rPr>
          <w:rFonts w:ascii="Times New Roman" w:hAnsi="Times New Roman" w:cs="Times New Roman"/>
        </w:rPr>
        <w:t xml:space="preserve">). Additionally, </w:t>
      </w:r>
      <w:r w:rsidRPr="00523733">
        <w:rPr>
          <w:rFonts w:ascii="Times New Roman" w:hAnsi="Times New Roman" w:cs="Times New Roman"/>
          <w:color w:val="EE0000"/>
        </w:rPr>
        <w:t>red</w:t>
      </w:r>
      <w:r>
        <w:rPr>
          <w:rFonts w:ascii="Times New Roman" w:hAnsi="Times New Roman" w:cs="Times New Roman"/>
        </w:rPr>
        <w:t xml:space="preserve"> puncta – originating from leukocyte membrane and of similar size to EVs – can be seen on or within the BMEC to which the migrating leukocyte is adherent. </w:t>
      </w:r>
    </w:p>
    <w:p w14:paraId="6B5E7D9C" w14:textId="77777777" w:rsidR="00DA0E0B" w:rsidRPr="00B46BDD" w:rsidRDefault="00DA0E0B" w:rsidP="00DA0E0B">
      <w:pPr>
        <w:rPr>
          <w:rFonts w:ascii="Times New Roman" w:hAnsi="Times New Roman" w:cs="Times New Roman"/>
        </w:rPr>
      </w:pPr>
    </w:p>
    <w:p w14:paraId="2305BA5E" w14:textId="77777777" w:rsidR="00DA0E0B" w:rsidRDefault="00DA0E0B" w:rsidP="00DA0E0B">
      <w:pPr>
        <w:rPr>
          <w:rFonts w:ascii="Times New Roman" w:hAnsi="Times New Roman" w:cs="Times New Roman"/>
        </w:rPr>
      </w:pPr>
      <w:r>
        <w:rPr>
          <w:rFonts w:ascii="Times New Roman" w:hAnsi="Times New Roman" w:cs="Times New Roman"/>
          <w:b/>
          <w:bCs/>
        </w:rPr>
        <w:t xml:space="preserve">Additional file 10: Supplementary Video 3. Live-time imaging of leukocyte acquiring BMEC EVs while adhered to the apical surface. </w:t>
      </w:r>
      <w:r>
        <w:rPr>
          <w:rFonts w:ascii="Times New Roman" w:hAnsi="Times New Roman" w:cs="Times New Roman"/>
        </w:rPr>
        <w:t xml:space="preserve">Time-lapse video of leukocyte acquiring BMEC EVs as shown in </w:t>
      </w:r>
      <w:r>
        <w:rPr>
          <w:rFonts w:ascii="Times New Roman" w:hAnsi="Times New Roman" w:cs="Times New Roman"/>
          <w:b/>
          <w:bCs/>
        </w:rPr>
        <w:t>Fig6b-e</w:t>
      </w:r>
      <w:r>
        <w:rPr>
          <w:rFonts w:ascii="Times New Roman" w:hAnsi="Times New Roman" w:cs="Times New Roman"/>
        </w:rPr>
        <w:t xml:space="preserve">. </w:t>
      </w:r>
      <w:r w:rsidRPr="005F710E">
        <w:rPr>
          <w:rFonts w:ascii="Times New Roman" w:hAnsi="Times New Roman" w:cs="Times New Roman"/>
        </w:rPr>
        <w:t xml:space="preserve">To highlight areas of overlapping </w:t>
      </w:r>
      <w:r w:rsidRPr="005F710E">
        <w:rPr>
          <w:rFonts w:ascii="Times New Roman" w:hAnsi="Times New Roman" w:cs="Times New Roman"/>
          <w:color w:val="00B050"/>
        </w:rPr>
        <w:t xml:space="preserve">COE-BY </w:t>
      </w:r>
      <w:r w:rsidRPr="005F710E">
        <w:rPr>
          <w:rFonts w:ascii="Times New Roman" w:hAnsi="Times New Roman" w:cs="Times New Roman"/>
        </w:rPr>
        <w:t xml:space="preserve">and </w:t>
      </w:r>
      <w:r w:rsidRPr="005F710E">
        <w:rPr>
          <w:rFonts w:ascii="Times New Roman" w:hAnsi="Times New Roman" w:cs="Times New Roman"/>
          <w:color w:val="FF00FF"/>
        </w:rPr>
        <w:t>CellBrite</w:t>
      </w:r>
      <w:r w:rsidRPr="00D27684">
        <w:rPr>
          <w:rFonts w:ascii="Times New Roman" w:hAnsi="Times New Roman" w:cs="Times New Roman"/>
          <w:color w:val="FF00FF"/>
          <w:vertAlign w:val="superscript"/>
        </w:rPr>
        <w:sym w:font="Symbol" w:char="F0E2"/>
      </w:r>
      <w:r w:rsidRPr="005F710E">
        <w:rPr>
          <w:rFonts w:ascii="Times New Roman" w:hAnsi="Times New Roman" w:cs="Times New Roman"/>
          <w:color w:val="FF00FF"/>
        </w:rPr>
        <w:t xml:space="preserve"> Fix 640 </w:t>
      </w:r>
      <w:r w:rsidRPr="005F710E">
        <w:rPr>
          <w:rFonts w:ascii="Times New Roman" w:hAnsi="Times New Roman" w:cs="Times New Roman"/>
        </w:rPr>
        <w:t>signal, a colocalization channel was created and shown in white.</w:t>
      </w:r>
    </w:p>
    <w:p w14:paraId="0350C0C3" w14:textId="2DCB62D2" w:rsidR="00DA0E0B" w:rsidRPr="00DA0E0B" w:rsidRDefault="00DA0E0B" w:rsidP="00DA0E0B">
      <w:pPr>
        <w:rPr>
          <w:rFonts w:ascii="Times New Roman" w:hAnsi="Times New Roman" w:cs="Times New Roman"/>
          <w:b/>
          <w:bCs/>
          <w:sz w:val="32"/>
          <w:szCs w:val="28"/>
        </w:rPr>
      </w:pPr>
    </w:p>
    <w:sectPr w:rsidR="00DA0E0B" w:rsidRPr="00DA0E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0B"/>
    <w:rsid w:val="00066535"/>
    <w:rsid w:val="007754E3"/>
    <w:rsid w:val="00CC492F"/>
    <w:rsid w:val="00DA0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AA462"/>
  <w15:chartTrackingRefBased/>
  <w15:docId w15:val="{D5FFCB03-93AF-4824-A9C8-74D060F79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92F"/>
    <w:pPr>
      <w:spacing w:line="480" w:lineRule="auto"/>
      <w:jc w:val="both"/>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908</Words>
  <Characters>5176</Characters>
  <Application>Microsoft Office Word</Application>
  <DocSecurity>0</DocSecurity>
  <Lines>43</Lines>
  <Paragraphs>12</Paragraphs>
  <ScaleCrop>false</ScaleCrop>
  <Company/>
  <LinksUpToDate>false</LinksUpToDate>
  <CharactersWithSpaces>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Krajewski</dc:creator>
  <cp:keywords/>
  <dc:description/>
  <cp:lastModifiedBy>Dylan Krajewski</cp:lastModifiedBy>
  <cp:revision>1</cp:revision>
  <dcterms:created xsi:type="dcterms:W3CDTF">2026-06-23T13:38:00Z</dcterms:created>
  <dcterms:modified xsi:type="dcterms:W3CDTF">2026-06-23T13:41:00Z</dcterms:modified>
</cp:coreProperties>
</file>