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AE" w:rsidRPr="003D0AFB" w:rsidRDefault="00B504AE" w:rsidP="00B504AE">
      <w:pPr>
        <w:spacing w:after="0" w:line="480" w:lineRule="auto"/>
        <w:rPr>
          <w:rFonts w:ascii="Times New Roman" w:eastAsia="Times" w:hAnsi="Times New Roman" w:cs="Times New Roman"/>
          <w:b/>
        </w:rPr>
      </w:pPr>
      <w:bookmarkStart w:id="0" w:name="_Hlk129866658"/>
      <w:r w:rsidRPr="003D0AFB">
        <w:rPr>
          <w:rFonts w:ascii="Times New Roman" w:eastAsia="Times" w:hAnsi="Times New Roman" w:cs="Times New Roman"/>
          <w:b/>
        </w:rPr>
        <w:t>Experimental evidence of ants’ role in the carbon cycle: ant biochemicals rapidly increase silicate dissolution weathering under laboratory conditions</w:t>
      </w:r>
    </w:p>
    <w:bookmarkEnd w:id="0"/>
    <w:p w:rsidR="00B504AE" w:rsidRPr="005836CB" w:rsidRDefault="00B504AE" w:rsidP="00B504AE">
      <w:pPr>
        <w:spacing w:after="0" w:line="480" w:lineRule="auto"/>
        <w:rPr>
          <w:rFonts w:ascii="Times New Roman" w:eastAsia="Times" w:hAnsi="Times New Roman" w:cs="Times New Roman"/>
          <w:b/>
        </w:rPr>
      </w:pPr>
    </w:p>
    <w:p w:rsidR="00B504AE" w:rsidRPr="005836CB" w:rsidRDefault="00B504AE" w:rsidP="00B504AE">
      <w:pPr>
        <w:spacing w:after="0" w:line="480" w:lineRule="auto"/>
        <w:rPr>
          <w:rFonts w:ascii="Times New Roman" w:eastAsia="Times" w:hAnsi="Times New Roman" w:cs="Times New Roman"/>
          <w:b/>
        </w:rPr>
      </w:pPr>
      <w:r w:rsidRPr="005836CB">
        <w:rPr>
          <w:rFonts w:ascii="Times New Roman" w:eastAsia="Times" w:hAnsi="Times New Roman" w:cs="Times New Roman"/>
          <w:b/>
        </w:rPr>
        <w:t>Nathan</w:t>
      </w:r>
      <w:r>
        <w:rPr>
          <w:rFonts w:ascii="Times New Roman" w:eastAsia="Times" w:hAnsi="Times New Roman" w:cs="Times New Roman"/>
          <w:b/>
        </w:rPr>
        <w:t xml:space="preserve"> E.</w:t>
      </w:r>
      <w:r w:rsidRPr="005836CB">
        <w:rPr>
          <w:rFonts w:ascii="Times New Roman" w:eastAsia="Times" w:hAnsi="Times New Roman" w:cs="Times New Roman"/>
          <w:b/>
        </w:rPr>
        <w:t xml:space="preserve"> Smith</w:t>
      </w:r>
      <w:r>
        <w:rPr>
          <w:rFonts w:ascii="Times New Roman" w:eastAsia="Times" w:hAnsi="Times New Roman" w:cs="Times New Roman"/>
          <w:b/>
        </w:rPr>
        <w:t>*</w:t>
      </w:r>
      <w:r w:rsidRPr="00742EE2">
        <w:rPr>
          <w:rFonts w:ascii="Times New Roman" w:eastAsia="Times" w:hAnsi="Times New Roman" w:cs="Times New Roman"/>
          <w:b/>
        </w:rPr>
        <w:t xml:space="preserve"> </w:t>
      </w:r>
      <w:r w:rsidRPr="005836CB">
        <w:rPr>
          <w:rFonts w:ascii="Times New Roman" w:eastAsia="Times" w:hAnsi="Times New Roman" w:cs="Times New Roman"/>
          <w:b/>
        </w:rPr>
        <w:t>•</w:t>
      </w:r>
      <w:r>
        <w:rPr>
          <w:rFonts w:ascii="Times New Roman" w:eastAsia="Times" w:hAnsi="Times New Roman" w:cs="Times New Roman"/>
          <w:b/>
        </w:rPr>
        <w:t xml:space="preserve"> </w:t>
      </w:r>
      <w:r w:rsidRPr="005836CB">
        <w:rPr>
          <w:rFonts w:ascii="Times New Roman" w:eastAsia="Times" w:hAnsi="Times New Roman" w:cs="Times New Roman"/>
          <w:b/>
        </w:rPr>
        <w:t>Taro Schmeeckle • Diana Convey • Jennifer Fewell • Ronald I. Dorn</w:t>
      </w:r>
    </w:p>
    <w:p w:rsidR="00B504AE" w:rsidRDefault="00B504AE" w:rsidP="00B504AE">
      <w:pPr>
        <w:spacing w:after="0" w:line="480" w:lineRule="auto"/>
        <w:rPr>
          <w:rFonts w:ascii="Times New Roman" w:eastAsia="Times" w:hAnsi="Times New Roman" w:cs="Times New Roman"/>
        </w:rPr>
      </w:pPr>
    </w:p>
    <w:p w:rsidR="00B504AE" w:rsidRDefault="00B504AE" w:rsidP="00B504AE">
      <w:pPr>
        <w:spacing w:after="0" w:line="480" w:lineRule="auto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*Corresponding author</w:t>
      </w:r>
    </w:p>
    <w:p w:rsidR="00B504AE" w:rsidRDefault="00B504AE" w:rsidP="00B504AE">
      <w:pPr>
        <w:spacing w:after="0" w:line="480" w:lineRule="auto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Nathan E. Smith, College of Arts and Sciences, Bucknell University, Lewisburg PA 17837 USA</w:t>
      </w:r>
    </w:p>
    <w:p w:rsidR="00B504AE" w:rsidRDefault="00B504AE" w:rsidP="00B504AE">
      <w:pPr>
        <w:spacing w:after="0" w:line="480" w:lineRule="auto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Email: nes009@bucknell.edu</w:t>
      </w:r>
    </w:p>
    <w:p w:rsidR="00B504AE" w:rsidRPr="005836CB" w:rsidRDefault="00B504AE" w:rsidP="00B504AE">
      <w:pPr>
        <w:spacing w:after="0" w:line="480" w:lineRule="auto"/>
        <w:rPr>
          <w:rFonts w:ascii="Times New Roman" w:eastAsia="Times" w:hAnsi="Times New Roman" w:cs="Times New Roman"/>
        </w:rPr>
      </w:pPr>
    </w:p>
    <w:p w:rsidR="00B504AE" w:rsidRPr="005836CB" w:rsidRDefault="00B504AE" w:rsidP="00B504AE">
      <w:pPr>
        <w:spacing w:after="0" w:line="480" w:lineRule="auto"/>
        <w:rPr>
          <w:rFonts w:ascii="Times New Roman" w:eastAsia="Times" w:hAnsi="Times New Roman" w:cs="Times New Roman"/>
        </w:rPr>
      </w:pPr>
      <w:r w:rsidRPr="005836CB">
        <w:rPr>
          <w:rFonts w:ascii="Times New Roman" w:eastAsia="Times" w:hAnsi="Times New Roman" w:cs="Times New Roman"/>
        </w:rPr>
        <w:t xml:space="preserve">T. Schmeeckle, </w:t>
      </w:r>
      <w:r>
        <w:rPr>
          <w:rFonts w:ascii="Times New Roman" w:eastAsia="Times" w:hAnsi="Times New Roman" w:cs="Times New Roman"/>
        </w:rPr>
        <w:t>Department of Geographical Sciences &amp; Urban Planning</w:t>
      </w:r>
      <w:r w:rsidRPr="005836CB">
        <w:rPr>
          <w:rFonts w:ascii="Times New Roman" w:eastAsia="Times" w:hAnsi="Times New Roman" w:cs="Times New Roman"/>
        </w:rPr>
        <w:t xml:space="preserve">, Arizona State University, Tempe AZ 85287 USA USA </w:t>
      </w:r>
      <w:r>
        <w:rPr>
          <w:rFonts w:ascii="Times New Roman" w:eastAsia="Times" w:hAnsi="Times New Roman" w:cs="Times New Roman"/>
        </w:rPr>
        <w:t>E</w:t>
      </w:r>
      <w:r w:rsidRPr="005836CB">
        <w:rPr>
          <w:rFonts w:ascii="Times New Roman" w:eastAsia="Times" w:hAnsi="Times New Roman" w:cs="Times New Roman"/>
        </w:rPr>
        <w:t>mail</w:t>
      </w:r>
      <w:r>
        <w:rPr>
          <w:rFonts w:ascii="Times New Roman" w:eastAsia="Times" w:hAnsi="Times New Roman" w:cs="Times New Roman"/>
        </w:rPr>
        <w:t>: cars636@gmail.com</w:t>
      </w:r>
      <w:r w:rsidRPr="005836CB">
        <w:rPr>
          <w:rFonts w:ascii="Times New Roman" w:eastAsia="Times" w:hAnsi="Times New Roman" w:cs="Times New Roman"/>
        </w:rPr>
        <w:t xml:space="preserve"> </w:t>
      </w:r>
    </w:p>
    <w:p w:rsidR="00B504AE" w:rsidRPr="005836CB" w:rsidRDefault="00B504AE" w:rsidP="00B504AE">
      <w:pPr>
        <w:spacing w:after="0" w:line="480" w:lineRule="auto"/>
        <w:rPr>
          <w:rFonts w:ascii="Times New Roman" w:eastAsia="Times" w:hAnsi="Times New Roman" w:cs="Times New Roman"/>
        </w:rPr>
      </w:pPr>
    </w:p>
    <w:p w:rsidR="00B504AE" w:rsidRPr="005836CB" w:rsidRDefault="00B504AE" w:rsidP="00B504AE">
      <w:pPr>
        <w:spacing w:after="0" w:line="480" w:lineRule="auto"/>
        <w:rPr>
          <w:rFonts w:ascii="Times New Roman" w:eastAsia="Times" w:hAnsi="Times New Roman" w:cs="Times New Roman"/>
        </w:rPr>
      </w:pPr>
      <w:r w:rsidRPr="005836CB">
        <w:rPr>
          <w:rFonts w:ascii="Times New Roman" w:eastAsia="Times" w:hAnsi="Times New Roman" w:cs="Times New Roman"/>
        </w:rPr>
        <w:t xml:space="preserve">Jennifer H. Fewell, School of Life Sciences, Arizona State University, Tempe AZ 85287 USA </w:t>
      </w:r>
    </w:p>
    <w:p w:rsidR="00B504AE" w:rsidRPr="005836CB" w:rsidRDefault="00B504AE" w:rsidP="00B504AE">
      <w:pPr>
        <w:spacing w:after="0" w:line="480" w:lineRule="auto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E</w:t>
      </w:r>
      <w:r w:rsidRPr="005836CB">
        <w:rPr>
          <w:rFonts w:ascii="Times New Roman" w:eastAsia="Times" w:hAnsi="Times New Roman" w:cs="Times New Roman"/>
        </w:rPr>
        <w:t>mail: j.fewell@asu.edu</w:t>
      </w:r>
    </w:p>
    <w:p w:rsidR="00B504AE" w:rsidRPr="005836CB" w:rsidRDefault="00B504AE" w:rsidP="00B504AE">
      <w:pPr>
        <w:spacing w:after="0" w:line="480" w:lineRule="auto"/>
        <w:rPr>
          <w:rFonts w:ascii="Times New Roman" w:eastAsia="Times" w:hAnsi="Times New Roman" w:cs="Times New Roman"/>
        </w:rPr>
      </w:pPr>
    </w:p>
    <w:p w:rsidR="00B504AE" w:rsidRPr="005836CB" w:rsidRDefault="00B504AE" w:rsidP="00B504AE">
      <w:pPr>
        <w:spacing w:after="0" w:line="480" w:lineRule="auto"/>
        <w:rPr>
          <w:rFonts w:ascii="Times New Roman" w:eastAsia="Times" w:hAnsi="Times New Roman" w:cs="Times New Roman"/>
        </w:rPr>
      </w:pPr>
      <w:r w:rsidRPr="005836CB">
        <w:rPr>
          <w:rFonts w:ascii="Times New Roman" w:eastAsia="Times" w:hAnsi="Times New Roman" w:cs="Times New Roman"/>
        </w:rPr>
        <w:t xml:space="preserve">Diana Convey, Eyring Materials Center, Arizona State University, Tempe AZ 85287 USA </w:t>
      </w:r>
    </w:p>
    <w:p w:rsidR="00B504AE" w:rsidRPr="005836CB" w:rsidRDefault="00B504AE" w:rsidP="00B504AE">
      <w:pPr>
        <w:spacing w:after="0" w:line="480" w:lineRule="auto"/>
        <w:rPr>
          <w:rFonts w:ascii="Times New Roman" w:eastAsia="Times" w:hAnsi="Times New Roman" w:cs="Times New Roman"/>
        </w:rPr>
      </w:pPr>
      <w:r w:rsidRPr="005836CB">
        <w:rPr>
          <w:rFonts w:ascii="Times New Roman" w:eastAsia="Times" w:hAnsi="Times New Roman" w:cs="Times New Roman"/>
        </w:rPr>
        <w:t>Email: Diana.Convey@asu.edu</w:t>
      </w:r>
    </w:p>
    <w:p w:rsidR="00B504AE" w:rsidRPr="005836CB" w:rsidRDefault="00B504AE" w:rsidP="00B504AE">
      <w:pPr>
        <w:spacing w:after="0" w:line="480" w:lineRule="auto"/>
        <w:rPr>
          <w:rFonts w:ascii="Times New Roman" w:eastAsia="Times" w:hAnsi="Times New Roman" w:cs="Times New Roman"/>
        </w:rPr>
      </w:pPr>
    </w:p>
    <w:p w:rsidR="00B504AE" w:rsidRPr="005836CB" w:rsidRDefault="00B504AE" w:rsidP="00B504AE">
      <w:pPr>
        <w:spacing w:after="0" w:line="480" w:lineRule="auto"/>
        <w:rPr>
          <w:rFonts w:ascii="Times New Roman" w:eastAsia="Times" w:hAnsi="Times New Roman" w:cs="Times New Roman"/>
        </w:rPr>
      </w:pPr>
      <w:r w:rsidRPr="005836CB">
        <w:rPr>
          <w:rFonts w:ascii="Times New Roman" w:eastAsia="Times" w:hAnsi="Times New Roman" w:cs="Times New Roman"/>
        </w:rPr>
        <w:t xml:space="preserve">R.I. Dorn, School of Geographical Sciences &amp; Urban Planning, Arizona State University, Tempe AZ 85287 USA </w:t>
      </w:r>
    </w:p>
    <w:p w:rsidR="00B504AE" w:rsidRPr="005836CB" w:rsidRDefault="00B504AE" w:rsidP="00B504AE">
      <w:pPr>
        <w:spacing w:after="0" w:line="480" w:lineRule="auto"/>
        <w:rPr>
          <w:rFonts w:ascii="Times New Roman" w:eastAsia="Times" w:hAnsi="Times New Roman" w:cs="Times New Roman"/>
        </w:rPr>
      </w:pPr>
      <w:r w:rsidRPr="005836CB">
        <w:rPr>
          <w:rFonts w:ascii="Times New Roman" w:eastAsia="Times" w:hAnsi="Times New Roman" w:cs="Times New Roman"/>
        </w:rPr>
        <w:t>Email: ronald.dorn@asu.edu</w:t>
      </w:r>
    </w:p>
    <w:p w:rsidR="00B504AE" w:rsidRDefault="00B504AE">
      <w:pPr>
        <w:rPr>
          <w:rFonts w:ascii="Times New Roman" w:eastAsia="Times" w:hAnsi="Times New Roman" w:cs="Times New Roman"/>
          <w:b/>
          <w:bCs/>
        </w:rPr>
      </w:pPr>
      <w:r>
        <w:rPr>
          <w:rFonts w:ascii="Times New Roman" w:eastAsia="Times" w:hAnsi="Times New Roman" w:cs="Times New Roman"/>
          <w:b/>
          <w:bCs/>
        </w:rPr>
        <w:br w:type="page"/>
      </w:r>
    </w:p>
    <w:p w:rsidR="00505E58" w:rsidRDefault="00505E58" w:rsidP="00505E58">
      <w:pPr>
        <w:spacing w:line="240" w:lineRule="auto"/>
        <w:rPr>
          <w:rFonts w:ascii="Times New Roman" w:eastAsia="Times" w:hAnsi="Times New Roman" w:cs="Times New Roman"/>
          <w:b/>
          <w:bCs/>
        </w:rPr>
      </w:pPr>
      <w:r w:rsidRPr="00BD2126">
        <w:rPr>
          <w:rFonts w:ascii="Times New Roman" w:eastAsia="Times" w:hAnsi="Times New Roman" w:cs="Times New Roman"/>
          <w:b/>
          <w:bCs/>
        </w:rPr>
        <w:lastRenderedPageBreak/>
        <w:t>Supplemental</w:t>
      </w:r>
      <w:r>
        <w:rPr>
          <w:rFonts w:ascii="Times New Roman" w:eastAsia="Times" w:hAnsi="Times New Roman" w:cs="Times New Roman"/>
          <w:b/>
          <w:bCs/>
        </w:rPr>
        <w:t xml:space="preserve"> Materials</w:t>
      </w:r>
    </w:p>
    <w:p w:rsidR="00505E58" w:rsidRDefault="00505E58" w:rsidP="00505E58">
      <w:pPr>
        <w:spacing w:line="240" w:lineRule="auto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Supplemental methods:</w:t>
      </w:r>
    </w:p>
    <w:p w:rsidR="00505E58" w:rsidRDefault="00505E58" w:rsidP="00505E58">
      <w:pPr>
        <w:spacing w:line="240" w:lineRule="auto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 xml:space="preserve">Electron Microscopic composition of Plagioclase: </w:t>
      </w:r>
    </w:p>
    <w:p w:rsidR="00505E58" w:rsidRDefault="00505E58" w:rsidP="00505E58">
      <w:pPr>
        <w:spacing w:line="240" w:lineRule="auto"/>
        <w:rPr>
          <w:rFonts w:ascii="Times New Roman" w:eastAsia="Times" w:hAnsi="Times New Roman" w:cs="Times New Roman"/>
        </w:rPr>
      </w:pPr>
      <w:r w:rsidRPr="005836CB">
        <w:rPr>
          <w:rFonts w:ascii="Times New Roman" w:eastAsia="Times" w:hAnsi="Times New Roman" w:cs="Times New Roman"/>
        </w:rPr>
        <w:t>51.10% SiO</w:t>
      </w:r>
      <w:r w:rsidRPr="005836CB">
        <w:rPr>
          <w:rFonts w:ascii="Times New Roman" w:eastAsia="Times" w:hAnsi="Times New Roman" w:cs="Times New Roman"/>
          <w:vertAlign w:val="subscript"/>
        </w:rPr>
        <w:t>2</w:t>
      </w:r>
      <w:r w:rsidRPr="005836CB">
        <w:rPr>
          <w:rFonts w:ascii="Times New Roman" w:eastAsia="Times" w:hAnsi="Times New Roman" w:cs="Times New Roman"/>
        </w:rPr>
        <w:t>, 30.63% Al</w:t>
      </w:r>
      <w:r w:rsidRPr="005836CB">
        <w:rPr>
          <w:rFonts w:ascii="Times New Roman" w:eastAsia="Times" w:hAnsi="Times New Roman" w:cs="Times New Roman"/>
          <w:vertAlign w:val="subscript"/>
        </w:rPr>
        <w:t>2</w:t>
      </w:r>
      <w:r w:rsidRPr="005836CB">
        <w:rPr>
          <w:rFonts w:ascii="Times New Roman" w:eastAsia="Times" w:hAnsi="Times New Roman" w:cs="Times New Roman"/>
        </w:rPr>
        <w:t>O</w:t>
      </w:r>
      <w:r w:rsidRPr="005836CB">
        <w:rPr>
          <w:rFonts w:ascii="Times New Roman" w:eastAsia="Times" w:hAnsi="Times New Roman" w:cs="Times New Roman"/>
          <w:vertAlign w:val="subscript"/>
        </w:rPr>
        <w:t>3</w:t>
      </w:r>
      <w:r w:rsidRPr="005836CB">
        <w:rPr>
          <w:rFonts w:ascii="Times New Roman" w:eastAsia="Times" w:hAnsi="Times New Roman" w:cs="Times New Roman"/>
        </w:rPr>
        <w:t>, 0.02% TiO</w:t>
      </w:r>
      <w:r w:rsidRPr="005836CB">
        <w:rPr>
          <w:rFonts w:ascii="Times New Roman" w:eastAsia="Times" w:hAnsi="Times New Roman" w:cs="Times New Roman"/>
          <w:vertAlign w:val="subscript"/>
        </w:rPr>
        <w:t>2</w:t>
      </w:r>
      <w:r w:rsidRPr="005836CB">
        <w:rPr>
          <w:rFonts w:ascii="Times New Roman" w:eastAsia="Times" w:hAnsi="Times New Roman" w:cs="Times New Roman"/>
        </w:rPr>
        <w:t>, 0.23 FeO, 0.01 MnO, 0.01% MgO, 16.64% CaO, 2.11% N</w:t>
      </w:r>
      <w:r w:rsidRPr="005836CB">
        <w:rPr>
          <w:rFonts w:ascii="Times New Roman" w:eastAsia="Times" w:hAnsi="Times New Roman" w:cs="Times New Roman"/>
          <w:vertAlign w:val="subscript"/>
        </w:rPr>
        <w:t>2</w:t>
      </w:r>
      <w:r w:rsidRPr="005836CB">
        <w:rPr>
          <w:rFonts w:ascii="Times New Roman" w:eastAsia="Times" w:hAnsi="Times New Roman" w:cs="Times New Roman"/>
        </w:rPr>
        <w:t>O, 0.19% K</w:t>
      </w:r>
      <w:r w:rsidRPr="005836CB">
        <w:rPr>
          <w:rFonts w:ascii="Times New Roman" w:eastAsia="Times" w:hAnsi="Times New Roman" w:cs="Times New Roman"/>
          <w:vertAlign w:val="subscript"/>
        </w:rPr>
        <w:t>2</w:t>
      </w:r>
      <w:r w:rsidRPr="005836CB">
        <w:rPr>
          <w:rFonts w:ascii="Times New Roman" w:eastAsia="Times" w:hAnsi="Times New Roman" w:cs="Times New Roman"/>
        </w:rPr>
        <w:t>O, 99.35</w:t>
      </w:r>
      <w:r w:rsidRPr="00FE201B">
        <w:rPr>
          <w:rFonts w:ascii="Times New Roman" w:eastAsia="Times" w:hAnsi="Times New Roman" w:cs="Times New Roman"/>
        </w:rPr>
        <w:t xml:space="preserve">% total </w:t>
      </w:r>
    </w:p>
    <w:p w:rsidR="00505E58" w:rsidRDefault="00505E58" w:rsidP="00505E58">
      <w:pPr>
        <w:spacing w:line="240" w:lineRule="auto"/>
        <w:rPr>
          <w:rFonts w:ascii="Times New Roman" w:eastAsia="Times" w:hAnsi="Times New Roman" w:cs="Times New Roman"/>
        </w:rPr>
      </w:pPr>
    </w:p>
    <w:p w:rsidR="00505E58" w:rsidRDefault="00505E58" w:rsidP="00505E58">
      <w:pPr>
        <w:spacing w:line="240" w:lineRule="auto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Treatment solution pH measurements:</w:t>
      </w:r>
    </w:p>
    <w:p w:rsidR="00505E58" w:rsidRDefault="00505E58" w:rsidP="00505E58">
      <w:pP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Because prior research reveals that deionized water would be expected to dissolve plagioclase surfaces, with the effect being pH dependent (18-19), we measured the pH of WAE and the deionized water control using a Beckman </w:t>
      </w:r>
      <w:r>
        <w:rPr>
          <w:rFonts w:ascii="Symbol" w:eastAsia="Symbol" w:hAnsi="Symbol" w:cs="Symbol"/>
          <w:color w:val="000000"/>
          <w:sz w:val="24"/>
          <w:szCs w:val="24"/>
        </w:rPr>
        <w:t>ϕ</w:t>
      </w:r>
      <w:r>
        <w:rPr>
          <w:rFonts w:ascii="Times" w:eastAsia="Times" w:hAnsi="Times" w:cs="Times"/>
          <w:color w:val="000000"/>
          <w:sz w:val="24"/>
          <w:szCs w:val="24"/>
        </w:rPr>
        <w:t>™ 360 pH meter. The pH of the WAE treatment solution was 6.62, and the pH of the deionized water used to make WAE was 7.00</w:t>
      </w:r>
    </w:p>
    <w:p w:rsidR="00505E58" w:rsidRDefault="00505E58" w:rsidP="00505E58">
      <w:pP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05E58" w:rsidRDefault="00505E58" w:rsidP="00505E58">
      <w:pP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Sample size for each treatment:</w:t>
      </w:r>
    </w:p>
    <w:p w:rsidR="001C7BCA" w:rsidRDefault="00505E58" w:rsidP="00505E58">
      <w:pPr>
        <w:spacing w:line="240" w:lineRule="auto"/>
        <w:rPr>
          <w:rFonts w:ascii="Times New Roman" w:eastAsia="Times" w:hAnsi="Times New Roman" w:cs="Times New Roman"/>
          <w:color w:val="000000"/>
        </w:rPr>
      </w:pPr>
      <w:r w:rsidRPr="005836CB">
        <w:rPr>
          <w:rFonts w:ascii="Times New Roman" w:eastAsia="Times" w:hAnsi="Times New Roman" w:cs="Times New Roman"/>
          <w:color w:val="000000"/>
        </w:rPr>
        <w:t>WAE was applied to 33 locations on Sample A. Deionized water, the solvent used to prepare WAE, was applied to 34 locations on Sample B. The 33 locations on Sample C were treated with AHS, and hexane (the AHS solvent control) was applied to 33 locations on Sample D.</w:t>
      </w:r>
    </w:p>
    <w:p w:rsidR="001C7BCA" w:rsidRDefault="001C7BCA">
      <w:pPr>
        <w:rPr>
          <w:rFonts w:ascii="Times New Roman" w:eastAsia="Times" w:hAnsi="Times New Roman" w:cs="Times New Roman"/>
          <w:color w:val="000000"/>
        </w:rPr>
      </w:pPr>
    </w:p>
    <w:p w:rsidR="00B504AE" w:rsidRDefault="00B504AE" w:rsidP="00505E58">
      <w:pPr>
        <w:spacing w:line="240" w:lineRule="auto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Supplemental Results</w:t>
      </w:r>
    </w:p>
    <w:p w:rsidR="00505E58" w:rsidRPr="0092113A" w:rsidRDefault="001C7BCA" w:rsidP="00505E58">
      <w:pPr>
        <w:spacing w:line="240" w:lineRule="auto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Supplemental Table 1. Sample roughness values before and after exposure to treatment solutions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1938"/>
        <w:gridCol w:w="1530"/>
        <w:gridCol w:w="1620"/>
        <w:gridCol w:w="1620"/>
        <w:gridCol w:w="1705"/>
      </w:tblGrid>
      <w:tr w:rsidR="001C7BCA" w:rsidRPr="001C7BCA" w:rsidTr="001C7BCA">
        <w:tc>
          <w:tcPr>
            <w:tcW w:w="937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CA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1938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CA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sampling </w:t>
            </w:r>
            <w:r w:rsidRPr="001C7BCA">
              <w:rPr>
                <w:rFonts w:ascii="Times New Roman" w:hAnsi="Times New Roman" w:cs="Times New Roman"/>
                <w:sz w:val="24"/>
                <w:szCs w:val="24"/>
              </w:rPr>
              <w:t>locations</w:t>
            </w:r>
          </w:p>
        </w:tc>
        <w:tc>
          <w:tcPr>
            <w:tcW w:w="1530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CA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1620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CA">
              <w:rPr>
                <w:rFonts w:ascii="Times New Roman" w:hAnsi="Times New Roman" w:cs="Times New Roman"/>
                <w:sz w:val="24"/>
                <w:szCs w:val="24"/>
              </w:rPr>
              <w:t xml:space="preserve">Median Initial Rq </w:t>
            </w:r>
            <w:r w:rsidRPr="001C7BCA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± SE</w:t>
            </w:r>
          </w:p>
        </w:tc>
        <w:tc>
          <w:tcPr>
            <w:tcW w:w="1620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CA">
              <w:rPr>
                <w:rFonts w:ascii="Times New Roman" w:hAnsi="Times New Roman" w:cs="Times New Roman"/>
                <w:sz w:val="24"/>
                <w:szCs w:val="24"/>
              </w:rPr>
              <w:t xml:space="preserve">Median Final Rq </w:t>
            </w:r>
            <w:r w:rsidRPr="005836CB">
              <w:rPr>
                <w:rFonts w:ascii="Times New Roman" w:eastAsia="Times" w:hAnsi="Times New Roman" w:cs="Times New Roman"/>
                <w:color w:val="000000"/>
              </w:rPr>
              <w:t>±</w:t>
            </w:r>
            <w:r w:rsidRPr="001C7BCA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SE</w:t>
            </w:r>
          </w:p>
        </w:tc>
        <w:tc>
          <w:tcPr>
            <w:tcW w:w="1705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CA">
              <w:rPr>
                <w:rFonts w:ascii="Times New Roman" w:hAnsi="Times New Roman" w:cs="Times New Roman"/>
                <w:sz w:val="24"/>
                <w:szCs w:val="24"/>
              </w:rPr>
              <w:t xml:space="preserve">Change in RQ </w:t>
            </w:r>
            <w:r w:rsidRPr="001C7BCA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± SE</w:t>
            </w:r>
          </w:p>
        </w:tc>
      </w:tr>
      <w:tr w:rsidR="001C7BCA" w:rsidRPr="001C7BCA" w:rsidTr="001C7BCA">
        <w:tc>
          <w:tcPr>
            <w:tcW w:w="937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38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0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WAE</w:t>
            </w:r>
          </w:p>
        </w:tc>
        <w:tc>
          <w:tcPr>
            <w:tcW w:w="1620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6.81 </w:t>
            </w:r>
            <w:r w:rsidRPr="005836CB">
              <w:rPr>
                <w:rFonts w:ascii="Times New Roman" w:eastAsia="Times" w:hAnsi="Times New Roman" w:cs="Times New Roman"/>
                <w:color w:val="000000"/>
              </w:rPr>
              <w:t>±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0.6602</w:t>
            </w:r>
          </w:p>
        </w:tc>
        <w:tc>
          <w:tcPr>
            <w:tcW w:w="1620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41.162 </w:t>
            </w:r>
            <w:r w:rsidRPr="005836CB">
              <w:rPr>
                <w:rFonts w:ascii="Times New Roman" w:eastAsia="Times" w:hAnsi="Times New Roman" w:cs="Times New Roman"/>
                <w:color w:val="000000"/>
              </w:rPr>
              <w:t>±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5.380</w:t>
            </w:r>
          </w:p>
        </w:tc>
        <w:tc>
          <w:tcPr>
            <w:tcW w:w="1705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35.356 </w:t>
            </w:r>
            <w:r w:rsidRPr="005836CB">
              <w:rPr>
                <w:rFonts w:ascii="Times New Roman" w:eastAsia="Times" w:hAnsi="Times New Roman" w:cs="Times New Roman"/>
                <w:color w:val="000000"/>
              </w:rPr>
              <w:t>±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31.124</w:t>
            </w:r>
          </w:p>
        </w:tc>
      </w:tr>
      <w:tr w:rsidR="001C7BCA" w:rsidRPr="001C7BCA" w:rsidTr="001C7BCA">
        <w:tc>
          <w:tcPr>
            <w:tcW w:w="937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38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30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H20 (WAE control)</w:t>
            </w:r>
          </w:p>
        </w:tc>
        <w:tc>
          <w:tcPr>
            <w:tcW w:w="1620" w:type="dxa"/>
          </w:tcPr>
          <w:p w:rsidR="001C7BCA" w:rsidRPr="001C7BCA" w:rsidRDefault="001C7BCA" w:rsidP="001C7BCA">
            <w:pP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6.242 </w:t>
            </w:r>
            <w:r w:rsidRPr="005836CB">
              <w:rPr>
                <w:rFonts w:ascii="Times New Roman" w:eastAsia="Times" w:hAnsi="Times New Roman" w:cs="Times New Roman"/>
                <w:color w:val="000000"/>
              </w:rPr>
              <w:t>±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4.290</w:t>
            </w:r>
          </w:p>
        </w:tc>
        <w:tc>
          <w:tcPr>
            <w:tcW w:w="1620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11.592 </w:t>
            </w:r>
            <w:r w:rsidRPr="005836CB">
              <w:rPr>
                <w:rFonts w:ascii="Times New Roman" w:eastAsia="Times" w:hAnsi="Times New Roman" w:cs="Times New Roman"/>
                <w:color w:val="000000"/>
              </w:rPr>
              <w:t>±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4.468</w:t>
            </w:r>
          </w:p>
        </w:tc>
        <w:tc>
          <w:tcPr>
            <w:tcW w:w="1705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5.350 </w:t>
            </w:r>
            <w:r w:rsidRPr="005836CB">
              <w:rPr>
                <w:rFonts w:ascii="Times New Roman" w:eastAsia="Times" w:hAnsi="Times New Roman" w:cs="Times New Roman"/>
                <w:color w:val="000000"/>
              </w:rPr>
              <w:t>±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5.874</w:t>
            </w:r>
          </w:p>
        </w:tc>
      </w:tr>
      <w:tr w:rsidR="001C7BCA" w:rsidRPr="001C7BCA" w:rsidTr="001C7BCA">
        <w:tc>
          <w:tcPr>
            <w:tcW w:w="937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38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0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CHC</w:t>
            </w:r>
          </w:p>
        </w:tc>
        <w:tc>
          <w:tcPr>
            <w:tcW w:w="1620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8.365 </w:t>
            </w:r>
            <w:r w:rsidRPr="005836CB">
              <w:rPr>
                <w:rFonts w:ascii="Times New Roman" w:eastAsia="Times" w:hAnsi="Times New Roman" w:cs="Times New Roman"/>
                <w:color w:val="000000"/>
              </w:rPr>
              <w:t>±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3.934</w:t>
            </w:r>
          </w:p>
        </w:tc>
        <w:tc>
          <w:tcPr>
            <w:tcW w:w="1620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13.671 </w:t>
            </w:r>
            <w:r w:rsidRPr="005836CB">
              <w:rPr>
                <w:rFonts w:ascii="Times New Roman" w:eastAsia="Times" w:hAnsi="Times New Roman" w:cs="Times New Roman"/>
                <w:color w:val="000000"/>
              </w:rPr>
              <w:t>±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5.164</w:t>
            </w:r>
          </w:p>
        </w:tc>
        <w:tc>
          <w:tcPr>
            <w:tcW w:w="1705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5.306 </w:t>
            </w:r>
            <w:r w:rsidRPr="005836CB">
              <w:rPr>
                <w:rFonts w:ascii="Times New Roman" w:eastAsia="Times" w:hAnsi="Times New Roman" w:cs="Times New Roman"/>
                <w:color w:val="000000"/>
              </w:rPr>
              <w:t>±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5.358</w:t>
            </w:r>
          </w:p>
        </w:tc>
      </w:tr>
      <w:tr w:rsidR="001C7BCA" w:rsidRPr="001C7BCA" w:rsidTr="001C7BCA">
        <w:trPr>
          <w:trHeight w:val="125"/>
        </w:trPr>
        <w:tc>
          <w:tcPr>
            <w:tcW w:w="937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938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0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Hexane (CHC control)</w:t>
            </w:r>
          </w:p>
        </w:tc>
        <w:tc>
          <w:tcPr>
            <w:tcW w:w="1620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5.615 </w:t>
            </w:r>
            <w:r w:rsidRPr="005836CB">
              <w:rPr>
                <w:rFonts w:ascii="Times New Roman" w:eastAsia="Times" w:hAnsi="Times New Roman" w:cs="Times New Roman"/>
                <w:color w:val="000000"/>
              </w:rPr>
              <w:t>±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3.32</w:t>
            </w:r>
          </w:p>
        </w:tc>
        <w:tc>
          <w:tcPr>
            <w:tcW w:w="1620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9.053 </w:t>
            </w:r>
            <w:r w:rsidRPr="005836CB">
              <w:rPr>
                <w:rFonts w:ascii="Times New Roman" w:eastAsia="Times" w:hAnsi="Times New Roman" w:cs="Times New Roman"/>
                <w:color w:val="000000"/>
              </w:rPr>
              <w:t>±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5.746</w:t>
            </w:r>
          </w:p>
        </w:tc>
        <w:tc>
          <w:tcPr>
            <w:tcW w:w="1705" w:type="dxa"/>
          </w:tcPr>
          <w:p w:rsidR="001C7BCA" w:rsidRPr="001C7BCA" w:rsidRDefault="001C7BCA" w:rsidP="001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3.438 </w:t>
            </w:r>
            <w:r w:rsidRPr="005836CB">
              <w:rPr>
                <w:rFonts w:ascii="Times New Roman" w:eastAsia="Times" w:hAnsi="Times New Roman" w:cs="Times New Roman"/>
                <w:color w:val="000000"/>
              </w:rPr>
              <w:t>±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3.402</w:t>
            </w:r>
          </w:p>
        </w:tc>
      </w:tr>
    </w:tbl>
    <w:p w:rsidR="001C7BCA" w:rsidRDefault="001C7BCA"/>
    <w:p w:rsidR="00B504AE" w:rsidRDefault="00B504AE"/>
    <w:p w:rsidR="00D86A0D" w:rsidRDefault="00D86A0D" w:rsidP="00D86A0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Appendix 1</w:t>
      </w:r>
    </w:p>
    <w:p w:rsidR="00D86A0D" w:rsidRDefault="00D86A0D" w:rsidP="00D86A0D">
      <w:pPr>
        <w:pStyle w:val="NoSpacing"/>
        <w:rPr>
          <w:rFonts w:ascii="Times New Roman" w:hAnsi="Times New Roman" w:cs="Times New Roman"/>
          <w:b/>
        </w:rPr>
      </w:pPr>
    </w:p>
    <w:p w:rsidR="00D86A0D" w:rsidRDefault="00D86A0D" w:rsidP="00D86A0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of the atomic force microscopy images before and after treatment with the experimental solutions can be found at the following link. The surface roughness measurements are also available </w:t>
      </w:r>
      <w:r w:rsidR="007D70F7">
        <w:rPr>
          <w:rFonts w:ascii="Times New Roman" w:hAnsi="Times New Roman" w:cs="Times New Roman"/>
        </w:rPr>
        <w:t>in the same repository:</w:t>
      </w:r>
    </w:p>
    <w:p w:rsidR="00D86A0D" w:rsidRPr="00D86A0D" w:rsidRDefault="00D86A0D" w:rsidP="00D86A0D">
      <w:pPr>
        <w:pStyle w:val="NoSpacing"/>
        <w:rPr>
          <w:rFonts w:ascii="Times New Roman" w:hAnsi="Times New Roman" w:cs="Times New Roman"/>
        </w:rPr>
      </w:pPr>
    </w:p>
    <w:p w:rsidR="009C24E7" w:rsidRDefault="009C24E7" w:rsidP="009C24E7">
      <w:pPr>
        <w:rPr>
          <w:rFonts w:ascii="Times New Roman" w:eastAsia="Times" w:hAnsi="Times New Roman" w:cs="Times New Roman"/>
        </w:rPr>
      </w:pPr>
      <w:bookmarkStart w:id="1" w:name="_GoBack"/>
      <w:bookmarkEnd w:id="1"/>
      <w:r>
        <w:rPr>
          <w:rFonts w:ascii="Times New Roman" w:eastAsia="Times" w:hAnsi="Times New Roman" w:cs="Times New Roman"/>
        </w:rPr>
        <w:lastRenderedPageBreak/>
        <w:t>http://datadryad.org/share/LINK_NOT_FOR_PUBLICATION/Qw7BL3U3gmt5zMpnUULpe5-mAcIzgFxjitIhVJyV_cI</w:t>
      </w:r>
    </w:p>
    <w:p w:rsidR="00C479C9" w:rsidRDefault="00C479C9" w:rsidP="00D86A0D">
      <w:pPr>
        <w:pStyle w:val="NoSpacing"/>
        <w:rPr>
          <w:rFonts w:ascii="Times New Roman" w:hAnsi="Times New Roman" w:cs="Times New Roman"/>
        </w:rPr>
      </w:pPr>
    </w:p>
    <w:p w:rsidR="00C479C9" w:rsidRPr="00D86A0D" w:rsidRDefault="00C479C9" w:rsidP="00D86A0D">
      <w:pPr>
        <w:pStyle w:val="NoSpacing"/>
        <w:rPr>
          <w:rFonts w:ascii="Times New Roman" w:hAnsi="Times New Roman" w:cs="Times New Roman"/>
        </w:rPr>
      </w:pPr>
    </w:p>
    <w:sectPr w:rsidR="00C479C9" w:rsidRPr="00D86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58"/>
    <w:rsid w:val="001C7BCA"/>
    <w:rsid w:val="00505E58"/>
    <w:rsid w:val="006E3EB1"/>
    <w:rsid w:val="007D70F7"/>
    <w:rsid w:val="009C24E7"/>
    <w:rsid w:val="00A947AC"/>
    <w:rsid w:val="00B504AE"/>
    <w:rsid w:val="00C479C9"/>
    <w:rsid w:val="00C95EB7"/>
    <w:rsid w:val="00D8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2447"/>
  <w15:chartTrackingRefBased/>
  <w15:docId w15:val="{7B5FFF50-D784-4C3F-BAEA-7B944917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05E5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6A0D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479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E Smith</dc:creator>
  <cp:keywords/>
  <dc:description/>
  <cp:lastModifiedBy>Nathan E Smith</cp:lastModifiedBy>
  <cp:revision>5</cp:revision>
  <cp:lastPrinted>2026-06-08T19:05:00Z</cp:lastPrinted>
  <dcterms:created xsi:type="dcterms:W3CDTF">2026-06-09T14:55:00Z</dcterms:created>
  <dcterms:modified xsi:type="dcterms:W3CDTF">2026-06-22T18:15:00Z</dcterms:modified>
</cp:coreProperties>
</file>